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632725D5" w:rsidR="000E2036" w:rsidRPr="00DF4AA7" w:rsidRDefault="009A23A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 w:rsidRPr="00DF4AA7">
        <w:rPr>
          <w:b/>
          <w:szCs w:val="22"/>
          <w:lang w:val="sr-Cyrl-RS"/>
        </w:rPr>
        <w:t xml:space="preserve">Поједностављење поступка Рефакције пореза на </w:t>
      </w:r>
      <w:r w:rsidR="000A414D" w:rsidRPr="00DF4AA7">
        <w:rPr>
          <w:b/>
          <w:szCs w:val="22"/>
          <w:lang w:val="sr-Cyrl-RS"/>
        </w:rPr>
        <w:t xml:space="preserve">додату </w:t>
      </w:r>
      <w:r w:rsidRPr="00DF4AA7">
        <w:rPr>
          <w:b/>
          <w:szCs w:val="22"/>
          <w:lang w:val="sr-Cyrl-RS"/>
        </w:rPr>
        <w:t>вредност</w:t>
      </w:r>
    </w:p>
    <w:p w14:paraId="299395FC" w14:textId="77777777" w:rsidR="00B1006E" w:rsidRPr="00DF4AA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4"/>
        <w:gridCol w:w="5616"/>
      </w:tblGrid>
      <w:tr w:rsidR="00850AD5" w:rsidRPr="00DF4AA7" w14:paraId="1976FB87" w14:textId="77777777" w:rsidTr="001C32B0">
        <w:trPr>
          <w:trHeight w:val="888"/>
        </w:trPr>
        <w:tc>
          <w:tcPr>
            <w:tcW w:w="3507" w:type="dxa"/>
            <w:shd w:val="clear" w:color="auto" w:fill="DBE5F1" w:themeFill="accent1" w:themeFillTint="33"/>
            <w:vAlign w:val="center"/>
          </w:tcPr>
          <w:p w14:paraId="11F785D1" w14:textId="77777777" w:rsidR="000E2036" w:rsidRPr="00DF4AA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5779" w:type="dxa"/>
            <w:vAlign w:val="center"/>
          </w:tcPr>
          <w:p w14:paraId="5FD56B01" w14:textId="305B3927" w:rsidR="000E2036" w:rsidRPr="00DF4AA7" w:rsidRDefault="000A414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Рефакција пореза на додату вредност</w:t>
            </w:r>
          </w:p>
        </w:tc>
      </w:tr>
      <w:tr w:rsidR="00850AD5" w:rsidRPr="00DF4AA7" w14:paraId="7A6AA442" w14:textId="77777777" w:rsidTr="001C32B0">
        <w:trPr>
          <w:trHeight w:val="418"/>
        </w:trPr>
        <w:tc>
          <w:tcPr>
            <w:tcW w:w="3507" w:type="dxa"/>
            <w:shd w:val="clear" w:color="auto" w:fill="DBE5F1" w:themeFill="accent1" w:themeFillTint="33"/>
            <w:vAlign w:val="center"/>
          </w:tcPr>
          <w:p w14:paraId="049C2EAE" w14:textId="77777777" w:rsidR="000E2036" w:rsidRPr="00DF4AA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5779" w:type="dxa"/>
            <w:vAlign w:val="center"/>
          </w:tcPr>
          <w:p w14:paraId="76B78B5F" w14:textId="3ECD0ABF" w:rsidR="000E2036" w:rsidRPr="00DF4AA7" w:rsidRDefault="009A23A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01.01.0016</w:t>
            </w:r>
          </w:p>
        </w:tc>
      </w:tr>
      <w:tr w:rsidR="00850AD5" w:rsidRPr="00DF4AA7" w14:paraId="2CEE52A6" w14:textId="77777777" w:rsidTr="001C32B0">
        <w:tc>
          <w:tcPr>
            <w:tcW w:w="3507" w:type="dxa"/>
            <w:shd w:val="clear" w:color="auto" w:fill="DBE5F1" w:themeFill="accent1" w:themeFillTint="33"/>
            <w:vAlign w:val="center"/>
          </w:tcPr>
          <w:p w14:paraId="682C75C7" w14:textId="77777777" w:rsidR="00275E2A" w:rsidRPr="00DF4AA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F4AA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5779" w:type="dxa"/>
            <w:vAlign w:val="center"/>
          </w:tcPr>
          <w:p w14:paraId="443EFF4C" w14:textId="16C86E4C" w:rsidR="00A93BD0" w:rsidRDefault="00A93BD0" w:rsidP="00B608D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93BD0"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337BFCAC" w:rsidR="00A53586" w:rsidRPr="00DF4AA7" w:rsidRDefault="000A414D" w:rsidP="00A93BD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F4AA7">
              <w:rPr>
                <w:sz w:val="22"/>
                <w:szCs w:val="22"/>
                <w:lang w:val="sr-Cyrl-RS"/>
              </w:rPr>
              <w:t>Пореска управа – Сектор за контролу, Одељење за анализу ризика, ослобођење и рефакцију ПДВ и фискализацију</w:t>
            </w:r>
            <w:r w:rsidR="00A93BD0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DF4AA7" w14:paraId="10DA1CD3" w14:textId="77777777" w:rsidTr="001C32B0">
        <w:tc>
          <w:tcPr>
            <w:tcW w:w="3507" w:type="dxa"/>
            <w:shd w:val="clear" w:color="auto" w:fill="DBE5F1" w:themeFill="accent1" w:themeFillTint="33"/>
            <w:vAlign w:val="center"/>
          </w:tcPr>
          <w:p w14:paraId="4DE579F4" w14:textId="77777777" w:rsidR="00275E2A" w:rsidRPr="00DF4AA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F4AA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F4AA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5779" w:type="dxa"/>
            <w:vAlign w:val="center"/>
          </w:tcPr>
          <w:p w14:paraId="23F8EF47" w14:textId="232032B1" w:rsidR="00B161D8" w:rsidRPr="00DF4AA7" w:rsidRDefault="000A414D" w:rsidP="00B161D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порезу на додату</w:t>
            </w:r>
            <w:r w:rsidR="00B161D8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</w:t>
            </w:r>
            <w:r w:rsidR="00085EA8">
              <w:rPr>
                <w:rFonts w:ascii="Times New Roman" w:hAnsi="Times New Roman"/>
                <w:sz w:val="22"/>
                <w:szCs w:val="22"/>
                <w:lang w:val="sr-Cyrl-RS"/>
              </w:rPr>
              <w:t>редност („Службени гласник РС</w:t>
            </w:r>
            <w:r w:rsidR="00B608D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B161D8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B608D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B161D8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84/04, 86/04 - исправка, 61/05, 61/07, 93/12, 108/13, 68/14 - др. закон, 142/14, 83/15, 108/16, 113/17, 30/18</w:t>
            </w:r>
            <w:r w:rsidR="00B608D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B161D8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72/19)</w:t>
            </w:r>
          </w:p>
          <w:p w14:paraId="2CCB5DCC" w14:textId="0F14C79F" w:rsidR="004B1999" w:rsidRPr="00DF4AA7" w:rsidRDefault="000A414D" w:rsidP="00F565BB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поступку остваривања права на повраћај ПДВ и о начину и поступку рефакције и рефундације ПДВ („Службени гласник РС</w:t>
            </w:r>
            <w:r w:rsidR="00B608D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бр. </w:t>
            </w:r>
            <w:r w:rsidR="004B1999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107/04, 65/05,63/07, 107/12, 120/12, 74/13, 66/14, 44/18 </w:t>
            </w:r>
            <w:r w:rsidR="00B608D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="004B1999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 и 104/18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F4AA7" w14:paraId="724CF23D" w14:textId="77777777" w:rsidTr="001C32B0">
        <w:tc>
          <w:tcPr>
            <w:tcW w:w="3507" w:type="dxa"/>
            <w:shd w:val="clear" w:color="auto" w:fill="DBE5F1" w:themeFill="accent1" w:themeFillTint="33"/>
            <w:vAlign w:val="center"/>
          </w:tcPr>
          <w:p w14:paraId="1A908998" w14:textId="11A1AF2D" w:rsidR="00D73918" w:rsidRPr="00DF4AA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F4AA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F4AA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DF4AA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5779" w:type="dxa"/>
            <w:vAlign w:val="center"/>
          </w:tcPr>
          <w:p w14:paraId="55CB4618" w14:textId="2B3AE113" w:rsidR="00D73918" w:rsidRPr="00DF4AA7" w:rsidRDefault="00472E76" w:rsidP="00F565BB">
            <w:pPr>
              <w:pStyle w:val="ListParagraph"/>
              <w:numPr>
                <w:ilvl w:val="0"/>
                <w:numId w:val="32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DF4AA7">
              <w:rPr>
                <w:rFonts w:ascii="Times New Roman" w:hAnsi="Times New Roman"/>
                <w:sz w:val="22"/>
                <w:lang w:val="sr-Cyrl-RS"/>
              </w:rPr>
              <w:t>Правилник о поступку остваривања права на повраћај ПДВ и о начину и поступку рефакције и рефундације ПДВ („Службени гласник РС</w:t>
            </w:r>
            <w:r w:rsidR="00B608DE" w:rsidRPr="00DF4AA7">
              <w:rPr>
                <w:rFonts w:ascii="Times New Roman" w:hAnsi="Times New Roman"/>
                <w:sz w:val="22"/>
                <w:lang w:val="sr-Cyrl-RS"/>
              </w:rPr>
              <w:t>”</w:t>
            </w:r>
            <w:r w:rsidRPr="00DF4AA7">
              <w:rPr>
                <w:rFonts w:ascii="Times New Roman" w:hAnsi="Times New Roman"/>
                <w:sz w:val="22"/>
                <w:lang w:val="sr-Cyrl-RS"/>
              </w:rPr>
              <w:t xml:space="preserve">, бр. </w:t>
            </w:r>
            <w:r w:rsidR="004B1999" w:rsidRPr="00DF4AA7">
              <w:rPr>
                <w:rFonts w:ascii="Times New Roman" w:hAnsi="Times New Roman"/>
                <w:sz w:val="22"/>
                <w:lang w:val="sr-Cyrl-RS"/>
              </w:rPr>
              <w:t>107/04, 65/05,  63/07, 107/1</w:t>
            </w:r>
            <w:r w:rsidR="00D31FF1" w:rsidRPr="00DF4AA7">
              <w:rPr>
                <w:rFonts w:ascii="Times New Roman" w:hAnsi="Times New Roman"/>
                <w:sz w:val="22"/>
                <w:lang w:val="sr-Cyrl-RS"/>
              </w:rPr>
              <w:t xml:space="preserve">2, 120/12, 74/13, 66/14, 44/18 </w:t>
            </w:r>
            <w:r w:rsidR="00B608DE" w:rsidRPr="00DF4AA7">
              <w:rPr>
                <w:rFonts w:ascii="Times New Roman" w:hAnsi="Times New Roman"/>
                <w:sz w:val="22"/>
                <w:lang w:val="sr-Cyrl-RS"/>
              </w:rPr>
              <w:t xml:space="preserve"> - </w:t>
            </w:r>
            <w:r w:rsidR="00D31FF1" w:rsidRPr="00DF4AA7">
              <w:rPr>
                <w:rFonts w:ascii="Times New Roman" w:hAnsi="Times New Roman"/>
                <w:sz w:val="22"/>
                <w:lang w:val="sr-Cyrl-RS"/>
              </w:rPr>
              <w:t>др. закон</w:t>
            </w:r>
            <w:r w:rsidR="004B1999" w:rsidRPr="00DF4AA7">
              <w:rPr>
                <w:rFonts w:ascii="Times New Roman" w:hAnsi="Times New Roman"/>
                <w:sz w:val="22"/>
                <w:lang w:val="sr-Cyrl-RS"/>
              </w:rPr>
              <w:t xml:space="preserve"> и 104/18)</w:t>
            </w:r>
          </w:p>
        </w:tc>
      </w:tr>
      <w:tr w:rsidR="00850AD5" w:rsidRPr="00DF4AA7" w14:paraId="58812BCA" w14:textId="77777777" w:rsidTr="001C32B0">
        <w:tc>
          <w:tcPr>
            <w:tcW w:w="3507" w:type="dxa"/>
            <w:shd w:val="clear" w:color="auto" w:fill="DBE5F1" w:themeFill="accent1" w:themeFillTint="33"/>
            <w:vAlign w:val="center"/>
          </w:tcPr>
          <w:p w14:paraId="0CF6011B" w14:textId="0E1BBDD3" w:rsidR="00275E2A" w:rsidRPr="00DF4AA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F4AA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5779" w:type="dxa"/>
            <w:vAlign w:val="center"/>
          </w:tcPr>
          <w:p w14:paraId="19A48B50" w14:textId="1452E0FA" w:rsidR="00804060" w:rsidRPr="00DF4AA7" w:rsidRDefault="00412E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F4AA7">
              <w:rPr>
                <w:sz w:val="22"/>
                <w:szCs w:val="22"/>
                <w:lang w:val="sr-Cyrl-RS"/>
              </w:rPr>
              <w:t>Четврти квартал 2020. године.</w:t>
            </w:r>
          </w:p>
        </w:tc>
      </w:tr>
      <w:tr w:rsidR="00275E2A" w:rsidRPr="00DF4AA7" w14:paraId="539113B1" w14:textId="77777777" w:rsidTr="001C32B0">
        <w:trPr>
          <w:trHeight w:val="409"/>
        </w:trPr>
        <w:tc>
          <w:tcPr>
            <w:tcW w:w="9286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F4AA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F4AA7" w14:paraId="4635A4BE" w14:textId="77777777" w:rsidTr="001C32B0">
        <w:tc>
          <w:tcPr>
            <w:tcW w:w="9286" w:type="dxa"/>
            <w:gridSpan w:val="2"/>
          </w:tcPr>
          <w:p w14:paraId="58970CDD" w14:textId="635A289B" w:rsidR="00AB30B8" w:rsidRPr="00DF4AA7" w:rsidRDefault="00AB30B8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Након попуњавања обрасца административног поступка, донет је Правилник о изменама и допунама Правилника о поступку остваривања права на повраћај ПДВ и о начину и поступку рефакције и рефундације ПДВ („Службени гласник РС</w:t>
            </w:r>
            <w:r w:rsidR="00B608D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, бр</w:t>
            </w:r>
            <w:r w:rsidR="00454455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104/18) којим је омогућено да све четири категорије подносилаца захтева (страни порески обвезник, хуманитарне организације, традиционалне цркве и верске заједнице</w:t>
            </w:r>
            <w:r w:rsidR="000A662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дипломатска представништва)</w:t>
            </w:r>
            <w:r w:rsidR="00B608D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достављају захтев и документацију у електронском облику</w:t>
            </w:r>
            <w:r w:rsidR="000A662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преко портала Пореске управе. Решење о рефакцији, такође, доставља се у електронском облику путем истог портала</w:t>
            </w:r>
            <w:r w:rsidR="00D10A5D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, чиме је спровођење овог поступка оптимизовано у делу који се тиче електронског управног поступања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27C54340" w14:textId="6CEE0D72" w:rsidR="0097630B" w:rsidRPr="00DF4AA7" w:rsidRDefault="0097630B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Приликом спровођења административног поступка по захтеву хуманитарних организација, од странке се захтева достављање решења о регистрацији код Агенције за привредне регистре. Наведени податак јесте чињеница о којој се води службена евиденција и који се може прибавити по службеној дужности.</w:t>
            </w:r>
          </w:p>
          <w:p w14:paraId="4BCB02C2" w14:textId="1D71456A" w:rsidR="00472E76" w:rsidRPr="00DF4AA7" w:rsidRDefault="00B06DAC" w:rsidP="00260B7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овом административном поступку </w:t>
            </w:r>
            <w:r w:rsidR="00CD236E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подносилац захтева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нема финансијских издатака.</w:t>
            </w:r>
          </w:p>
        </w:tc>
      </w:tr>
    </w:tbl>
    <w:p w14:paraId="1EFAE4CD" w14:textId="77777777" w:rsidR="001C32B0" w:rsidRPr="00DF4AA7" w:rsidRDefault="001C32B0">
      <w:pPr>
        <w:rPr>
          <w:rFonts w:ascii="Times New Roman" w:hAnsi="Times New Roman"/>
          <w:lang w:val="sr-Cyrl-RS"/>
        </w:rPr>
      </w:pPr>
      <w:r w:rsidRPr="00DF4AA7">
        <w:rPr>
          <w:rFonts w:ascii="Times New Roman" w:hAnsi="Times New Roman"/>
          <w:lang w:val="sr-Cyrl-R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DF4AA7" w14:paraId="31663FC5" w14:textId="77777777" w:rsidTr="001C32B0">
        <w:trPr>
          <w:trHeight w:val="454"/>
        </w:trPr>
        <w:tc>
          <w:tcPr>
            <w:tcW w:w="9286" w:type="dxa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64976497" w:rsidR="00275E2A" w:rsidRPr="00DF4AA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A1CE9" w:rsidRPr="00DF4AA7" w14:paraId="3010E605" w14:textId="77777777" w:rsidTr="001C32B0">
        <w:trPr>
          <w:trHeight w:val="454"/>
        </w:trPr>
        <w:tc>
          <w:tcPr>
            <w:tcW w:w="9286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F4AA7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F4AA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F4AA7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F4AA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4AA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F4AA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4AA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F4AA7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F4AA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F4AA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4AA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F4AA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F4AA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F4AA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F4AA7" w14:paraId="1228D87D" w14:textId="77777777" w:rsidTr="00E72BB6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06288B1" w14:textId="0889BA30" w:rsidR="00DB19B9" w:rsidRPr="00DF4AA7" w:rsidRDefault="00DB19B9" w:rsidP="007E35E6">
                  <w:pP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F4AA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784" w:type="dxa"/>
                </w:tcPr>
                <w:p w14:paraId="39793FBD" w14:textId="77777777" w:rsidR="00DB19B9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32D90DC8" w14:textId="7B8EFF03" w:rsidR="000A6625" w:rsidRPr="00DF4AA7" w:rsidRDefault="000A6625" w:rsidP="000A662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4BF2735E" w14:textId="4D8B3F38" w:rsidR="00DB19B9" w:rsidRPr="00DF4AA7" w:rsidRDefault="00DB19B9" w:rsidP="00E72BB6">
                  <w:pPr>
                    <w:tabs>
                      <w:tab w:val="left" w:pos="1380"/>
                      <w:tab w:val="right" w:pos="1565"/>
                    </w:tabs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31E75B70" w14:textId="77777777" w:rsidR="000A6625" w:rsidRDefault="000A6625" w:rsidP="000A662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1F22B93B" w14:textId="13AB9B80" w:rsidR="00DB19B9" w:rsidRPr="00DF4AA7" w:rsidRDefault="000A6625" w:rsidP="000A662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6E28D8C5" w14:textId="6B39AB14" w:rsidR="00CA1CE9" w:rsidRPr="00DF4AA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F4AA7" w14:paraId="0B4EEBB8" w14:textId="77777777" w:rsidTr="001C32B0">
        <w:trPr>
          <w:trHeight w:val="454"/>
        </w:trPr>
        <w:tc>
          <w:tcPr>
            <w:tcW w:w="9286" w:type="dxa"/>
            <w:shd w:val="clear" w:color="auto" w:fill="DBE5F1" w:themeFill="accent1" w:themeFillTint="33"/>
            <w:vAlign w:val="center"/>
          </w:tcPr>
          <w:p w14:paraId="30CB88E1" w14:textId="18030B78" w:rsidR="00CA1CE9" w:rsidRPr="00DF4AA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F4AA7" w14:paraId="4C67EFD3" w14:textId="77777777" w:rsidTr="001C32B0">
        <w:trPr>
          <w:trHeight w:val="454"/>
        </w:trPr>
        <w:tc>
          <w:tcPr>
            <w:tcW w:w="9286" w:type="dxa"/>
            <w:shd w:val="clear" w:color="auto" w:fill="auto"/>
          </w:tcPr>
          <w:p w14:paraId="2D04C9F3" w14:textId="78A6948B" w:rsidR="00355020" w:rsidRPr="00DF4AA7" w:rsidRDefault="00355020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1F366C71" w14:textId="648EC7A7" w:rsidR="00FB6998" w:rsidRPr="00DF4AA7" w:rsidRDefault="00FB6998" w:rsidP="00FB699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F446FE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1</w:t>
            </w:r>
            <w:r w:rsidRPr="00DF4AA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. Прибављање података по службеној дужности </w:t>
            </w:r>
          </w:p>
          <w:p w14:paraId="05EAF2FC" w14:textId="77777777" w:rsidR="00FB6998" w:rsidRPr="00DF4AA7" w:rsidRDefault="00FB6998" w:rsidP="00FB699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456DC06" w14:textId="2795FEB6" w:rsidR="00FB6998" w:rsidRPr="00DF4AA7" w:rsidRDefault="008C0A88" w:rsidP="00B6541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основу члана 5. предметног правилника</w:t>
            </w:r>
            <w:r w:rsidR="00FB699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странке </w:t>
            </w:r>
            <w:r w:rsidR="0097630B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– хуманитарне организације </w:t>
            </w:r>
            <w:r w:rsidR="00FB699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треба да поднесу </w:t>
            </w:r>
            <w:r w:rsidR="0097630B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као</w:t>
            </w:r>
            <w:r w:rsidR="00FB699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доказ</w:t>
            </w:r>
            <w:r w:rsidR="0097630B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B699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о регистрацији хуманитарне организације</w:t>
            </w:r>
            <w:r w:rsidR="0064441B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3439398" w14:textId="77777777" w:rsidR="00FB6998" w:rsidRPr="00DF4AA7" w:rsidRDefault="00FB6998" w:rsidP="00FB699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F10BE3" w14:textId="06398874" w:rsidR="0097630B" w:rsidRPr="00DF4AA7" w:rsidRDefault="008C0A88" w:rsidP="00FC6E3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С тим у вези, п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редлаже се елиминација подношења следећих докумената од стране подносиоца захтева, 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обзиром на то да је 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надлежни орган дужан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да у складу са чл. 9. и 103. 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општем управном поступку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(„Службени гласник РС”, бр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18/16 и 95/18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– аутентично тумачење – у даљем тексту: ЗОУП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), Законом о електронском документу, електронској идентификацији и услугама од поверења у електронском пословању („Службени гласник РС”, број 94/17), Законом о електронској управи („Службени гласник РС”, број 27/18) и 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(„Службени гласник РС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, број 57/19), по службеној дужности прибави потребне податке од надлежног органа – „власника</w:t>
            </w:r>
            <w:r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FC6E33" w:rsidRPr="00DF4AA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потребних података:</w:t>
            </w:r>
          </w:p>
          <w:p w14:paraId="04710EF4" w14:textId="77777777" w:rsidR="00FC6E33" w:rsidRPr="00DF4AA7" w:rsidRDefault="00FC6E33" w:rsidP="00FC6E33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61D7AF" w14:textId="213DAB66" w:rsidR="0097630B" w:rsidRPr="00DF4AA7" w:rsidRDefault="0097630B" w:rsidP="0097630B">
            <w:pPr>
              <w:ind w:left="58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 8.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Решење о регистрацији хуманитарне организације.</w:t>
            </w:r>
          </w:p>
          <w:p w14:paraId="55E53DEC" w14:textId="77777777" w:rsidR="003E6745" w:rsidRPr="00DF4AA7" w:rsidRDefault="003E6745" w:rsidP="0097630B">
            <w:pPr>
              <w:ind w:left="58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9C34B5" w14:textId="23266398" w:rsidR="0097630B" w:rsidRPr="00DF4AA7" w:rsidRDefault="0097630B" w:rsidP="00FC6E33">
            <w:pPr>
              <w:ind w:left="58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Приложени документ је предмет регистрације и јавног објављивања у смислу Закона о поступку регистрације </w:t>
            </w:r>
            <w:r w:rsidR="008C0A8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Агенциј</w:t>
            </w:r>
            <w:r w:rsidR="008C0A8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регистре („Службени гласник РС</w:t>
            </w:r>
            <w:r w:rsidR="008C0A8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бр. 99/11, 83/14 и 31/19).  Регистрација и вођење података о удружењима (као правних лица у које спадају хуманитарне организације)</w:t>
            </w:r>
            <w:r w:rsidR="008C0A8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уређени су Правилником о садржини, начину уписа и вођења Регистра удружења („Службени гласник РС</w:t>
            </w:r>
            <w:r w:rsidR="008C0A88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</w:t>
            </w:r>
            <w:r w:rsidR="00FC6E33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ој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80/09)</w:t>
            </w:r>
            <w:r w:rsidR="00B6541F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DB64139" w14:textId="77777777" w:rsidR="0097630B" w:rsidRPr="00DF4AA7" w:rsidRDefault="0097630B" w:rsidP="00FB6998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2744B43" w14:textId="12C7731F" w:rsidR="0097630B" w:rsidRPr="00DF4AA7" w:rsidRDefault="0097630B" w:rsidP="00FC6E33">
            <w:pPr>
              <w:ind w:left="58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Наведени документ служи као основ за утврђивање података о делатности подносиоца пореске пријаве/захтева, при чему је реч о податку о ко</w:t>
            </w:r>
            <w:r w:rsidR="00727EED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 се води службена евиденција коју води ималац </w:t>
            </w:r>
            <w:r w:rsidR="00191DDA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јавних овлашћења, те је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исти потребно прибављати по службеној дужности, сходно члану 103. ЗОУП-а.</w:t>
            </w:r>
          </w:p>
          <w:p w14:paraId="4277FDB7" w14:textId="77777777" w:rsidR="0097630B" w:rsidRPr="00DF4AA7" w:rsidRDefault="0097630B" w:rsidP="0097630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4291E41" w14:textId="38163183" w:rsidR="00FC6E33" w:rsidRPr="00DF4AA7" w:rsidRDefault="00FC6E33" w:rsidP="00FC6E33">
            <w:pPr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Предлаже се прибављање података по службеној дужности</w:t>
            </w:r>
            <w:r w:rsidR="00727EED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,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које је могуће спровести на један од следећих начина, зависно од тренутне доступности потребних података:</w:t>
            </w:r>
          </w:p>
          <w:p w14:paraId="587A6733" w14:textId="77777777" w:rsidR="00FC6E33" w:rsidRPr="00DF4AA7" w:rsidRDefault="00FC6E33" w:rsidP="00FC6E33">
            <w:pPr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</w:p>
          <w:p w14:paraId="6AD5E338" w14:textId="089828E2" w:rsidR="00FC6E33" w:rsidRPr="00DF4AA7" w:rsidRDefault="00FC6E33" w:rsidP="00FC6E33">
            <w:pPr>
              <w:ind w:left="851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1) Путем Информационог система за размену података из регистара преко Сервисне магистрале органа</w:t>
            </w:r>
            <w:r w:rsidR="00727EED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;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</w:t>
            </w:r>
          </w:p>
          <w:p w14:paraId="2A7AD76D" w14:textId="77777777" w:rsidR="00FC6E33" w:rsidRPr="00DF4AA7" w:rsidRDefault="00FC6E33" w:rsidP="00FC6E33">
            <w:pPr>
              <w:ind w:left="851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2) Прибављањем података упитом ка регистру и уписивањем у софтверско решење органа који води поступак преко Сервисне магистрале органа;</w:t>
            </w:r>
          </w:p>
          <w:p w14:paraId="45A742A5" w14:textId="77777777" w:rsidR="00FC6E33" w:rsidRPr="00DF4AA7" w:rsidRDefault="00FC6E33" w:rsidP="00FC6E33">
            <w:pPr>
              <w:ind w:left="851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</w:p>
          <w:p w14:paraId="3CB489CF" w14:textId="77777777" w:rsidR="00FC6E33" w:rsidRPr="00DF4AA7" w:rsidRDefault="00FC6E33" w:rsidP="00FC6E33">
            <w:pPr>
              <w:ind w:left="851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7517AA2E" w14:textId="77777777" w:rsidR="00FC6E33" w:rsidRPr="00DF4AA7" w:rsidRDefault="00FC6E33" w:rsidP="00FC6E33">
            <w:pPr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</w:p>
          <w:p w14:paraId="2183A5C3" w14:textId="514577EE" w:rsidR="00FC6E33" w:rsidRPr="00DF4AA7" w:rsidRDefault="00FC6E33" w:rsidP="00FC6E33">
            <w:pPr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lastRenderedPageBreak/>
              <w:t>Уколико не постоје технички предуслови за размену података на начин описан у тачки 1) и 2), орган који спроводи поступак у обавези је да примењује ЗОУП</w:t>
            </w:r>
            <w:r w:rsidR="00C81F73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,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и податке потребне за одлучивање прибави директно од органа надлежног за вођење службене евиденције било конвенционалном</w:t>
            </w:r>
            <w:r w:rsidR="00C81F73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-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директном комуникацијом или електронским путем. Уколико одређена службена евиденција није доступна преко </w:t>
            </w:r>
            <w:r w:rsidR="00C81F73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С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ервисне магистрале органа, најбрже и најбезбедније орган може прибавити податке из такве  евиденције коришћењем тзв. сервиса </w:t>
            </w:r>
            <w:r w:rsidR="00C81F73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„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15 еЗУП-а</w:t>
            </w:r>
            <w:r w:rsidR="00C81F73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”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(платформа за кореспонденцију између органа)</w:t>
            </w:r>
            <w:r w:rsidR="00C81F73"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,</w:t>
            </w:r>
            <w:r w:rsidRPr="00DF4AA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како би се избегла коресподенција и прибављање података преко мејла који је значајно мање безбедно средство од наведеног сервиса, али до приступања наведеном сервису орган може да прибави тражене податке и путем мејла.</w:t>
            </w:r>
          </w:p>
          <w:p w14:paraId="0809050C" w14:textId="77777777" w:rsidR="003E6745" w:rsidRPr="00DF4AA7" w:rsidRDefault="003E6745" w:rsidP="003E6745">
            <w:pPr>
              <w:pStyle w:val="ListParagraph"/>
              <w:ind w:left="108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0D0DFE0" w14:textId="107D5555" w:rsidR="0097630B" w:rsidRPr="00DF4AA7" w:rsidRDefault="0097630B" w:rsidP="0097630B">
            <w:pPr>
              <w:ind w:hanging="36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i/>
                <w:sz w:val="22"/>
                <w:szCs w:val="22"/>
                <w:lang w:val="sr-Cyrl-RS"/>
              </w:rPr>
              <w:t xml:space="preserve">За </w:t>
            </w:r>
            <w:r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</w:t>
            </w:r>
            <w:r w:rsidR="00FC6E3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je </w:t>
            </w:r>
            <w:r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измена прописа</w:t>
            </w:r>
            <w:r w:rsidR="00C81F7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</w:t>
            </w:r>
            <w:r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FF45BB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 то</w:t>
            </w:r>
            <w:r w:rsidR="00FC6E3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C81F7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члана 5. </w:t>
            </w:r>
            <w:r w:rsidR="00FC6E3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</w:t>
            </w:r>
            <w:r w:rsidR="00FC6E33" w:rsidRPr="00DF4AA7">
              <w:rPr>
                <w:rFonts w:ascii="Times New Roman" w:hAnsi="Times New Roman"/>
                <w:lang w:val="sr-Cyrl-RS"/>
              </w:rPr>
              <w:t xml:space="preserve"> </w:t>
            </w:r>
            <w:r w:rsidR="00FC6E3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 поступку остваривања права на повраћај ПДВ и о начину и поступку рефакције и рефундације ПДВ („Службени гласник РС</w:t>
            </w:r>
            <w:r w:rsidR="00C81F7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”</w:t>
            </w:r>
            <w:r w:rsidR="00FC6E3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, бр. 107/04, 65/05,  63/07, 107/12, 120/12, 74/13, 66/14, 44/18 </w:t>
            </w:r>
            <w:r w:rsidR="00C81F7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- </w:t>
            </w:r>
            <w:r w:rsidR="00FC6E33" w:rsidRPr="00DF4AA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др. закон и 104/18) </w:t>
            </w:r>
          </w:p>
          <w:p w14:paraId="787CEEC6" w14:textId="235E79DA" w:rsidR="006D771A" w:rsidRPr="00DF4AA7" w:rsidRDefault="006D771A" w:rsidP="0097630B">
            <w:pPr>
              <w:ind w:hanging="360"/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</w:p>
          <w:p w14:paraId="3EAB4AF8" w14:textId="01CF19D9" w:rsidR="003476CC" w:rsidRPr="00085EA8" w:rsidRDefault="00085EA8" w:rsidP="00085EA8">
            <w:pPr>
              <w:ind w:hanging="36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  <w:t xml:space="preserve">  </w:t>
            </w:r>
          </w:p>
        </w:tc>
      </w:tr>
      <w:tr w:rsidR="00CA1CE9" w:rsidRPr="00DF4AA7" w14:paraId="52C990E5" w14:textId="77777777" w:rsidTr="001C32B0">
        <w:trPr>
          <w:trHeight w:val="454"/>
        </w:trPr>
        <w:tc>
          <w:tcPr>
            <w:tcW w:w="9286" w:type="dxa"/>
            <w:shd w:val="clear" w:color="auto" w:fill="DBE5F1" w:themeFill="accent1" w:themeFillTint="33"/>
            <w:vAlign w:val="center"/>
          </w:tcPr>
          <w:p w14:paraId="493D6146" w14:textId="7E30E1D1" w:rsidR="00CA1CE9" w:rsidRPr="00DF4AA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F4AA7" w14:paraId="077D3505" w14:textId="77777777" w:rsidTr="001C32B0">
        <w:trPr>
          <w:trHeight w:val="454"/>
        </w:trPr>
        <w:tc>
          <w:tcPr>
            <w:tcW w:w="9286" w:type="dxa"/>
            <w:shd w:val="clear" w:color="auto" w:fill="auto"/>
          </w:tcPr>
          <w:p w14:paraId="4DBCCDD8" w14:textId="66993133" w:rsidR="000B706F" w:rsidRPr="00DF4AA7" w:rsidRDefault="000B706F" w:rsidP="00E17959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                                                                                                                               </w:t>
            </w:r>
            <w:r w:rsidRPr="00DF4AA7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ПРЕДЛОГ</w:t>
            </w:r>
          </w:p>
          <w:p w14:paraId="27812DC8" w14:textId="287F89DD" w:rsidR="000B706F" w:rsidRPr="00DF4AA7" w:rsidRDefault="00251D0D" w:rsidP="00D14CFD">
            <w:pPr>
              <w:spacing w:before="120" w:after="120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           </w:t>
            </w:r>
            <w:r w:rsidR="000B706F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На основу члана 57. Закона о порезу на додату вредност</w:t>
            </w:r>
            <w:r w:rsidR="00D14CFD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(</w:t>
            </w:r>
            <w:r w:rsidR="00DA2B0C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„</w:t>
            </w:r>
            <w:r w:rsidR="00D14CFD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Службени гласник РС</w:t>
            </w:r>
            <w:r w:rsidR="00DA2B0C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”</w:t>
            </w:r>
            <w:r w:rsidR="00D14CFD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, бр</w:t>
            </w:r>
            <w:r w:rsidR="00DA2B0C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.</w:t>
            </w:r>
            <w:r w:rsidR="00D14CFD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84/04, 86/04 - исправка, 61/05, 61/07, 93/12, 108/13, 68/14 - др. закон, 142/14, 83/15, 108/16, 113/17, 30/18</w:t>
            </w:r>
            <w:r w:rsidR="00DA2B0C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и</w:t>
            </w:r>
            <w:r w:rsidR="00D14CFD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72/19)</w:t>
            </w:r>
            <w:r w:rsidR="005655B5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,</w:t>
            </w:r>
            <w:r w:rsidR="00D14CFD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</w:p>
          <w:p w14:paraId="4A5A1E60" w14:textId="77777777" w:rsidR="00EE147C" w:rsidRPr="00DF4AA7" w:rsidRDefault="00EE147C" w:rsidP="000B706F">
            <w:pP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</w:p>
          <w:p w14:paraId="21C61C23" w14:textId="73FF14B0" w:rsidR="000B706F" w:rsidRPr="00DF4AA7" w:rsidRDefault="000B706F" w:rsidP="000B706F">
            <w:pP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ab/>
            </w:r>
            <w:r w:rsidR="008C0A88"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м</w:t>
            </w:r>
            <w:r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инистар финансија доноси</w:t>
            </w:r>
          </w:p>
          <w:p w14:paraId="48323352" w14:textId="77777777" w:rsidR="000B706F" w:rsidRPr="00DF4AA7" w:rsidRDefault="000B706F" w:rsidP="000B706F">
            <w:pP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</w:p>
          <w:p w14:paraId="3B521CE7" w14:textId="77777777" w:rsidR="00EE147C" w:rsidRPr="00DF4AA7" w:rsidRDefault="000B706F" w:rsidP="000B706F">
            <w:pPr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ПРАВИЛНИК </w:t>
            </w:r>
          </w:p>
          <w:p w14:paraId="00DA313D" w14:textId="37BB8080" w:rsidR="00EE147C" w:rsidRPr="00DF4AA7" w:rsidRDefault="00EE147C" w:rsidP="000B706F">
            <w:pPr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>о изменама и допунама Правилника о поступку остваривања права на повраћај ПДВ и о начину и поступку рефакције и рефундације ПДВ</w:t>
            </w:r>
          </w:p>
          <w:p w14:paraId="09367716" w14:textId="77777777" w:rsidR="00EE147C" w:rsidRPr="00DF4AA7" w:rsidRDefault="00EE147C" w:rsidP="000B706F">
            <w:pPr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</w:pPr>
          </w:p>
          <w:p w14:paraId="49C13E8D" w14:textId="77777777" w:rsidR="00EE147C" w:rsidRPr="00DF4AA7" w:rsidRDefault="00EE147C" w:rsidP="000B706F">
            <w:pPr>
              <w:jc w:val="center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>Члан 1.</w:t>
            </w:r>
          </w:p>
          <w:p w14:paraId="0227A80B" w14:textId="35A908C2" w:rsidR="00251D0D" w:rsidRPr="00DF4AA7" w:rsidRDefault="00EE147C" w:rsidP="00132519">
            <w:pPr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 </w:t>
            </w:r>
            <w:r w:rsidR="00251D0D"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           </w:t>
            </w: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У </w:t>
            </w:r>
            <w:r w:rsidR="00BE1FCD"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>члану 5, став 5.</w:t>
            </w:r>
            <w:r w:rsidR="00981FB2"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>Правилник</w:t>
            </w:r>
            <w:r w:rsidR="00981FB2"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>а</w:t>
            </w: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 </w:t>
            </w:r>
            <w:r w:rsidR="00FF45BB"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о </w:t>
            </w:r>
            <w:r w:rsidRPr="00DF4AA7">
              <w:rPr>
                <w:rFonts w:ascii="Times New Roman" w:hAnsi="Times New Roman"/>
                <w:bCs/>
                <w:sz w:val="22"/>
                <w:lang w:val="sr-Cyrl-RS" w:eastAsia="en-GB"/>
              </w:rPr>
              <w:t>поступку остваривања права на повраћај ПДВ и о начину и поступку рефакције и рефундације ПДВ („Службени гласник РС</w:t>
            </w:r>
            <w:r w:rsidR="00981FB2" w:rsidRPr="00DF4AA7">
              <w:rPr>
                <w:rFonts w:ascii="Times New Roman" w:hAnsi="Times New Roman"/>
                <w:bCs/>
                <w:sz w:val="22"/>
                <w:lang w:val="sr-Cyrl-RS" w:eastAsia="en-GB"/>
              </w:rPr>
              <w:t>”</w:t>
            </w:r>
            <w:r w:rsidRPr="00DF4AA7">
              <w:rPr>
                <w:rFonts w:ascii="Times New Roman" w:hAnsi="Times New Roman"/>
                <w:bCs/>
                <w:sz w:val="22"/>
                <w:lang w:val="sr-Cyrl-RS" w:eastAsia="en-GB"/>
              </w:rPr>
              <w:t>, бр. 107/04, 65/05,  63/07, 107/12, 120/12, 74/13, 66/14, 44/18 д и 104/18)</w:t>
            </w:r>
            <w:r w:rsidR="00FF45BB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BE1FCD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„5”, замењује се бројем „4”.</w:t>
            </w:r>
          </w:p>
          <w:p w14:paraId="257F28B7" w14:textId="321B0F51" w:rsidR="005408D6" w:rsidRPr="00DF4AA7" w:rsidRDefault="00251D0D" w:rsidP="00EE147C">
            <w:pPr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     </w:t>
            </w:r>
          </w:p>
          <w:p w14:paraId="4045EACB" w14:textId="53276F4A" w:rsidR="005408D6" w:rsidRPr="00DF4AA7" w:rsidRDefault="00132519" w:rsidP="00EE147C">
            <w:pPr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             </w:t>
            </w:r>
            <w:r w:rsidR="00981FB2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Након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става 5</w:t>
            </w:r>
            <w:r w:rsidR="005408D6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. истог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члана</w:t>
            </w:r>
            <w:r w:rsidR="00981FB2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,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додаје се нови став који гласи:</w:t>
            </w:r>
          </w:p>
          <w:p w14:paraId="5049118D" w14:textId="4481C3D6" w:rsidR="00132519" w:rsidRPr="00DF4AA7" w:rsidRDefault="00132519" w:rsidP="00EE147C">
            <w:pPr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             </w:t>
            </w:r>
            <w:r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„П</w:t>
            </w:r>
            <w:r w:rsidR="00700E90"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односилац захтева</w:t>
            </w:r>
            <w:r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није у обавези да уз захтев из ст</w:t>
            </w:r>
            <w:r w:rsidR="00A15733"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ава </w:t>
            </w:r>
            <w:r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="00BE1FCD"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1. </w:t>
            </w:r>
            <w:r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ово</w:t>
            </w:r>
            <w:r w:rsidR="00A15733"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г члана достави доказ из става 4. тач</w:t>
            </w:r>
            <w:r w:rsidR="00981FB2"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ка</w:t>
            </w:r>
            <w:r w:rsidR="00A15733"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1</w:t>
            </w:r>
            <w:r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),  </w:t>
            </w:r>
            <w:r w:rsidR="00BE1FCD"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имајући у виду обавезу Пореске управе да </w:t>
            </w:r>
            <w:r w:rsidRPr="00DF4AA7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тражене податке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прибавља по службеној дужности , изузев уколико се подносилац захтева изричито изјасни да ће те доказе  прибавити</w:t>
            </w:r>
            <w:r w:rsidR="00BE1FCD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самостално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BE1FCD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</w:p>
          <w:p w14:paraId="0C93ADD2" w14:textId="4142BD56" w:rsidR="00E17959" w:rsidRPr="00DF4AA7" w:rsidRDefault="00251D0D" w:rsidP="00E17959">
            <w:pPr>
              <w:jc w:val="left"/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      </w:t>
            </w:r>
            <w:r w:rsidR="00E17959"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Досадашњи ст. 6. и 7. овог члана, постају ст. 7. и 8. </w:t>
            </w:r>
          </w:p>
          <w:p w14:paraId="747BB568" w14:textId="77777777" w:rsidR="00E17959" w:rsidRPr="00DF4AA7" w:rsidRDefault="00E17959" w:rsidP="00EE147C">
            <w:pPr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F4A098" w14:textId="2B54EFAE" w:rsidR="00251D0D" w:rsidRPr="00DF4AA7" w:rsidRDefault="00251D0D" w:rsidP="00E17959">
            <w:pPr>
              <w:jc w:val="center"/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3F109913" w14:textId="3375E811" w:rsidR="002B4C66" w:rsidRPr="00DF4AA7" w:rsidRDefault="002B4C66" w:rsidP="002B4C66">
            <w:pPr>
              <w:outlineLvl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            </w:t>
            </w:r>
            <w:r w:rsidR="000B706F"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br/>
            </w:r>
            <w:r w:rsidRPr="00DF4AA7">
              <w:rPr>
                <w:rStyle w:val="Strong"/>
                <w:rFonts w:ascii="Times New Roman" w:hAnsi="Times New Roman"/>
                <w:b w:val="0"/>
                <w:color w:val="333333"/>
                <w:sz w:val="22"/>
                <w:szCs w:val="22"/>
                <w:lang w:val="sr-Cyrl-RS"/>
              </w:rPr>
              <w:t xml:space="preserve">               Овај правилник ступа на снагу осмог дана од дана објављивања у „Службеном гласнику Републике Србије”. </w:t>
            </w:r>
          </w:p>
          <w:p w14:paraId="48E7AB01" w14:textId="5084E723" w:rsidR="000B706F" w:rsidRPr="00DF4AA7" w:rsidRDefault="000B706F" w:rsidP="00EE147C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</w:pPr>
          </w:p>
          <w:p w14:paraId="15A40834" w14:textId="77777777" w:rsidR="00B6657B" w:rsidRDefault="00B6657B" w:rsidP="00EE147C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</w:pPr>
          </w:p>
          <w:p w14:paraId="3699104D" w14:textId="77777777" w:rsidR="00A93BD0" w:rsidRPr="00DF4AA7" w:rsidRDefault="00A93BD0" w:rsidP="00EE147C">
            <w:pPr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</w:pPr>
          </w:p>
          <w:p w14:paraId="39763933" w14:textId="0E8153A7" w:rsidR="00CA1CE9" w:rsidRPr="00DF4AA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F4AA7" w14:paraId="0489C5FC" w14:textId="77777777" w:rsidTr="001C32B0">
        <w:trPr>
          <w:trHeight w:val="454"/>
        </w:trPr>
        <w:tc>
          <w:tcPr>
            <w:tcW w:w="9286" w:type="dxa"/>
            <w:shd w:val="clear" w:color="auto" w:fill="DBE5F1" w:themeFill="accent1" w:themeFillTint="33"/>
            <w:vAlign w:val="center"/>
          </w:tcPr>
          <w:p w14:paraId="6DA2404D" w14:textId="3868EBAD" w:rsidR="00CA1CE9" w:rsidRPr="00DF4AA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DF4AA7" w14:paraId="3C4DDA6A" w14:textId="77777777" w:rsidTr="001C32B0">
        <w:trPr>
          <w:trHeight w:val="454"/>
        </w:trPr>
        <w:tc>
          <w:tcPr>
            <w:tcW w:w="9286" w:type="dxa"/>
            <w:shd w:val="clear" w:color="auto" w:fill="auto"/>
          </w:tcPr>
          <w:p w14:paraId="7AA71AE3" w14:textId="45F50926" w:rsidR="009E316A" w:rsidRPr="00DF4AA7" w:rsidRDefault="009E316A" w:rsidP="00B6657B">
            <w:pPr>
              <w:jc w:val="center"/>
              <w:outlineLvl w:val="3"/>
              <w:rPr>
                <w:rFonts w:ascii="Times New Roman" w:hAnsi="Times New Roman"/>
                <w:bCs/>
                <w:sz w:val="22"/>
                <w:lang w:val="sr-Cyrl-RS" w:eastAsia="en-GB"/>
              </w:rPr>
            </w:pPr>
            <w:r w:rsidRPr="00DF4AA7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sr-Cyrl-RS" w:eastAsia="sr-Latn-RS"/>
              </w:rPr>
              <w:t xml:space="preserve">Правилник о </w:t>
            </w:r>
            <w:r w:rsidRPr="00DF4AA7">
              <w:rPr>
                <w:rFonts w:ascii="Times New Roman" w:hAnsi="Times New Roman"/>
                <w:bCs/>
                <w:sz w:val="22"/>
                <w:lang w:val="sr-Cyrl-RS" w:eastAsia="en-GB"/>
              </w:rPr>
              <w:t xml:space="preserve">поступку остваривања права на повраћај ПДВ и о начину и поступку рефакције и рефундације ПДВ </w:t>
            </w:r>
          </w:p>
          <w:p w14:paraId="484489E5" w14:textId="77777777" w:rsidR="009E316A" w:rsidRPr="00DF4AA7" w:rsidRDefault="009E316A" w:rsidP="00B6657B">
            <w:pPr>
              <w:jc w:val="center"/>
              <w:outlineLvl w:val="3"/>
              <w:rPr>
                <w:rFonts w:ascii="Times New Roman" w:hAnsi="Times New Roman"/>
                <w:bCs/>
                <w:sz w:val="22"/>
                <w:lang w:val="sr-Cyrl-RS" w:eastAsia="en-GB"/>
              </w:rPr>
            </w:pPr>
          </w:p>
          <w:p w14:paraId="1334DB86" w14:textId="3BB27523" w:rsidR="00B6657B" w:rsidRPr="00DF4AA7" w:rsidRDefault="00B6657B" w:rsidP="00B6657B">
            <w:pPr>
              <w:jc w:val="center"/>
              <w:outlineLvl w:val="3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Члан 5.</w:t>
            </w:r>
          </w:p>
          <w:p w14:paraId="6DD6623E" w14:textId="77777777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  <w:t xml:space="preserve"> Лица из члана 54. Закона остварују право на рефакцију, у складу са Законом, на основу захтева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потписаног од стране овлашћеног лица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који се подноси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Пореској управи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. </w:t>
            </w:r>
          </w:p>
          <w:p w14:paraId="5483D810" w14:textId="77777777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Захтев из става 1. овог члана подноси се на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 xml:space="preserve">Обрасцу РЕФ 2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- Захтев хуманитарне организације за рефакцију, који је одштампан уз овај правилник и чини његов саставни део. </w:t>
            </w:r>
          </w:p>
          <w:p w14:paraId="6104BB3F" w14:textId="77777777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Захтев из става 1. овог члана подноси овлашћено лице једном годишње, а најкасније до 30. јуна текуће године, за добра набављена у Републици у претходној календарској години.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</w:p>
          <w:p w14:paraId="0D904D23" w14:textId="77777777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Уз захтев из става 1. овог члана доставља се: </w:t>
            </w:r>
          </w:p>
          <w:p w14:paraId="73EBE4BE" w14:textId="77777777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  <w:t xml:space="preserve">1)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доказ о регистрацији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хуманитарне организације; </w:t>
            </w:r>
          </w:p>
          <w:p w14:paraId="699AD0BF" w14:textId="13DF9289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  <w:t>2)</w:t>
            </w:r>
            <w:r w:rsidR="00BE72FF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рачуни о набављеним добрима у Републици и докази о њиховом плаћању;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</w:p>
          <w:p w14:paraId="73472A1E" w14:textId="0A55960F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</w:r>
            <w:r w:rsidR="00EA74E6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3</w:t>
            </w:r>
            <w:r w:rsidR="006163E3">
              <w:rPr>
                <w:rFonts w:ascii="Times New Roman" w:eastAsia="Times New Roman" w:hAnsi="Times New Roman"/>
                <w:sz w:val="22"/>
                <w:szCs w:val="22"/>
                <w:lang w:val="sr-Latn-RS" w:eastAsia="sr-Latn-RS"/>
              </w:rPr>
              <w:t>)</w:t>
            </w:r>
            <w:r w:rsidR="00C21FB2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доказ да су добра отпремљена у иностранство и да се користе у хуманитарне, добротворне или образовне сврхе;</w:t>
            </w:r>
          </w:p>
          <w:p w14:paraId="0C27AEF9" w14:textId="42DF3E7C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ab/>
            </w:r>
            <w:r w:rsidR="00EA74E6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4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)</w:t>
            </w:r>
            <w:r w:rsidR="00C21FB2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подаци о имену и адреси иностраног примаоца добара и сврси коришћења добара отпремљених у иностранство.</w:t>
            </w:r>
          </w:p>
          <w:p w14:paraId="6970337D" w14:textId="580A884D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Доказ о регистрацији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из става </w:t>
            </w:r>
            <w:r w:rsidRPr="00DF4AA7">
              <w:rPr>
                <w:rFonts w:ascii="Times New Roman" w:eastAsia="Times New Roman" w:hAnsi="Times New Roman"/>
                <w:strike/>
                <w:sz w:val="22"/>
                <w:szCs w:val="22"/>
                <w:lang w:val="sr-Cyrl-RS" w:eastAsia="sr-Latn-RS"/>
              </w:rPr>
              <w:t>5.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="00985047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4. 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тачка 1) овог члана доставља се само приликом првог подношења захтева за рефакцију ПДВ. </w:t>
            </w:r>
          </w:p>
          <w:p w14:paraId="779B630E" w14:textId="704BFFF8" w:rsidR="00F43F8C" w:rsidRPr="00DF4AA7" w:rsidRDefault="002312C8" w:rsidP="00F43F8C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            </w:t>
            </w:r>
            <w:r w:rsidR="00C21FB2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ПОДНОСИЛАЦ ЗАХТЕВА</w:t>
            </w:r>
            <w:r w:rsidR="00F43F8C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НИЈЕ У</w:t>
            </w:r>
            <w:r w:rsidR="00985047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ОБАВЕЗИ ДА УЗ ЗАХТЕВ ИЗ СТАВА 4</w:t>
            </w:r>
            <w:r w:rsidR="00F43F8C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. ОВОГ ЧЛАНА ДО</w:t>
            </w:r>
            <w:r w:rsidR="00985047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СТАВЉА ДОКАЗЕ ИЗ СТАВА 4. ТАЧ. 1</w:t>
            </w:r>
            <w:r w:rsidR="00F43F8C"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>), ЈЕР ТРАЖЕНЕ ПОДАТКЕ ПОРЕСКА УПРАВА ПРИБАВЉА ПО СЛУЖБЕНОЈ ДУЖНОСТИ ИЗ СЛУЖБЕНИХ ЕВИДЕНЦИЈА, ИЗУЗЕВ УКОЛИКО СЕ ПОДНОСИЛАЦ ЗАХТЕВА ИЗРИЧИТО ИЗЈАСНИ ДА ЋЕ ТЕ ДОКАЗЕ САМ ПРИБАВИТИ.</w:t>
            </w:r>
          </w:p>
          <w:p w14:paraId="1074229F" w14:textId="26CBE84C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sz w:val="24"/>
                <w:szCs w:val="24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Централа, након извршене провере испуњености услова за рефакцију, решењем одлучује о захтеву у року од 30 дана од дана подношења захтева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и доставља решење подносиоцу захтева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, а у року од 15 дана од дана достављања решења врши се рефакција ПДВ. </w:t>
            </w:r>
          </w:p>
          <w:p w14:paraId="5260E9EE" w14:textId="77777777" w:rsidR="00B6657B" w:rsidRPr="00DF4AA7" w:rsidRDefault="00B6657B" w:rsidP="00B6657B">
            <w:pPr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</w:pP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ab/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  <w:r w:rsidRPr="00DF4AA7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sr-Latn-RS"/>
              </w:rPr>
              <w:t>Захтев и документација из ст. 1. и 4. овог члана достављају се у електронском облику преко портала Пореске управе, а решење из става 6. овог члана у електронском облику.</w:t>
            </w:r>
            <w:r w:rsidRPr="00DF4AA7">
              <w:rPr>
                <w:rFonts w:ascii="Times New Roman" w:eastAsia="Times New Roman" w:hAnsi="Times New Roman"/>
                <w:sz w:val="22"/>
                <w:szCs w:val="22"/>
                <w:lang w:val="sr-Cyrl-RS" w:eastAsia="sr-Latn-RS"/>
              </w:rPr>
              <w:t xml:space="preserve"> </w:t>
            </w:r>
          </w:p>
          <w:p w14:paraId="1506ADFF" w14:textId="77777777" w:rsidR="00CA1CE9" w:rsidRPr="00DF4AA7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F4AA7" w14:paraId="429F5407" w14:textId="77777777" w:rsidTr="001C32B0">
        <w:trPr>
          <w:trHeight w:val="454"/>
        </w:trPr>
        <w:tc>
          <w:tcPr>
            <w:tcW w:w="9286" w:type="dxa"/>
            <w:shd w:val="clear" w:color="auto" w:fill="DBE5F1" w:themeFill="accent1" w:themeFillTint="33"/>
            <w:vAlign w:val="center"/>
          </w:tcPr>
          <w:p w14:paraId="033C7D4B" w14:textId="7099FA8B" w:rsidR="00CA1CE9" w:rsidRPr="00DF4AA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4AA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F4AA7" w14:paraId="72BD2239" w14:textId="77777777" w:rsidTr="001C32B0">
        <w:trPr>
          <w:trHeight w:val="454"/>
        </w:trPr>
        <w:tc>
          <w:tcPr>
            <w:tcW w:w="9286" w:type="dxa"/>
            <w:shd w:val="clear" w:color="auto" w:fill="auto"/>
          </w:tcPr>
          <w:p w14:paraId="22D8F136" w14:textId="7B2BBC7C" w:rsidR="003B4323" w:rsidRPr="00C31EBD" w:rsidRDefault="003B4323" w:rsidP="003B43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току 20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16. године поднетo је </w:t>
            </w:r>
            <w:r w:rsidR="002553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укупно </w:t>
            </w:r>
            <w:r w:rsidR="00085E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</w:t>
            </w:r>
            <w:r w:rsidR="00255341" w:rsidRPr="002553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031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2553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рефакцију </w:t>
            </w:r>
            <w:r w:rsidR="002553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пореза на додату вредност.</w:t>
            </w:r>
          </w:p>
          <w:p w14:paraId="77AA7503" w14:textId="10C66A06" w:rsidR="003B4323" w:rsidRDefault="003B4323" w:rsidP="003B43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Директан трошак спровођења овог поступка за привредне субјекте на годишњем нивоу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износио је </w:t>
            </w:r>
            <w:r w:rsidR="00085E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863.462,</w:t>
            </w:r>
            <w:r w:rsidRPr="003B43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31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РСД, што је еквивалентн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 износу од 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  <w:r w:rsidR="00085E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7.099,</w:t>
            </w:r>
            <w:r w:rsidRPr="003B43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56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ЕУР по</w:t>
            </w:r>
            <w:r>
              <w:t xml:space="preserve"> 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средњем курсу Народне банке Србије за 2017. годину и представља укупан административни трошак привреде на годишњем нивоу за спровођење овог поступка. </w:t>
            </w:r>
          </w:p>
          <w:p w14:paraId="26DE338F" w14:textId="77777777" w:rsidR="00C96458" w:rsidRPr="00C31EBD" w:rsidRDefault="00C96458" w:rsidP="003B43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331CCBA4" w14:textId="76AAF0CB" w:rsidR="00CA1CE9" w:rsidRPr="003B4323" w:rsidRDefault="003B4323" w:rsidP="003B43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и примена препорука, односно поједностављење поступка ће донети привредним субјектима годиш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ње директне уштеде од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 </w:t>
            </w:r>
            <w:r w:rsidR="00085E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2.909,</w:t>
            </w:r>
            <w:r w:rsidRPr="003B43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12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РСД или</w:t>
            </w:r>
            <w:r>
              <w:t xml:space="preserve"> </w:t>
            </w:r>
            <w:r w:rsidR="00085EA8">
              <w:rPr>
                <w:rFonts w:ascii="Times New Roman" w:hAnsi="Times New Roman"/>
                <w:sz w:val="22"/>
                <w:szCs w:val="22"/>
              </w:rPr>
              <w:t>23,</w:t>
            </w:r>
            <w:r w:rsidRPr="003B4323">
              <w:rPr>
                <w:rFonts w:ascii="Times New Roman" w:hAnsi="Times New Roman"/>
                <w:sz w:val="22"/>
                <w:szCs w:val="22"/>
              </w:rPr>
              <w:t>92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ЕУР. Ове уштеде износе 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B43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0.34</w:t>
            </w:r>
            <w:r w:rsidRPr="00C31EB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% укупних директних трошкова привредних субјеката у поступку.</w:t>
            </w:r>
          </w:p>
        </w:tc>
      </w:tr>
    </w:tbl>
    <w:p w14:paraId="5CE5710A" w14:textId="1C5B3A41" w:rsidR="003E3C16" w:rsidRPr="00DF4AA7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F4AA7" w:rsidSect="005655B5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F6C5A" w14:textId="77777777" w:rsidR="00103FC6" w:rsidRDefault="00103FC6" w:rsidP="002A202F">
      <w:r>
        <w:separator/>
      </w:r>
    </w:p>
  </w:endnote>
  <w:endnote w:type="continuationSeparator" w:id="0">
    <w:p w14:paraId="6B79C7F7" w14:textId="77777777" w:rsidR="00103FC6" w:rsidRDefault="00103FC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7173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9396FA" w14:textId="665B3905" w:rsidR="005655B5" w:rsidRDefault="005655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4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37CC0" w14:textId="77777777" w:rsidR="00103FC6" w:rsidRDefault="00103FC6" w:rsidP="002A202F">
      <w:r>
        <w:separator/>
      </w:r>
    </w:p>
  </w:footnote>
  <w:footnote w:type="continuationSeparator" w:id="0">
    <w:p w14:paraId="2A766817" w14:textId="77777777" w:rsidR="00103FC6" w:rsidRDefault="00103FC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E4928"/>
    <w:multiLevelType w:val="hybridMultilevel"/>
    <w:tmpl w:val="AC26A562"/>
    <w:lvl w:ilvl="0" w:tplc="2C1A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65739"/>
    <w:multiLevelType w:val="hybridMultilevel"/>
    <w:tmpl w:val="460CCE54"/>
    <w:lvl w:ilvl="0" w:tplc="080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numFmt w:val="decimal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4AC07184"/>
    <w:multiLevelType w:val="hybridMultilevel"/>
    <w:tmpl w:val="60AC08F4"/>
    <w:lvl w:ilvl="0" w:tplc="C122E03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051" w:hanging="360"/>
      </w:pPr>
    </w:lvl>
    <w:lvl w:ilvl="2" w:tplc="2C1A001B" w:tentative="1">
      <w:start w:val="1"/>
      <w:numFmt w:val="lowerRoman"/>
      <w:lvlText w:val="%3."/>
      <w:lvlJc w:val="right"/>
      <w:pPr>
        <w:ind w:left="1771" w:hanging="180"/>
      </w:pPr>
    </w:lvl>
    <w:lvl w:ilvl="3" w:tplc="2C1A000F" w:tentative="1">
      <w:start w:val="1"/>
      <w:numFmt w:val="decimal"/>
      <w:lvlText w:val="%4."/>
      <w:lvlJc w:val="left"/>
      <w:pPr>
        <w:ind w:left="2491" w:hanging="360"/>
      </w:pPr>
    </w:lvl>
    <w:lvl w:ilvl="4" w:tplc="2C1A0019" w:tentative="1">
      <w:start w:val="1"/>
      <w:numFmt w:val="lowerLetter"/>
      <w:lvlText w:val="%5."/>
      <w:lvlJc w:val="left"/>
      <w:pPr>
        <w:ind w:left="3211" w:hanging="360"/>
      </w:pPr>
    </w:lvl>
    <w:lvl w:ilvl="5" w:tplc="2C1A001B" w:tentative="1">
      <w:start w:val="1"/>
      <w:numFmt w:val="lowerRoman"/>
      <w:lvlText w:val="%6."/>
      <w:lvlJc w:val="right"/>
      <w:pPr>
        <w:ind w:left="3931" w:hanging="180"/>
      </w:pPr>
    </w:lvl>
    <w:lvl w:ilvl="6" w:tplc="2C1A000F" w:tentative="1">
      <w:start w:val="1"/>
      <w:numFmt w:val="decimal"/>
      <w:lvlText w:val="%7."/>
      <w:lvlJc w:val="left"/>
      <w:pPr>
        <w:ind w:left="4651" w:hanging="360"/>
      </w:pPr>
    </w:lvl>
    <w:lvl w:ilvl="7" w:tplc="2C1A0019" w:tentative="1">
      <w:start w:val="1"/>
      <w:numFmt w:val="lowerLetter"/>
      <w:lvlText w:val="%8."/>
      <w:lvlJc w:val="left"/>
      <w:pPr>
        <w:ind w:left="5371" w:hanging="360"/>
      </w:pPr>
    </w:lvl>
    <w:lvl w:ilvl="8" w:tplc="2C1A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64944"/>
    <w:multiLevelType w:val="hybridMultilevel"/>
    <w:tmpl w:val="6332037C"/>
    <w:lvl w:ilvl="0" w:tplc="5776BB92">
      <w:numFmt w:val="decimal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A027D"/>
    <w:multiLevelType w:val="hybridMultilevel"/>
    <w:tmpl w:val="538205DC"/>
    <w:lvl w:ilvl="0" w:tplc="9A7ACA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5"/>
  </w:num>
  <w:num w:numId="5">
    <w:abstractNumId w:val="2"/>
  </w:num>
  <w:num w:numId="6">
    <w:abstractNumId w:val="14"/>
  </w:num>
  <w:num w:numId="7">
    <w:abstractNumId w:val="29"/>
  </w:num>
  <w:num w:numId="8">
    <w:abstractNumId w:val="11"/>
  </w:num>
  <w:num w:numId="9">
    <w:abstractNumId w:val="26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2"/>
  </w:num>
  <w:num w:numId="17">
    <w:abstractNumId w:val="10"/>
  </w:num>
  <w:num w:numId="18">
    <w:abstractNumId w:val="27"/>
  </w:num>
  <w:num w:numId="19">
    <w:abstractNumId w:val="6"/>
  </w:num>
  <w:num w:numId="20">
    <w:abstractNumId w:val="30"/>
  </w:num>
  <w:num w:numId="21">
    <w:abstractNumId w:val="7"/>
  </w:num>
  <w:num w:numId="22">
    <w:abstractNumId w:val="4"/>
  </w:num>
  <w:num w:numId="23">
    <w:abstractNumId w:val="19"/>
  </w:num>
  <w:num w:numId="24">
    <w:abstractNumId w:val="0"/>
  </w:num>
  <w:num w:numId="25">
    <w:abstractNumId w:val="17"/>
  </w:num>
  <w:num w:numId="26">
    <w:abstractNumId w:val="1"/>
  </w:num>
  <w:num w:numId="27">
    <w:abstractNumId w:val="9"/>
  </w:num>
  <w:num w:numId="28">
    <w:abstractNumId w:val="16"/>
  </w:num>
  <w:num w:numId="29">
    <w:abstractNumId w:val="25"/>
  </w:num>
  <w:num w:numId="30">
    <w:abstractNumId w:val="3"/>
  </w:num>
  <w:num w:numId="31">
    <w:abstractNumId w:val="13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165"/>
    <w:rsid w:val="00010A90"/>
    <w:rsid w:val="0001445B"/>
    <w:rsid w:val="00023EF9"/>
    <w:rsid w:val="00026C2F"/>
    <w:rsid w:val="00027945"/>
    <w:rsid w:val="00036812"/>
    <w:rsid w:val="000429CF"/>
    <w:rsid w:val="00044F35"/>
    <w:rsid w:val="00044F63"/>
    <w:rsid w:val="00050616"/>
    <w:rsid w:val="00061070"/>
    <w:rsid w:val="00071011"/>
    <w:rsid w:val="00083993"/>
    <w:rsid w:val="00085EA8"/>
    <w:rsid w:val="00092B84"/>
    <w:rsid w:val="0009542A"/>
    <w:rsid w:val="000A414D"/>
    <w:rsid w:val="000A53F3"/>
    <w:rsid w:val="000A5CDC"/>
    <w:rsid w:val="000A6625"/>
    <w:rsid w:val="000B54D7"/>
    <w:rsid w:val="000B706F"/>
    <w:rsid w:val="000D5029"/>
    <w:rsid w:val="000E2036"/>
    <w:rsid w:val="000F3DA2"/>
    <w:rsid w:val="000F5E72"/>
    <w:rsid w:val="00103FC6"/>
    <w:rsid w:val="001156BA"/>
    <w:rsid w:val="00132519"/>
    <w:rsid w:val="0015182D"/>
    <w:rsid w:val="00161847"/>
    <w:rsid w:val="00170CA7"/>
    <w:rsid w:val="001711C5"/>
    <w:rsid w:val="00191DDA"/>
    <w:rsid w:val="001A023F"/>
    <w:rsid w:val="001A3FAC"/>
    <w:rsid w:val="001A6472"/>
    <w:rsid w:val="001B7CD7"/>
    <w:rsid w:val="001C32B0"/>
    <w:rsid w:val="001C5538"/>
    <w:rsid w:val="001D0EDE"/>
    <w:rsid w:val="001D20E2"/>
    <w:rsid w:val="001E38DE"/>
    <w:rsid w:val="001F7B31"/>
    <w:rsid w:val="0020601F"/>
    <w:rsid w:val="00212DA5"/>
    <w:rsid w:val="0021347C"/>
    <w:rsid w:val="002312C8"/>
    <w:rsid w:val="002323AC"/>
    <w:rsid w:val="00251D0D"/>
    <w:rsid w:val="00255341"/>
    <w:rsid w:val="00260B72"/>
    <w:rsid w:val="00261404"/>
    <w:rsid w:val="002673B0"/>
    <w:rsid w:val="00275E2A"/>
    <w:rsid w:val="00282466"/>
    <w:rsid w:val="00295602"/>
    <w:rsid w:val="00296938"/>
    <w:rsid w:val="002A202F"/>
    <w:rsid w:val="002A2672"/>
    <w:rsid w:val="002A4B3C"/>
    <w:rsid w:val="002B19B4"/>
    <w:rsid w:val="002B4C66"/>
    <w:rsid w:val="002B7524"/>
    <w:rsid w:val="002F1BEC"/>
    <w:rsid w:val="002F4757"/>
    <w:rsid w:val="00322199"/>
    <w:rsid w:val="003223C7"/>
    <w:rsid w:val="00326555"/>
    <w:rsid w:val="00330103"/>
    <w:rsid w:val="003410E0"/>
    <w:rsid w:val="003476CC"/>
    <w:rsid w:val="00350EAD"/>
    <w:rsid w:val="00355020"/>
    <w:rsid w:val="003651DB"/>
    <w:rsid w:val="003715A0"/>
    <w:rsid w:val="0037171F"/>
    <w:rsid w:val="00376FD1"/>
    <w:rsid w:val="0039002C"/>
    <w:rsid w:val="003935D3"/>
    <w:rsid w:val="003B4323"/>
    <w:rsid w:val="003B44DB"/>
    <w:rsid w:val="003B4BC9"/>
    <w:rsid w:val="003B6298"/>
    <w:rsid w:val="003C4AD8"/>
    <w:rsid w:val="003E2EB1"/>
    <w:rsid w:val="003E3C16"/>
    <w:rsid w:val="003E6745"/>
    <w:rsid w:val="00407D96"/>
    <w:rsid w:val="00412E1B"/>
    <w:rsid w:val="00432495"/>
    <w:rsid w:val="00440009"/>
    <w:rsid w:val="00440EE9"/>
    <w:rsid w:val="00444DA7"/>
    <w:rsid w:val="004473D6"/>
    <w:rsid w:val="00454455"/>
    <w:rsid w:val="00456E9D"/>
    <w:rsid w:val="00457882"/>
    <w:rsid w:val="00463CC7"/>
    <w:rsid w:val="00472E76"/>
    <w:rsid w:val="004809C4"/>
    <w:rsid w:val="0048433C"/>
    <w:rsid w:val="004847B1"/>
    <w:rsid w:val="0049545B"/>
    <w:rsid w:val="004A1FB3"/>
    <w:rsid w:val="004B1999"/>
    <w:rsid w:val="004D3BD0"/>
    <w:rsid w:val="004D45B1"/>
    <w:rsid w:val="004D68A7"/>
    <w:rsid w:val="004D6D8D"/>
    <w:rsid w:val="004E29D1"/>
    <w:rsid w:val="00500566"/>
    <w:rsid w:val="0050561B"/>
    <w:rsid w:val="005073A3"/>
    <w:rsid w:val="00510965"/>
    <w:rsid w:val="00523608"/>
    <w:rsid w:val="00525C0A"/>
    <w:rsid w:val="00535608"/>
    <w:rsid w:val="005408D6"/>
    <w:rsid w:val="00543475"/>
    <w:rsid w:val="00556688"/>
    <w:rsid w:val="0056162B"/>
    <w:rsid w:val="005655B5"/>
    <w:rsid w:val="0056707B"/>
    <w:rsid w:val="00581A9D"/>
    <w:rsid w:val="00596644"/>
    <w:rsid w:val="005A2503"/>
    <w:rsid w:val="005A7A8E"/>
    <w:rsid w:val="005B355C"/>
    <w:rsid w:val="005B4F04"/>
    <w:rsid w:val="005B7CB9"/>
    <w:rsid w:val="005B7DEC"/>
    <w:rsid w:val="005D0023"/>
    <w:rsid w:val="005E21C4"/>
    <w:rsid w:val="005F4D59"/>
    <w:rsid w:val="0060001C"/>
    <w:rsid w:val="00600D31"/>
    <w:rsid w:val="00602133"/>
    <w:rsid w:val="0060786A"/>
    <w:rsid w:val="00610FDC"/>
    <w:rsid w:val="006163E3"/>
    <w:rsid w:val="006237FE"/>
    <w:rsid w:val="00627AF7"/>
    <w:rsid w:val="00632540"/>
    <w:rsid w:val="00633F73"/>
    <w:rsid w:val="0064441B"/>
    <w:rsid w:val="00645199"/>
    <w:rsid w:val="0064553D"/>
    <w:rsid w:val="00645850"/>
    <w:rsid w:val="00654940"/>
    <w:rsid w:val="00661ECF"/>
    <w:rsid w:val="00677032"/>
    <w:rsid w:val="00692071"/>
    <w:rsid w:val="00694B28"/>
    <w:rsid w:val="006C5349"/>
    <w:rsid w:val="006C5F2A"/>
    <w:rsid w:val="006C662C"/>
    <w:rsid w:val="006D771A"/>
    <w:rsid w:val="006F4A5C"/>
    <w:rsid w:val="00700E90"/>
    <w:rsid w:val="00715F5C"/>
    <w:rsid w:val="0071673F"/>
    <w:rsid w:val="007278C1"/>
    <w:rsid w:val="00727EED"/>
    <w:rsid w:val="00733493"/>
    <w:rsid w:val="00734213"/>
    <w:rsid w:val="0073666B"/>
    <w:rsid w:val="00737F1D"/>
    <w:rsid w:val="00751940"/>
    <w:rsid w:val="00763B85"/>
    <w:rsid w:val="00782816"/>
    <w:rsid w:val="00785A46"/>
    <w:rsid w:val="007861E3"/>
    <w:rsid w:val="007879B1"/>
    <w:rsid w:val="007940D6"/>
    <w:rsid w:val="007B1740"/>
    <w:rsid w:val="007C61B5"/>
    <w:rsid w:val="007D3889"/>
    <w:rsid w:val="007D39E4"/>
    <w:rsid w:val="007D43A7"/>
    <w:rsid w:val="007E1695"/>
    <w:rsid w:val="007E35E6"/>
    <w:rsid w:val="007E6FFB"/>
    <w:rsid w:val="007F204C"/>
    <w:rsid w:val="00804060"/>
    <w:rsid w:val="00815252"/>
    <w:rsid w:val="008166C9"/>
    <w:rsid w:val="00820CEE"/>
    <w:rsid w:val="00824E43"/>
    <w:rsid w:val="00833D8C"/>
    <w:rsid w:val="00834C9A"/>
    <w:rsid w:val="0084708C"/>
    <w:rsid w:val="008504A9"/>
    <w:rsid w:val="00850AD5"/>
    <w:rsid w:val="00851619"/>
    <w:rsid w:val="00852739"/>
    <w:rsid w:val="008629CC"/>
    <w:rsid w:val="00865EBB"/>
    <w:rsid w:val="00886C36"/>
    <w:rsid w:val="008A6AC8"/>
    <w:rsid w:val="008C0A88"/>
    <w:rsid w:val="008C2EBF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1754"/>
    <w:rsid w:val="009446BC"/>
    <w:rsid w:val="00947592"/>
    <w:rsid w:val="00950280"/>
    <w:rsid w:val="009664C5"/>
    <w:rsid w:val="0097630B"/>
    <w:rsid w:val="009771CC"/>
    <w:rsid w:val="00981FB2"/>
    <w:rsid w:val="00983436"/>
    <w:rsid w:val="00985047"/>
    <w:rsid w:val="00991A18"/>
    <w:rsid w:val="009921B7"/>
    <w:rsid w:val="00994A16"/>
    <w:rsid w:val="009A032C"/>
    <w:rsid w:val="009A23A8"/>
    <w:rsid w:val="009A30D3"/>
    <w:rsid w:val="009A6644"/>
    <w:rsid w:val="009C1BA0"/>
    <w:rsid w:val="009D03A7"/>
    <w:rsid w:val="009D4777"/>
    <w:rsid w:val="009E0479"/>
    <w:rsid w:val="009E316A"/>
    <w:rsid w:val="009F2FAA"/>
    <w:rsid w:val="00A0102E"/>
    <w:rsid w:val="00A12960"/>
    <w:rsid w:val="00A13B9F"/>
    <w:rsid w:val="00A1570D"/>
    <w:rsid w:val="00A15733"/>
    <w:rsid w:val="00A22386"/>
    <w:rsid w:val="00A53586"/>
    <w:rsid w:val="00A56B75"/>
    <w:rsid w:val="00A71C04"/>
    <w:rsid w:val="00A93BD0"/>
    <w:rsid w:val="00A96FC2"/>
    <w:rsid w:val="00AA0017"/>
    <w:rsid w:val="00AA4BC5"/>
    <w:rsid w:val="00AB09B3"/>
    <w:rsid w:val="00AB30B8"/>
    <w:rsid w:val="00AC02D1"/>
    <w:rsid w:val="00AF1251"/>
    <w:rsid w:val="00AF5871"/>
    <w:rsid w:val="00B06019"/>
    <w:rsid w:val="00B06DAC"/>
    <w:rsid w:val="00B07409"/>
    <w:rsid w:val="00B1006E"/>
    <w:rsid w:val="00B161D8"/>
    <w:rsid w:val="00B178FB"/>
    <w:rsid w:val="00B5252A"/>
    <w:rsid w:val="00B608DE"/>
    <w:rsid w:val="00B63DB1"/>
    <w:rsid w:val="00B64582"/>
    <w:rsid w:val="00B6541F"/>
    <w:rsid w:val="00B6657B"/>
    <w:rsid w:val="00B67138"/>
    <w:rsid w:val="00B6715C"/>
    <w:rsid w:val="00B81CFE"/>
    <w:rsid w:val="00B903AE"/>
    <w:rsid w:val="00B9157F"/>
    <w:rsid w:val="00B95225"/>
    <w:rsid w:val="00BA4F99"/>
    <w:rsid w:val="00BA55D3"/>
    <w:rsid w:val="00BA6759"/>
    <w:rsid w:val="00BA7204"/>
    <w:rsid w:val="00BB2C8C"/>
    <w:rsid w:val="00BC6826"/>
    <w:rsid w:val="00BE1FCD"/>
    <w:rsid w:val="00BE72FF"/>
    <w:rsid w:val="00C0295C"/>
    <w:rsid w:val="00C03C06"/>
    <w:rsid w:val="00C121EC"/>
    <w:rsid w:val="00C12C65"/>
    <w:rsid w:val="00C21FB2"/>
    <w:rsid w:val="00C445E2"/>
    <w:rsid w:val="00C65E04"/>
    <w:rsid w:val="00C70F1B"/>
    <w:rsid w:val="00C7129D"/>
    <w:rsid w:val="00C748D1"/>
    <w:rsid w:val="00C81F73"/>
    <w:rsid w:val="00C91014"/>
    <w:rsid w:val="00C94343"/>
    <w:rsid w:val="00C96458"/>
    <w:rsid w:val="00CA1CE9"/>
    <w:rsid w:val="00CA638B"/>
    <w:rsid w:val="00CA6C5A"/>
    <w:rsid w:val="00CB1A4E"/>
    <w:rsid w:val="00CC29F6"/>
    <w:rsid w:val="00CC7783"/>
    <w:rsid w:val="00CD2287"/>
    <w:rsid w:val="00CD236E"/>
    <w:rsid w:val="00CD5BBB"/>
    <w:rsid w:val="00CE0685"/>
    <w:rsid w:val="00CF6A88"/>
    <w:rsid w:val="00D10A5D"/>
    <w:rsid w:val="00D14CFD"/>
    <w:rsid w:val="00D23BD9"/>
    <w:rsid w:val="00D24CE2"/>
    <w:rsid w:val="00D31FF1"/>
    <w:rsid w:val="00D37EA5"/>
    <w:rsid w:val="00D40746"/>
    <w:rsid w:val="00D51DBB"/>
    <w:rsid w:val="00D568F7"/>
    <w:rsid w:val="00D56DBB"/>
    <w:rsid w:val="00D646A5"/>
    <w:rsid w:val="00D73628"/>
    <w:rsid w:val="00D73918"/>
    <w:rsid w:val="00D76005"/>
    <w:rsid w:val="00D83233"/>
    <w:rsid w:val="00D967D7"/>
    <w:rsid w:val="00DA03B1"/>
    <w:rsid w:val="00DA125D"/>
    <w:rsid w:val="00DA2B0C"/>
    <w:rsid w:val="00DB19B9"/>
    <w:rsid w:val="00DC4BC2"/>
    <w:rsid w:val="00DE057D"/>
    <w:rsid w:val="00DE5068"/>
    <w:rsid w:val="00DF4AA7"/>
    <w:rsid w:val="00E0020F"/>
    <w:rsid w:val="00E118C7"/>
    <w:rsid w:val="00E1427B"/>
    <w:rsid w:val="00E14E0D"/>
    <w:rsid w:val="00E17959"/>
    <w:rsid w:val="00E2143C"/>
    <w:rsid w:val="00E22B8B"/>
    <w:rsid w:val="00E25381"/>
    <w:rsid w:val="00E317D1"/>
    <w:rsid w:val="00E33D52"/>
    <w:rsid w:val="00E34343"/>
    <w:rsid w:val="00E40DF0"/>
    <w:rsid w:val="00E4267B"/>
    <w:rsid w:val="00E47DAC"/>
    <w:rsid w:val="00E63C8A"/>
    <w:rsid w:val="00E70BF6"/>
    <w:rsid w:val="00E72BB6"/>
    <w:rsid w:val="00E84551"/>
    <w:rsid w:val="00EA329C"/>
    <w:rsid w:val="00EA74E6"/>
    <w:rsid w:val="00EE147C"/>
    <w:rsid w:val="00EE4E3C"/>
    <w:rsid w:val="00F11C98"/>
    <w:rsid w:val="00F12E47"/>
    <w:rsid w:val="00F223B2"/>
    <w:rsid w:val="00F26899"/>
    <w:rsid w:val="00F408D4"/>
    <w:rsid w:val="00F43F8C"/>
    <w:rsid w:val="00F446FE"/>
    <w:rsid w:val="00F53241"/>
    <w:rsid w:val="00F565BB"/>
    <w:rsid w:val="00F67790"/>
    <w:rsid w:val="00F96603"/>
    <w:rsid w:val="00FB1A1B"/>
    <w:rsid w:val="00FB645B"/>
    <w:rsid w:val="00FB6998"/>
    <w:rsid w:val="00FC09D6"/>
    <w:rsid w:val="00FC34EC"/>
    <w:rsid w:val="00FC3F69"/>
    <w:rsid w:val="00FC5312"/>
    <w:rsid w:val="00FC6E33"/>
    <w:rsid w:val="00FD3964"/>
    <w:rsid w:val="00FF45BB"/>
    <w:rsid w:val="00FF4DB4"/>
    <w:rsid w:val="00FF6F71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8B673EA-744D-44D7-8BB4-140B3A86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FB699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FootnoteReference">
    <w:name w:val="footnote reference"/>
    <w:basedOn w:val="DefaultParagraphFont"/>
    <w:uiPriority w:val="99"/>
    <w:unhideWhenUsed/>
    <w:rsid w:val="0097630B"/>
    <w:rPr>
      <w:vertAlign w:val="superscript"/>
    </w:rPr>
  </w:style>
  <w:style w:type="paragraph" w:styleId="Revision">
    <w:name w:val="Revision"/>
    <w:hidden/>
    <w:uiPriority w:val="99"/>
    <w:semiHidden/>
    <w:rsid w:val="00FC6E3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trong">
    <w:name w:val="Strong"/>
    <w:uiPriority w:val="22"/>
    <w:qFormat/>
    <w:rsid w:val="002B4C66"/>
    <w:rPr>
      <w:b/>
      <w:bCs/>
    </w:rPr>
  </w:style>
  <w:style w:type="paragraph" w:customStyle="1" w:styleId="basic-paragraph">
    <w:name w:val="basic-paragraph"/>
    <w:basedOn w:val="Normal"/>
    <w:rsid w:val="002B4C66"/>
    <w:pPr>
      <w:spacing w:after="150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8033-E39E-4074-8AC5-2F321AB0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Igor</cp:lastModifiedBy>
  <cp:revision>4</cp:revision>
  <cp:lastPrinted>2018-09-05T12:48:00Z</cp:lastPrinted>
  <dcterms:created xsi:type="dcterms:W3CDTF">2020-05-11T19:27:00Z</dcterms:created>
  <dcterms:modified xsi:type="dcterms:W3CDTF">2020-05-11T21:11:00Z</dcterms:modified>
</cp:coreProperties>
</file>