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99C38" w14:textId="3A8A2A11" w:rsidR="00D26242" w:rsidRPr="00B8165C" w:rsidRDefault="00B8165C" w:rsidP="00D2624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ПОЈЕДНОСТАВЉЕЊЕ ПОСТУПКА ДОДЕЛЕ </w:t>
      </w:r>
      <w:r w:rsidRPr="00B8165C">
        <w:rPr>
          <w:rFonts w:ascii="Times New Roman" w:eastAsia="Times New Roman" w:hAnsi="Times New Roman" w:cs="Times New Roman"/>
          <w:b/>
          <w:lang w:val="sr-Cyrl-RS"/>
        </w:rPr>
        <w:t>ИДЕНТИФИКАЦИОНОГ БРОЈА ФИСКАЛНОЈ КАСИ</w:t>
      </w:r>
    </w:p>
    <w:p w14:paraId="726ADD11" w14:textId="77777777" w:rsidR="00D26242" w:rsidRPr="002A69D4" w:rsidRDefault="00D26242" w:rsidP="00D26242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D26242" w:rsidRPr="002A69D4" w14:paraId="10CD92E8" w14:textId="77777777" w:rsidTr="18510E4D">
        <w:trPr>
          <w:trHeight w:val="88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8AFD562" w14:textId="77777777" w:rsidR="00D26242" w:rsidRPr="002A69D4" w:rsidRDefault="00D26242" w:rsidP="00D2624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C99BBFC" w14:textId="181764E9" w:rsidR="00D26242" w:rsidRPr="002A69D4" w:rsidRDefault="00DD4AF4" w:rsidP="00DF580A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proofErr w:type="spellStart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>Додела</w:t>
            </w:r>
            <w:proofErr w:type="spellEnd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>идентификационог</w:t>
            </w:r>
            <w:proofErr w:type="spellEnd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>броја</w:t>
            </w:r>
            <w:proofErr w:type="spellEnd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>фискалној</w:t>
            </w:r>
            <w:proofErr w:type="spellEnd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bCs/>
                <w:sz w:val="22"/>
                <w:szCs w:val="22"/>
              </w:rPr>
              <w:t>каси</w:t>
            </w:r>
            <w:proofErr w:type="spellEnd"/>
          </w:p>
        </w:tc>
      </w:tr>
      <w:tr w:rsidR="00D26242" w:rsidRPr="002A69D4" w14:paraId="3866932D" w14:textId="77777777" w:rsidTr="18510E4D">
        <w:trPr>
          <w:trHeight w:val="418"/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9899863" w14:textId="77777777" w:rsidR="00D26242" w:rsidRPr="002A69D4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6EA7DA17" w14:textId="5D0C7D7F" w:rsidR="00D26242" w:rsidRPr="002A69D4" w:rsidRDefault="00D26242" w:rsidP="00DF580A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</w:pPr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>01.0</w:t>
            </w:r>
            <w:r w:rsidR="006305C0"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1.0037</w:t>
            </w:r>
          </w:p>
        </w:tc>
      </w:tr>
      <w:tr w:rsidR="00D26242" w:rsidRPr="002A69D4" w14:paraId="3B3F530A" w14:textId="77777777" w:rsidTr="18510E4D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5228F1B3" w14:textId="77777777" w:rsidR="00D26242" w:rsidRPr="002A69D4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7CD3D64" w14:textId="77777777" w:rsidR="00D26242" w:rsidRPr="002A69D4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5E545BC" w14:textId="77777777" w:rsidR="00D26242" w:rsidRPr="002A69D4" w:rsidRDefault="009E4C63" w:rsidP="00DF580A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</w:rPr>
              <w:t>Пореска</w:t>
            </w:r>
            <w:proofErr w:type="spellEnd"/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</w:rPr>
              <w:t>управа</w:t>
            </w:r>
            <w:proofErr w:type="spellEnd"/>
          </w:p>
          <w:p w14:paraId="67B8E53D" w14:textId="31989299" w:rsidR="009E4C63" w:rsidRPr="002A69D4" w:rsidRDefault="009E4C63" w:rsidP="00DF580A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D26242" w:rsidRPr="002A69D4" w14:paraId="4A83D821" w14:textId="77777777" w:rsidTr="18510E4D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7618678" w14:textId="77777777" w:rsidR="00D26242" w:rsidRPr="002A69D4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86D8555" w14:textId="30977139" w:rsidR="00D26242" w:rsidRPr="002A69D4" w:rsidRDefault="32B8CA3A" w:rsidP="32B8CA3A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Закон о фискалним касама  („Службени гласник РС”, бр.</w:t>
            </w:r>
            <w:r w:rsidRPr="002A69D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135/04, 93/12)</w:t>
            </w:r>
          </w:p>
          <w:p w14:paraId="43706948" w14:textId="71D9D864" w:rsidR="00DD4AF4" w:rsidRPr="002A69D4" w:rsidRDefault="32B8CA3A" w:rsidP="32B8CA3A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</w:t>
            </w:r>
            <w:r w:rsidRPr="002A69D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140/04 и 44/18</w:t>
            </w:r>
            <w:r w:rsidR="003F28F0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26242" w:rsidRPr="002A69D4" w14:paraId="782BA989" w14:textId="77777777" w:rsidTr="18510E4D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F07562F" w14:textId="77777777" w:rsidR="00D26242" w:rsidRPr="002A69D4" w:rsidRDefault="00D26242" w:rsidP="00D26242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A69D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2A69D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A69D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2A69D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A69D4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17822E01" w14:textId="2EC48E54" w:rsidR="00D26242" w:rsidRPr="002A69D4" w:rsidRDefault="00365150" w:rsidP="00DF580A">
            <w:pPr>
              <w:spacing w:before="120" w:after="120"/>
              <w:ind w:left="-29"/>
              <w:jc w:val="both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D26242" w:rsidRPr="002A69D4" w14:paraId="44DE5838" w14:textId="77777777" w:rsidTr="18510E4D">
        <w:trPr>
          <w:jc w:val="center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3E13F06B" w14:textId="77777777" w:rsidR="00D26242" w:rsidRPr="002A69D4" w:rsidRDefault="00D26242" w:rsidP="00D2624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DFB1842" w14:textId="7F1823C9" w:rsidR="00D26242" w:rsidRPr="002A69D4" w:rsidRDefault="00D75E31" w:rsidP="00DF580A">
            <w:pPr>
              <w:spacing w:before="120" w:after="120"/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D75E3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Четврти </w:t>
            </w:r>
            <w:r w:rsidR="003F28F0"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кв</w:t>
            </w:r>
            <w:r w:rsidR="007D6B4E"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артал 2020. године</w:t>
            </w:r>
            <w:bookmarkStart w:id="0" w:name="_GoBack"/>
            <w:bookmarkEnd w:id="0"/>
          </w:p>
        </w:tc>
      </w:tr>
      <w:tr w:rsidR="00D26242" w:rsidRPr="002A69D4" w14:paraId="7AC3F828" w14:textId="77777777" w:rsidTr="18510E4D">
        <w:trPr>
          <w:trHeight w:val="409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0EB37AF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26242" w:rsidRPr="002A69D4" w14:paraId="5BCD46A6" w14:textId="77777777" w:rsidTr="18510E4D">
        <w:trPr>
          <w:jc w:val="center"/>
        </w:trPr>
        <w:tc>
          <w:tcPr>
            <w:tcW w:w="9060" w:type="dxa"/>
            <w:gridSpan w:val="2"/>
          </w:tcPr>
          <w:p w14:paraId="23C846FF" w14:textId="77777777" w:rsidR="00D36E1A" w:rsidRPr="002A69D4" w:rsidRDefault="006754B5" w:rsidP="00437A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proofErr w:type="spellStart"/>
            <w:r w:rsidRPr="002A69D4">
              <w:rPr>
                <w:rFonts w:ascii="Times New Roman" w:eastAsiaTheme="minorHAnsi" w:hAnsi="Times New Roman"/>
                <w:sz w:val="22"/>
                <w:szCs w:val="22"/>
              </w:rPr>
              <w:t>Поступак</w:t>
            </w:r>
            <w:proofErr w:type="spellEnd"/>
            <w:r w:rsidRPr="002A69D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подразумева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подношење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лично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2A69D4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Још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увек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није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успостављена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пуна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електронска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управа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нити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поједини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сегменти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A69D4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A69D4">
              <w:rPr>
                <w:rFonts w:ascii="Times New Roman" w:hAnsi="Times New Roman"/>
                <w:sz w:val="22"/>
                <w:szCs w:val="22"/>
              </w:rPr>
              <w:t>.</w:t>
            </w:r>
            <w:r w:rsidR="0065041F" w:rsidRPr="002A6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B141097" w14:textId="244FD2E1" w:rsidR="00672148" w:rsidRPr="002A69D4" w:rsidRDefault="00672148" w:rsidP="00672148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Анализом овог административног поступка је утврђено да се на крају ЗИБ обрасца налази место за печат, а што је</w:t>
            </w:r>
            <w:r w:rsidRPr="002A69D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супротно члану 25. Закона о привредним друштвима којим је шредвиђено да се привредном друштву не може увести обавеза употребе печата у пословним и другим документима друштва.</w:t>
            </w:r>
          </w:p>
        </w:tc>
      </w:tr>
      <w:tr w:rsidR="00D26242" w:rsidRPr="002A69D4" w14:paraId="6C1D4689" w14:textId="77777777" w:rsidTr="18510E4D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9E2F3" w:themeFill="accent1" w:themeFillTint="33"/>
            <w:vAlign w:val="center"/>
          </w:tcPr>
          <w:p w14:paraId="6D1C2751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26242" w:rsidRPr="002A69D4" w14:paraId="25515A0A" w14:textId="77777777" w:rsidTr="18510E4D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A27D634" w14:textId="77777777" w:rsidR="00D26242" w:rsidRPr="002A69D4" w:rsidRDefault="00D26242" w:rsidP="00D26242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26242" w:rsidRPr="002A69D4" w14:paraId="486ED53F" w14:textId="77777777" w:rsidTr="18510E4D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363"/>
              <w:gridCol w:w="1877"/>
              <w:gridCol w:w="2023"/>
              <w:gridCol w:w="1571"/>
            </w:tblGrid>
            <w:tr w:rsidR="00D26242" w:rsidRPr="002A69D4" w14:paraId="127D8F91" w14:textId="77777777" w:rsidTr="32B8CA3A">
              <w:trPr>
                <w:trHeight w:val="749"/>
              </w:trPr>
              <w:tc>
                <w:tcPr>
                  <w:tcW w:w="3510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F8009C" w14:textId="77777777" w:rsidR="00D26242" w:rsidRPr="002A69D4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736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13C2562" w14:textId="77777777" w:rsidR="00D26242" w:rsidRPr="002A69D4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B72E9BB" w14:textId="77777777" w:rsidR="00D26242" w:rsidRPr="002A69D4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26242" w:rsidRPr="002A69D4" w14:paraId="55743499" w14:textId="77777777" w:rsidTr="32B8CA3A">
              <w:trPr>
                <w:trHeight w:val="260"/>
              </w:trPr>
              <w:tc>
                <w:tcPr>
                  <w:tcW w:w="3510" w:type="dxa"/>
                  <w:vMerge/>
                </w:tcPr>
                <w:p w14:paraId="75F95EFA" w14:textId="77777777" w:rsidR="00D26242" w:rsidRPr="002A69D4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7ABD8A96" w14:textId="77777777" w:rsidR="00D26242" w:rsidRPr="002A69D4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47AA0BD" w14:textId="77777777" w:rsidR="00D26242" w:rsidRPr="002A69D4" w:rsidRDefault="00D26242" w:rsidP="00D2624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7F75636C" w14:textId="77777777" w:rsidR="00D26242" w:rsidRPr="002A69D4" w:rsidRDefault="00D26242" w:rsidP="00D26242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754B5" w:rsidRPr="002A69D4" w14:paraId="6996F1CF" w14:textId="77777777" w:rsidTr="32B8CA3A">
              <w:trPr>
                <w:trHeight w:val="489"/>
              </w:trPr>
              <w:tc>
                <w:tcPr>
                  <w:tcW w:w="3510" w:type="dxa"/>
                  <w:vAlign w:val="center"/>
                </w:tcPr>
                <w:p w14:paraId="1E451C49" w14:textId="77DF7277" w:rsidR="006754B5" w:rsidRPr="002A69D4" w:rsidRDefault="32B8CA3A" w:rsidP="005B42EB">
                  <w:pPr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</w:tcPr>
                <w:p w14:paraId="5C5AE114" w14:textId="436CD3CF" w:rsidR="006754B5" w:rsidRPr="002A69D4" w:rsidRDefault="006754B5" w:rsidP="004C20E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5799DD3" w14:textId="4D4ADDCF" w:rsidR="006754B5" w:rsidRPr="002A69D4" w:rsidRDefault="00DF580A" w:rsidP="00DF580A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   Х</w:t>
                  </w:r>
                </w:p>
              </w:tc>
              <w:tc>
                <w:tcPr>
                  <w:tcW w:w="1588" w:type="dxa"/>
                </w:tcPr>
                <w:p w14:paraId="45A86E29" w14:textId="38A1E289" w:rsidR="006754B5" w:rsidRPr="002A69D4" w:rsidRDefault="006754B5" w:rsidP="00DF580A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D4AF4" w:rsidRPr="002A69D4" w14:paraId="0D7B6E4D" w14:textId="77777777" w:rsidTr="32B8CA3A">
              <w:trPr>
                <w:trHeight w:val="489"/>
              </w:trPr>
              <w:tc>
                <w:tcPr>
                  <w:tcW w:w="3510" w:type="dxa"/>
                  <w:vAlign w:val="center"/>
                </w:tcPr>
                <w:p w14:paraId="74B1FFF8" w14:textId="37EF685A" w:rsidR="00DD4AF4" w:rsidRPr="002A69D4" w:rsidRDefault="001C6915" w:rsidP="001C6915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на ЗИБ обрасцу</w:t>
                  </w:r>
                </w:p>
              </w:tc>
              <w:tc>
                <w:tcPr>
                  <w:tcW w:w="1784" w:type="dxa"/>
                </w:tcPr>
                <w:p w14:paraId="6BB5C3DA" w14:textId="4594EB28" w:rsidR="00DD4AF4" w:rsidRPr="002A69D4" w:rsidRDefault="00DD4AF4" w:rsidP="001C691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37277EA7" w14:textId="434D55D8" w:rsidR="00DD4AF4" w:rsidRPr="002A69D4" w:rsidRDefault="002A69D4" w:rsidP="002A69D4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  <w:r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              </w:t>
                  </w:r>
                  <w:r w:rsidR="00365150" w:rsidRPr="002A69D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01329B46" w14:textId="5963A025" w:rsidR="00DD4AF4" w:rsidRPr="002A69D4" w:rsidRDefault="00DD4AF4" w:rsidP="00365150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303A6A60" w14:textId="77777777" w:rsidR="00D26242" w:rsidRPr="002A69D4" w:rsidRDefault="00D26242" w:rsidP="00D26242">
            <w:pPr>
              <w:spacing w:before="120" w:after="120"/>
              <w:ind w:left="36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226FAB1" w14:textId="77777777" w:rsidR="00D26242" w:rsidRPr="002A69D4" w:rsidRDefault="00D26242" w:rsidP="00D26242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3EEBA54" w14:textId="37F5F78F" w:rsidR="00DF580A" w:rsidRPr="002A69D4" w:rsidRDefault="00DF580A" w:rsidP="00D26242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26242" w:rsidRPr="002A69D4" w14:paraId="610A9324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5EF7BC95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26242" w:rsidRPr="002A69D4" w14:paraId="3EC1B67D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9B0370C" w14:textId="7ACC443E" w:rsidR="005B42EB" w:rsidRPr="002A69D4" w:rsidRDefault="005B42EB" w:rsidP="005B42EB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lastRenderedPageBreak/>
              <w:t xml:space="preserve">3.1. </w:t>
            </w: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583C9DE7" w14:textId="77777777" w:rsidR="005B42EB" w:rsidRPr="002A69D4" w:rsidRDefault="005B42EB" w:rsidP="00C9464C">
            <w:pPr>
              <w:spacing w:before="100" w:beforeAutospacing="1" w:afterAutospacing="1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288278E4" w14:textId="77777777" w:rsidR="005B42EB" w:rsidRPr="002A69D4" w:rsidRDefault="005B42EB" w:rsidP="00C9464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72EA6A19" w14:textId="77777777" w:rsidR="005B42EB" w:rsidRPr="002A69D4" w:rsidRDefault="005B42EB" w:rsidP="005B42E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F52557" w14:textId="77777777" w:rsidR="005B42EB" w:rsidRPr="002A69D4" w:rsidRDefault="005B42EB" w:rsidP="005B42EB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2A69D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2A69D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703269C2" w14:textId="0E7C9389" w:rsidR="32B8CA3A" w:rsidRPr="002A69D4" w:rsidRDefault="32B8CA3A" w:rsidP="32B8CA3A">
            <w:pPr>
              <w:spacing w:line="259" w:lineRule="auto"/>
              <w:ind w:left="30"/>
              <w:jc w:val="both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  <w:p w14:paraId="57442807" w14:textId="3BCFEBD4" w:rsidR="00DD4AF4" w:rsidRPr="002A69D4" w:rsidRDefault="00DD4AF4" w:rsidP="00DD4AF4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3.</w:t>
            </w: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2</w:t>
            </w: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. </w:t>
            </w:r>
            <w:proofErr w:type="spellStart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Престанак</w:t>
            </w:r>
            <w:proofErr w:type="spellEnd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употребе</w:t>
            </w:r>
            <w:proofErr w:type="spellEnd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печата</w:t>
            </w:r>
            <w:proofErr w:type="spellEnd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на</w:t>
            </w:r>
            <w:proofErr w:type="spellEnd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 xml:space="preserve"> ЗИБ </w:t>
            </w:r>
            <w:proofErr w:type="spellStart"/>
            <w:r w:rsidR="00B8165C" w:rsidRPr="00B8165C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</w:rPr>
              <w:t>обрасцу</w:t>
            </w:r>
            <w:proofErr w:type="spellEnd"/>
          </w:p>
          <w:p w14:paraId="61A40A12" w14:textId="77777777" w:rsidR="00DD4AF4" w:rsidRPr="002A69D4" w:rsidRDefault="00DD4AF4" w:rsidP="00DD4AF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C07666" w14:textId="0E628753" w:rsidR="00DD4AF4" w:rsidRPr="002A69D4" w:rsidRDefault="00DD4AF4" w:rsidP="00103704">
            <w:pPr>
              <w:jc w:val="both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На крају обрасца за подношење захтева који је</w:t>
            </w:r>
            <w:r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</w:t>
            </w:r>
            <w:r w:rsidR="00103704" w:rsidRPr="002A69D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03704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и објављен Правилником 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</w:t>
            </w:r>
            <w:r w:rsidR="00103704" w:rsidRPr="002A69D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103704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140/04 и 44/18</w:t>
            </w:r>
            <w:r w:rsidR="003F28F0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-др. закон</w:t>
            </w:r>
            <w:r w:rsidR="00103704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предвиђено је место за печат, што је супротно законским одредбама којима је укинута обавеза привредних друштава да употребљавају печат</w:t>
            </w:r>
            <w:r w:rsidR="00672148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тако да је потребно да се из обра</w:t>
            </w:r>
            <w:r w:rsidR="00522373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сца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из пр</w:t>
            </w:r>
            <w:r w:rsidR="00522373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лога правилника  обрише ознака „МП“</w:t>
            </w:r>
            <w:r w:rsidR="00103704"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2E8B0970" w14:textId="77777777" w:rsidR="00DD4AF4" w:rsidRPr="002A69D4" w:rsidRDefault="00DD4AF4" w:rsidP="00DD4AF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F5D432" w14:textId="77777777" w:rsidR="00DD4AF4" w:rsidRPr="002A69D4" w:rsidRDefault="00DD4AF4" w:rsidP="00103704">
            <w:p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Сходно члану 160. Закона о изменама и допунама закона о привредним друштвима од 01. октобра 2018. године укида се</w:t>
            </w:r>
            <w:r w:rsidRPr="002A69D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A69D4">
              <w:rPr>
                <w:rFonts w:ascii="Times New Roman" w:hAnsi="Times New Roman"/>
                <w:sz w:val="22"/>
                <w:szCs w:val="22"/>
                <w:lang w:val="sr-Cyrl-RS"/>
              </w:rPr>
              <w:t>обавеза употребе печата, те је потребно образац захтева изменити у том смислу.</w:t>
            </w:r>
          </w:p>
          <w:p w14:paraId="3FDA5915" w14:textId="77777777" w:rsidR="00DD4AF4" w:rsidRPr="002A69D4" w:rsidRDefault="00DD4AF4" w:rsidP="00DD4AF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2CE107" w14:textId="6CA9AAD2" w:rsidR="006305C0" w:rsidRPr="002A69D4" w:rsidRDefault="00DD4AF4" w:rsidP="00365150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ab/>
            </w:r>
            <w:r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За примену ове препоруке</w:t>
            </w:r>
            <w:r w:rsidR="00365150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</w:t>
            </w:r>
            <w:r w:rsidR="00365150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није</w:t>
            </w:r>
            <w:r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потребна измена</w:t>
            </w:r>
            <w:r w:rsidR="00365150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прописа већ фактичка измена</w:t>
            </w:r>
            <w:r w:rsidR="00DF580A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прилога- Образац ЗИБ при</w:t>
            </w:r>
            <w:r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</w:t>
            </w:r>
            <w:r w:rsidR="00DF580A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Правилнику о поступку фискализације, садржају евиденције о овлашћеним сервисима и сервисерима и изгледу, садржају и начину вођења досијеа и сервисне књижице фискалне касе („Службени гласник РС”, бр. 140/04 и 44/18)</w:t>
            </w:r>
            <w:r w:rsidR="00365150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у складу са</w:t>
            </w:r>
            <w:r w:rsidR="00522373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важећим прописима.</w:t>
            </w:r>
            <w:r w:rsidR="00365150" w:rsidRPr="002A69D4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26242" w:rsidRPr="002A69D4" w14:paraId="39C468AE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882B772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26242" w:rsidRPr="002A69D4" w14:paraId="33364735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3EF0B400" w14:textId="3E297AA9" w:rsidR="00D26242" w:rsidRPr="002A69D4" w:rsidRDefault="00365150" w:rsidP="00D26242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D26242" w:rsidRPr="002A69D4" w14:paraId="45DD8A04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4456829D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26242" w:rsidRPr="002A69D4" w14:paraId="4D677559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5F049225" w14:textId="6ADE9FF4" w:rsidR="00D26242" w:rsidRPr="002A69D4" w:rsidRDefault="00365150" w:rsidP="00D26242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D26242" w:rsidRPr="002A69D4" w14:paraId="4C32958C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150DC45B" w14:textId="77777777" w:rsidR="00D26242" w:rsidRPr="002A69D4" w:rsidRDefault="00D26242" w:rsidP="00D26242">
            <w:pPr>
              <w:numPr>
                <w:ilvl w:val="0"/>
                <w:numId w:val="2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A69D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26242" w:rsidRPr="002A69D4" w14:paraId="5570455E" w14:textId="77777777" w:rsidTr="18510E4D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5E2CDA3" w14:textId="1E85E8E4" w:rsidR="00D26242" w:rsidRDefault="00853447" w:rsidP="00853447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5344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1.418,52 РСД. Усвајање и примена препорука ће донети привредним субјектима годишње директне уштеде од 235,96 РСД или 1,94 ЕУР. Ове уштеде износе 16,63% укупних директних трошкова привредних субјеката у поступку.</w:t>
            </w:r>
          </w:p>
          <w:p w14:paraId="12442F00" w14:textId="5CCBC101" w:rsidR="008B76D3" w:rsidRDefault="008B76D3" w:rsidP="00853447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1D3AFBE" w14:textId="3CE77F77" w:rsidR="008B76D3" w:rsidRPr="008B76D3" w:rsidRDefault="008B76D3" w:rsidP="008B76D3">
            <w:pPr>
              <w:jc w:val="both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B76D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поједностављењу административног поступка за привредне субјекте.</w:t>
            </w:r>
          </w:p>
          <w:p w14:paraId="4BA0086E" w14:textId="31222499" w:rsidR="00853447" w:rsidRPr="002A69D4" w:rsidRDefault="00853447" w:rsidP="00853447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3CA130A4" w14:textId="77777777" w:rsidR="00CC710B" w:rsidRPr="002A69D4" w:rsidRDefault="00CC710B" w:rsidP="005035F2">
      <w:pPr>
        <w:rPr>
          <w:rFonts w:ascii="Times New Roman" w:hAnsi="Times New Roman" w:cs="Times New Roman"/>
        </w:rPr>
      </w:pPr>
    </w:p>
    <w:sectPr w:rsidR="00CC710B" w:rsidRPr="002A69D4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4A3FC" w14:textId="77777777" w:rsidR="00085C1A" w:rsidRDefault="00085C1A">
      <w:pPr>
        <w:spacing w:after="0" w:line="240" w:lineRule="auto"/>
      </w:pPr>
      <w:r>
        <w:separator/>
      </w:r>
    </w:p>
  </w:endnote>
  <w:endnote w:type="continuationSeparator" w:id="0">
    <w:p w14:paraId="60151CA2" w14:textId="77777777" w:rsidR="00085C1A" w:rsidRDefault="0008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B93D16" w14:textId="36D234A5" w:rsidR="002A202F" w:rsidRDefault="004D32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E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693653" w14:textId="77777777" w:rsidR="002A202F" w:rsidRDefault="00D75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FDF35" w14:textId="77777777" w:rsidR="00085C1A" w:rsidRDefault="00085C1A">
      <w:pPr>
        <w:spacing w:after="0" w:line="240" w:lineRule="auto"/>
      </w:pPr>
      <w:r>
        <w:separator/>
      </w:r>
    </w:p>
  </w:footnote>
  <w:footnote w:type="continuationSeparator" w:id="0">
    <w:p w14:paraId="66437C65" w14:textId="77777777" w:rsidR="00085C1A" w:rsidRDefault="0008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7392"/>
    <w:multiLevelType w:val="hybridMultilevel"/>
    <w:tmpl w:val="EBB63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00572"/>
    <w:multiLevelType w:val="hybridMultilevel"/>
    <w:tmpl w:val="2A685E80"/>
    <w:lvl w:ilvl="0" w:tplc="C1D47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D21F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AA8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549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AF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A15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631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84C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BE6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42"/>
    <w:rsid w:val="00006BF8"/>
    <w:rsid w:val="0006362B"/>
    <w:rsid w:val="00085C1A"/>
    <w:rsid w:val="000B3519"/>
    <w:rsid w:val="00103704"/>
    <w:rsid w:val="00146D97"/>
    <w:rsid w:val="001C08C4"/>
    <w:rsid w:val="001C6915"/>
    <w:rsid w:val="00212E86"/>
    <w:rsid w:val="00282854"/>
    <w:rsid w:val="002A69D4"/>
    <w:rsid w:val="00365150"/>
    <w:rsid w:val="003F28F0"/>
    <w:rsid w:val="00437ADA"/>
    <w:rsid w:val="00455CBC"/>
    <w:rsid w:val="004A2094"/>
    <w:rsid w:val="004C20ED"/>
    <w:rsid w:val="004D32B6"/>
    <w:rsid w:val="004E6A8F"/>
    <w:rsid w:val="005035F2"/>
    <w:rsid w:val="00510328"/>
    <w:rsid w:val="00522373"/>
    <w:rsid w:val="0054467C"/>
    <w:rsid w:val="005564BC"/>
    <w:rsid w:val="005B0B68"/>
    <w:rsid w:val="005B42EB"/>
    <w:rsid w:val="005B4CFC"/>
    <w:rsid w:val="005F0268"/>
    <w:rsid w:val="00605695"/>
    <w:rsid w:val="00606328"/>
    <w:rsid w:val="006305C0"/>
    <w:rsid w:val="0065041F"/>
    <w:rsid w:val="00672148"/>
    <w:rsid w:val="006754B5"/>
    <w:rsid w:val="006B2973"/>
    <w:rsid w:val="00711475"/>
    <w:rsid w:val="007C556D"/>
    <w:rsid w:val="007D6B4E"/>
    <w:rsid w:val="007E08CA"/>
    <w:rsid w:val="007F4797"/>
    <w:rsid w:val="00814B79"/>
    <w:rsid w:val="008179F0"/>
    <w:rsid w:val="00853447"/>
    <w:rsid w:val="008641EA"/>
    <w:rsid w:val="008B76D3"/>
    <w:rsid w:val="008C232D"/>
    <w:rsid w:val="008C29E2"/>
    <w:rsid w:val="00924050"/>
    <w:rsid w:val="009429A4"/>
    <w:rsid w:val="00987F50"/>
    <w:rsid w:val="009A1C0E"/>
    <w:rsid w:val="009E4C63"/>
    <w:rsid w:val="00A4306E"/>
    <w:rsid w:val="00A704F6"/>
    <w:rsid w:val="00B8165C"/>
    <w:rsid w:val="00C07C51"/>
    <w:rsid w:val="00C175F2"/>
    <w:rsid w:val="00C9464C"/>
    <w:rsid w:val="00CA44EE"/>
    <w:rsid w:val="00CC710B"/>
    <w:rsid w:val="00CD52EE"/>
    <w:rsid w:val="00D26242"/>
    <w:rsid w:val="00D36E1A"/>
    <w:rsid w:val="00D75E31"/>
    <w:rsid w:val="00DD4AF4"/>
    <w:rsid w:val="00DE50A6"/>
    <w:rsid w:val="00DF4F49"/>
    <w:rsid w:val="00DF580A"/>
    <w:rsid w:val="00EE42FD"/>
    <w:rsid w:val="00F8632A"/>
    <w:rsid w:val="00FF71F6"/>
    <w:rsid w:val="18510E4D"/>
    <w:rsid w:val="32B8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1A2C"/>
  <w15:chartTrackingRefBased/>
  <w15:docId w15:val="{373ED581-4940-491B-A22D-45FC9E3D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26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6242"/>
  </w:style>
  <w:style w:type="table" w:styleId="TableGrid">
    <w:name w:val="Table Grid"/>
    <w:basedOn w:val="TableNormal"/>
    <w:uiPriority w:val="59"/>
    <w:rsid w:val="00D262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6754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21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Berezlev</dc:creator>
  <cp:keywords/>
  <dc:description/>
  <cp:lastModifiedBy>Dragana Bjelic</cp:lastModifiedBy>
  <cp:revision>27</cp:revision>
  <dcterms:created xsi:type="dcterms:W3CDTF">2019-10-23T16:18:00Z</dcterms:created>
  <dcterms:modified xsi:type="dcterms:W3CDTF">2020-05-18T11:04:00Z</dcterms:modified>
</cp:coreProperties>
</file>