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A002E" w14:textId="6097082D" w:rsidR="004E555A" w:rsidRPr="00B72484" w:rsidRDefault="00D37AD7" w:rsidP="004E555A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  <w:r w:rsidRPr="00B72484">
        <w:rPr>
          <w:b/>
          <w:noProof/>
          <w:sz w:val="22"/>
          <w:szCs w:val="22"/>
          <w:lang w:val="sr-Cyrl-RS"/>
        </w:rPr>
        <w:t xml:space="preserve">ПОЈЕДНОСТАВЉЕЊЕ ПОСТУПКА </w:t>
      </w:r>
      <w:r w:rsidR="004E555A" w:rsidRPr="00B72484">
        <w:rPr>
          <w:b/>
          <w:noProof/>
          <w:sz w:val="22"/>
          <w:szCs w:val="22"/>
          <w:lang w:val="sr-Cyrl-RS"/>
        </w:rPr>
        <w:t>ПОДНОШЕЊ</w:t>
      </w:r>
      <w:r w:rsidR="00FC7C69" w:rsidRPr="00B72484">
        <w:rPr>
          <w:b/>
          <w:noProof/>
          <w:sz w:val="22"/>
          <w:szCs w:val="22"/>
          <w:lang w:val="sr-Cyrl-RS"/>
        </w:rPr>
        <w:t>А</w:t>
      </w:r>
      <w:r w:rsidR="004E555A" w:rsidRPr="00B72484">
        <w:rPr>
          <w:b/>
          <w:noProof/>
          <w:sz w:val="22"/>
          <w:szCs w:val="22"/>
          <w:lang w:val="sr-Cyrl-RS"/>
        </w:rPr>
        <w:t xml:space="preserve"> </w:t>
      </w:r>
      <w:r w:rsidR="00F94504" w:rsidRPr="00B72484">
        <w:rPr>
          <w:b/>
          <w:noProof/>
          <w:sz w:val="22"/>
          <w:szCs w:val="22"/>
          <w:lang w:val="sr-Cyrl-RS"/>
        </w:rPr>
        <w:t>ЗБИРА ДНЕВНИХ ПРОМЕНА ПО АУТОМАТУ</w:t>
      </w:r>
      <w:r w:rsidR="004E555A" w:rsidRPr="00B72484">
        <w:rPr>
          <w:b/>
          <w:noProof/>
          <w:sz w:val="22"/>
          <w:szCs w:val="22"/>
          <w:lang w:val="sr-Cyrl-RS"/>
        </w:rPr>
        <w:t xml:space="preserve"> </w:t>
      </w:r>
    </w:p>
    <w:p w14:paraId="64B86E82" w14:textId="77777777" w:rsidR="00334C47" w:rsidRPr="00B72484" w:rsidRDefault="00334C47" w:rsidP="004E555A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72484" w14:paraId="1976FB87" w14:textId="77777777" w:rsidTr="49B22ECB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72484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E68D3DB" w:rsidR="000E2036" w:rsidRPr="00B72484" w:rsidRDefault="00F94504" w:rsidP="004E555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bCs/>
                <w:noProof/>
                <w:sz w:val="22"/>
                <w:szCs w:val="22"/>
                <w:lang w:val="sr-Cyrl-RS"/>
              </w:rPr>
              <w:t>Збир дневних промена по аутомату</w:t>
            </w:r>
          </w:p>
        </w:tc>
      </w:tr>
      <w:tr w:rsidR="00850AD5" w:rsidRPr="00B72484" w14:paraId="7A6AA442" w14:textId="77777777" w:rsidTr="49B22ECB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72484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0E65621" w:rsidR="000E2036" w:rsidRPr="00B72484" w:rsidRDefault="003A54E5" w:rsidP="004E555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bCs/>
                <w:noProof/>
                <w:sz w:val="22"/>
                <w:szCs w:val="22"/>
                <w:lang w:val="sr-Cyrl-RS"/>
              </w:rPr>
              <w:t>01.11.0015</w:t>
            </w:r>
          </w:p>
        </w:tc>
      </w:tr>
      <w:tr w:rsidR="00850AD5" w:rsidRPr="00B72484" w14:paraId="2CEE52A6" w14:textId="77777777" w:rsidTr="49B22ECB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7248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7248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3C7CEC1" w14:textId="77777777" w:rsidR="00402F2B" w:rsidRPr="00B72484" w:rsidRDefault="00402F2B" w:rsidP="004E555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bCs/>
                <w:noProof/>
                <w:sz w:val="22"/>
                <w:szCs w:val="22"/>
                <w:lang w:val="sr-Cyrl-RS"/>
              </w:rPr>
              <w:t>Управа за игре на срећу</w:t>
            </w:r>
          </w:p>
          <w:p w14:paraId="5795E7E6" w14:textId="735379EF" w:rsidR="00092B84" w:rsidRPr="00B72484" w:rsidRDefault="00402F2B" w:rsidP="004E555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bCs/>
                <w:noProof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F94504" w:rsidRPr="00B72484" w14:paraId="10DA1CD3" w14:textId="77777777" w:rsidTr="49B22ECB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F94504" w:rsidRPr="00B72484" w:rsidRDefault="00F94504" w:rsidP="00F94504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21F689F" w14:textId="541151F4" w:rsidR="00F94504" w:rsidRPr="00B72484" w:rsidRDefault="00F94504" w:rsidP="004E555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Закон о играма на срећу („Службени гласник РС”, бр</w:t>
            </w:r>
            <w:r w:rsidR="00E93ED7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ој</w:t>
            </w:r>
            <w:r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307D01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1</w:t>
            </w:r>
            <w:r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8/</w:t>
            </w:r>
            <w:r w:rsidR="00307D01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20</w:t>
            </w:r>
            <w:r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</w:p>
          <w:p w14:paraId="2CCB5DCC" w14:textId="210A141A" w:rsidR="00F94504" w:rsidRPr="00B72484" w:rsidRDefault="00F94504" w:rsidP="004E555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начину вођења обавезних евиденција о оствареном промету по аутомату („Службени гласник РС”, бр. 129/04, 16/11</w:t>
            </w:r>
            <w:r w:rsidR="00932E94"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и</w:t>
            </w:r>
            <w:r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44/18 - др. закон)</w:t>
            </w:r>
          </w:p>
        </w:tc>
      </w:tr>
      <w:tr w:rsidR="00F94504" w:rsidRPr="00B72484" w14:paraId="724CF23D" w14:textId="77777777" w:rsidTr="49B22ECB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F94504" w:rsidRPr="00B72484" w:rsidRDefault="00F94504" w:rsidP="00F94504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B72484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0CA285E" w:rsidR="00F94504" w:rsidRPr="00B72484" w:rsidRDefault="00F94504" w:rsidP="004E555A">
            <w:p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1. </w:t>
            </w:r>
            <w:r w:rsidR="00B72484" w:rsidRPr="00B7248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Доношење новог правилника којим се прописује </w:t>
            </w:r>
            <w:r w:rsidR="00B72484" w:rsidRPr="00B72484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начин вођења обавезних евиденција о оствареном промету по аутомату за игре на срећу.</w:t>
            </w:r>
          </w:p>
        </w:tc>
      </w:tr>
      <w:tr w:rsidR="00F94504" w:rsidRPr="00B72484" w14:paraId="58812BCA" w14:textId="77777777" w:rsidTr="49B22ECB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F94504" w:rsidRPr="00B72484" w:rsidRDefault="00F94504" w:rsidP="00F94504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D0D51BA" w:rsidR="00F94504" w:rsidRPr="00B72484" w:rsidRDefault="006E62BB" w:rsidP="0049799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6E62BB">
              <w:rPr>
                <w:bCs/>
                <w:noProof/>
                <w:sz w:val="22"/>
                <w:szCs w:val="22"/>
                <w:lang w:val="sr-Cyrl-RS"/>
              </w:rPr>
              <w:t xml:space="preserve">Четври </w:t>
            </w:r>
            <w:r w:rsidR="00F94504" w:rsidRPr="00B72484">
              <w:rPr>
                <w:bCs/>
                <w:noProof/>
                <w:sz w:val="22"/>
                <w:szCs w:val="22"/>
                <w:lang w:val="sr-Cyrl-RS"/>
              </w:rPr>
              <w:t>квартал 202</w:t>
            </w:r>
            <w:r w:rsidR="0049799A">
              <w:rPr>
                <w:bCs/>
                <w:noProof/>
                <w:sz w:val="22"/>
                <w:szCs w:val="22"/>
                <w:lang w:val="sr-Cyrl-RS"/>
              </w:rPr>
              <w:t>1</w:t>
            </w:r>
            <w:bookmarkStart w:id="0" w:name="_GoBack"/>
            <w:bookmarkEnd w:id="0"/>
            <w:r w:rsidR="00F94504" w:rsidRPr="00B72484">
              <w:rPr>
                <w:bCs/>
                <w:noProof/>
                <w:sz w:val="22"/>
                <w:szCs w:val="22"/>
                <w:lang w:val="sr-Cyrl-RS"/>
              </w:rPr>
              <w:t>. године</w:t>
            </w:r>
          </w:p>
        </w:tc>
      </w:tr>
      <w:tr w:rsidR="00F94504" w:rsidRPr="00B72484" w14:paraId="539113B1" w14:textId="77777777" w:rsidTr="49B22ECB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F94504" w:rsidRPr="00B72484" w:rsidRDefault="00F94504" w:rsidP="00F9450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F94504" w:rsidRPr="00B72484" w14:paraId="4635A4BE" w14:textId="77777777" w:rsidTr="49B22ECB">
        <w:tc>
          <w:tcPr>
            <w:tcW w:w="9060" w:type="dxa"/>
            <w:gridSpan w:val="2"/>
          </w:tcPr>
          <w:p w14:paraId="4BCB02C2" w14:textId="3C519398" w:rsidR="00F94504" w:rsidRPr="00B72484" w:rsidRDefault="004E555A" w:rsidP="00932E94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Чланом 3. 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Правилника о начину вођења обавезних евиденција о оствареном промету по аутомату („Службени гласник РС”, бр. 129/04, 16/11</w:t>
            </w:r>
            <w:r w:rsidR="00932E94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и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44/18 - др. закон) предвиђено је да приређивач доставља </w:t>
            </w:r>
            <w:r w:rsidR="00827176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бир дневних обрачуна промета по аутомату</w:t>
            </w:r>
            <w:r w:rsidR="00827176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(у даљем тексту: </w:t>
            </w:r>
            <w:r w:rsidR="00677CD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О</w:t>
            </w:r>
            <w:r w:rsidR="00827176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бразац ЗДП)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Управи за игре на срећу</w:t>
            </w:r>
            <w:r w:rsidR="00932E94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и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у писменом облику и путем електронских медија, што представља непотребно административно оптерећење</w:t>
            </w:r>
            <w:r w:rsidR="00932E94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за подносиоца захтева.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F94504" w:rsidRPr="00B72484" w14:paraId="31663FC5" w14:textId="77777777" w:rsidTr="49B22EC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F94504" w:rsidRPr="00B72484" w:rsidRDefault="00F94504" w:rsidP="00F9450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F94504" w:rsidRPr="00B72484" w14:paraId="66715B57" w14:textId="77777777" w:rsidTr="49B22EC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0"/>
              <w:gridCol w:w="1948"/>
              <w:gridCol w:w="1952"/>
              <w:gridCol w:w="1594"/>
            </w:tblGrid>
            <w:tr w:rsidR="004E555A" w:rsidRPr="00B72484" w14:paraId="5F24F764" w14:textId="77777777" w:rsidTr="00334C47">
              <w:trPr>
                <w:trHeight w:val="749"/>
              </w:trPr>
              <w:tc>
                <w:tcPr>
                  <w:tcW w:w="334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F2FD7AB" w14:textId="77777777" w:rsidR="004E555A" w:rsidRPr="00B72484" w:rsidRDefault="004E555A" w:rsidP="004E555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79718E97" w14:textId="77777777" w:rsidR="004E555A" w:rsidRPr="00B72484" w:rsidRDefault="004E555A" w:rsidP="004E555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4781E09" w14:textId="77777777" w:rsidR="004E555A" w:rsidRPr="00B72484" w:rsidRDefault="004E555A" w:rsidP="004E555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4E555A" w:rsidRPr="00B72484" w14:paraId="1A6B2808" w14:textId="77777777" w:rsidTr="00334C47">
              <w:trPr>
                <w:trHeight w:val="260"/>
              </w:trPr>
              <w:tc>
                <w:tcPr>
                  <w:tcW w:w="3340" w:type="dxa"/>
                  <w:vMerge/>
                </w:tcPr>
                <w:p w14:paraId="2833930B" w14:textId="77777777" w:rsidR="004E555A" w:rsidRPr="00B72484" w:rsidRDefault="004E555A" w:rsidP="004E555A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5D9CCD0F" w14:textId="77777777" w:rsidR="004E555A" w:rsidRPr="00B72484" w:rsidRDefault="004E555A" w:rsidP="004E555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3739DE6" w14:textId="77777777" w:rsidR="004E555A" w:rsidRPr="00B72484" w:rsidRDefault="004E555A" w:rsidP="004E555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4" w:type="dxa"/>
                  <w:vMerge/>
                </w:tcPr>
                <w:p w14:paraId="657D7E82" w14:textId="77777777" w:rsidR="004E555A" w:rsidRPr="00B72484" w:rsidRDefault="004E555A" w:rsidP="004E555A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E555A" w:rsidRPr="00B72484" w14:paraId="140DADE0" w14:textId="77777777" w:rsidTr="00334C47">
              <w:trPr>
                <w:trHeight w:val="244"/>
              </w:trPr>
              <w:tc>
                <w:tcPr>
                  <w:tcW w:w="3340" w:type="dxa"/>
                  <w:vAlign w:val="center"/>
                </w:tcPr>
                <w:p w14:paraId="0F2157A1" w14:textId="5BCCBF99" w:rsidR="004E555A" w:rsidRPr="00B72484" w:rsidRDefault="004E555A" w:rsidP="004E555A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 xml:space="preserve">Електронско подношење </w:t>
                  </w:r>
                  <w:r w:rsidR="00827176"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обрасца ЗДП</w:t>
                  </w:r>
                </w:p>
              </w:tc>
              <w:tc>
                <w:tcPr>
                  <w:tcW w:w="1948" w:type="dxa"/>
                </w:tcPr>
                <w:p w14:paraId="0D2B8080" w14:textId="77777777" w:rsidR="004E555A" w:rsidRPr="00B72484" w:rsidRDefault="004E555A" w:rsidP="004E555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58ED6D24" w14:textId="77777777" w:rsidR="004E555A" w:rsidRPr="00B72484" w:rsidRDefault="004E555A" w:rsidP="004E555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4" w:type="dxa"/>
                </w:tcPr>
                <w:p w14:paraId="2780D239" w14:textId="77777777" w:rsidR="004E555A" w:rsidRPr="00B72484" w:rsidRDefault="004E555A" w:rsidP="004E555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B7248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43426D8C" w14:textId="77777777" w:rsidR="00F94504" w:rsidRPr="00B72484" w:rsidRDefault="00F94504" w:rsidP="00F94504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F94504" w:rsidRPr="00B72484" w14:paraId="3010E605" w14:textId="77777777" w:rsidTr="49B22EC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6EFCC95F" w:rsidR="00F94504" w:rsidRPr="00B72484" w:rsidRDefault="00F94504" w:rsidP="00F94504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F94504" w:rsidRPr="00B72484" w14:paraId="0B4EEBB8" w14:textId="77777777" w:rsidTr="49B22E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F94504" w:rsidRPr="00B72484" w:rsidRDefault="00F94504" w:rsidP="00F9450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F94504" w:rsidRPr="00B72484" w14:paraId="4C67EFD3" w14:textId="77777777" w:rsidTr="49B22EC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FA7AECB" w14:textId="69CEAFC1" w:rsidR="004E555A" w:rsidRPr="00B72484" w:rsidRDefault="004E555A" w:rsidP="004E555A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3.</w:t>
            </w:r>
            <w:r w:rsidR="00244C04" w:rsidRPr="00B72484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1</w:t>
            </w:r>
            <w:r w:rsidRPr="00B72484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. Електронско подношење </w:t>
            </w:r>
            <w:r w:rsidR="00827176" w:rsidRPr="00B72484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обрасца ЗДП</w:t>
            </w:r>
          </w:p>
          <w:p w14:paraId="6EE9742A" w14:textId="77777777" w:rsidR="004E555A" w:rsidRPr="00B72484" w:rsidRDefault="004E555A" w:rsidP="004E555A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0D1A67F9" w14:textId="2097F208" w:rsidR="004E555A" w:rsidRPr="00B72484" w:rsidRDefault="004E555A" w:rsidP="004E555A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Чланом 3. 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Правилника о начину вођења обавезних евиденција о оствареном промету по аутомату („Службени гласник РС”, бр. 129/04, 16/11</w:t>
            </w:r>
            <w:r w:rsidR="00932E94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и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44/18 - др. закон) предвиђено је да приређивач доставља </w:t>
            </w:r>
            <w:r w:rsidR="00677CD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Образац ЗДП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Управи за игре на срећу </w:t>
            </w:r>
            <w:r w:rsidR="00932E94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и 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писменом облику и путем електронских медија,  што представља непотребно административно оптерећење</w:t>
            </w:r>
            <w:r w:rsidR="00932E94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за подносиоца захтева.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37CDE0F2" w14:textId="002CDF26" w:rsidR="004E555A" w:rsidRPr="00B72484" w:rsidRDefault="004E555A" w:rsidP="004E555A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У складу са </w:t>
            </w:r>
            <w:r w:rsidR="00932E94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наведеним,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потребно је омогућити приређивачу да </w:t>
            </w:r>
            <w:r w:rsidR="00677CD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О</w:t>
            </w:r>
            <w:r w:rsidR="00827176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бразац ЗДП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достави алтернативно, на један од два понуђена начина</w:t>
            </w:r>
            <w:r w:rsidR="00932E94"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- у писменом облику или преко електронских </w:t>
            </w:r>
            <w:r w:rsidRPr="00B7248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lastRenderedPageBreak/>
              <w:t>медија.</w:t>
            </w:r>
          </w:p>
          <w:p w14:paraId="076BB155" w14:textId="77777777" w:rsidR="004E555A" w:rsidRPr="00B72484" w:rsidRDefault="004E555A" w:rsidP="004E555A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3EAB4AF8" w14:textId="61A0CA8F" w:rsidR="000A45DC" w:rsidRPr="00B72484" w:rsidRDefault="00B72484" w:rsidP="00DE44FA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B72484"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B7248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потребно је доношење новог правилника којим се прописује </w:t>
            </w:r>
            <w:r w:rsidRPr="00B72484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t>начин вођења обавезних евиденција о оствареном промету по аутомату за игре на срећу.</w:t>
            </w:r>
          </w:p>
        </w:tc>
      </w:tr>
      <w:tr w:rsidR="00F94504" w:rsidRPr="00B72484" w14:paraId="52C990E5" w14:textId="77777777" w:rsidTr="49B22E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F94504" w:rsidRPr="00B72484" w:rsidRDefault="00F94504" w:rsidP="00F9450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D72DF" w:rsidRPr="00B72484" w14:paraId="077D3505" w14:textId="77777777" w:rsidTr="00207574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CF86AFF" w14:textId="77777777" w:rsidR="00CD72DF" w:rsidRDefault="00CD72DF" w:rsidP="00CD72D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ПРЕДЛОГ</w:t>
            </w:r>
          </w:p>
          <w:p w14:paraId="012D75EF" w14:textId="77777777" w:rsidR="00CD72DF" w:rsidRDefault="00CD72DF" w:rsidP="00CD72D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4811F544" w14:textId="0B487A74" w:rsidR="00CD72DF" w:rsidRDefault="00CD72DF" w:rsidP="00307D01">
            <w:pP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0D56F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На основу члана 76. став 6.</w:t>
            </w: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  <w:r w:rsidRPr="00FD4363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Закон о играма на срећу („Службени гласник РС”, бр</w:t>
            </w:r>
            <w:r w:rsidR="00E93ED7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ој</w:t>
            </w: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307D01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18/20)</w:t>
            </w:r>
            <w:r w:rsidR="0020757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,</w:t>
            </w:r>
          </w:p>
          <w:p w14:paraId="487B8933" w14:textId="05F2D94A" w:rsidR="00207574" w:rsidRDefault="00207574" w:rsidP="00CD72DF">
            <w:pPr>
              <w:jc w:val="left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5086ABF2" w14:textId="4FFFD66B" w:rsidR="00207574" w:rsidRPr="00FD4363" w:rsidRDefault="00207574" w:rsidP="00CD72DF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министар финансија</w:t>
            </w:r>
          </w:p>
          <w:p w14:paraId="73FB0852" w14:textId="77777777" w:rsidR="00CD72DF" w:rsidRPr="00FD4363" w:rsidRDefault="00CD72DF" w:rsidP="00CD72D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007B1632" w14:textId="77777777" w:rsidR="00CD72DF" w:rsidRPr="00FD4363" w:rsidRDefault="00CD72DF" w:rsidP="00CD72DF">
            <w:pPr>
              <w:ind w:firstLine="48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ПРАВИЛНИК О НАЧИНУ ВОЂЕЊА ОБАВЕЗНИХ ЕВИДЕНЦИЈА О ОСТВАРЕНОМ ПРОМЕТУ ПО АУТОМАТУ</w:t>
            </w:r>
          </w:p>
          <w:p w14:paraId="0D0F3EEE" w14:textId="77777777" w:rsidR="00CD72DF" w:rsidRPr="00FD4363" w:rsidRDefault="00CD72DF" w:rsidP="00CD72DF">
            <w:pPr>
              <w:ind w:firstLine="48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CEDDDDF" w14:textId="77777777" w:rsidR="00CD72DF" w:rsidRPr="00FD4363" w:rsidRDefault="00CD72DF" w:rsidP="00CD72DF">
            <w:pPr>
              <w:ind w:left="-19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1.</w:t>
            </w:r>
          </w:p>
          <w:p w14:paraId="6C6575D5" w14:textId="77777777" w:rsidR="00CD72DF" w:rsidRPr="00FD4363" w:rsidRDefault="00CD72DF" w:rsidP="00CD72DF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0B666F52" w14:textId="77777777" w:rsidR="00CD72DF" w:rsidRPr="00FD4363" w:rsidRDefault="00CD72DF" w:rsidP="00CD72DF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Овим правилником прописује се начин вођења обавезних евиденција о оствареном промету по аутомату за игре на срећу.</w:t>
            </w:r>
            <w:r w:rsidRPr="00FD4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73C94D1D" w14:textId="77777777" w:rsidR="00CD72DF" w:rsidRPr="00FD4363" w:rsidRDefault="00CD72DF" w:rsidP="00CD72DF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CA057CF" w14:textId="77777777" w:rsidR="00CD72DF" w:rsidRDefault="00CD72DF" w:rsidP="00CD72DF">
            <w:pPr>
              <w:ind w:left="-19"/>
              <w:jc w:val="center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Члан 2.</w:t>
            </w:r>
          </w:p>
          <w:p w14:paraId="7E5566DA" w14:textId="77777777" w:rsidR="00CD72DF" w:rsidRPr="00FD4363" w:rsidRDefault="00CD72DF" w:rsidP="00CD72DF">
            <w:pPr>
              <w:jc w:val="center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2D57C46A" w14:textId="77777777" w:rsidR="00CD72DF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Податке из коначног годишњег обрачуна промета по аутомату приређивач уноси у Образац КГО – Коначни годишњи обрачун за 200 . годину, који је одштампан уз овај правилник и чини његов саставни део, и исти доставља Управи до 15. јануара текуће године за прет</w:t>
            </w: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ходну годину, у писменом облику или</w:t>
            </w: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путем електронских медија. Годишњи промет по аутомату представља збир месечних износа уплата по аутомату.</w:t>
            </w:r>
          </w:p>
          <w:p w14:paraId="1B16DCDE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5723F9A1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Образац КГО обавезно садржи следеће податке:</w:t>
            </w:r>
          </w:p>
          <w:p w14:paraId="1A2C6C2F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1) назив приређивача;</w:t>
            </w:r>
          </w:p>
          <w:p w14:paraId="353F009F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2) ПИБ приређивача;</w:t>
            </w:r>
          </w:p>
          <w:p w14:paraId="4D079A6B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3) седиште и адресу приређивача;</w:t>
            </w:r>
          </w:p>
          <w:p w14:paraId="37BBDFBA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4) локацију аутомата приређивача;</w:t>
            </w:r>
          </w:p>
          <w:p w14:paraId="3D82A8C7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5) редни број аутомата;</w:t>
            </w:r>
          </w:p>
          <w:p w14:paraId="5891BBB3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6) серијски број аутомата;</w:t>
            </w:r>
          </w:p>
          <w:p w14:paraId="69DAA0F6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7) укупан годишњи износ уплата;</w:t>
            </w:r>
          </w:p>
          <w:p w14:paraId="035DDC88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8) укупан годишњи износ исплата;</w:t>
            </w:r>
          </w:p>
          <w:p w14:paraId="42E1F4BE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9) укупан годишњи промет;</w:t>
            </w:r>
          </w:p>
          <w:p w14:paraId="717704B9" w14:textId="77777777" w:rsidR="00CD72DF" w:rsidRPr="00FD4363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10) основицу као разлику између укупног годишњег промета и 12.000 евра у динарској противвредности;</w:t>
            </w:r>
          </w:p>
          <w:p w14:paraId="7DFD1607" w14:textId="77777777" w:rsidR="00CD72DF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11) износ накнаде за приређивање игре</w:t>
            </w: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71430F3D" w14:textId="77777777" w:rsidR="00CD72DF" w:rsidRDefault="00CD72DF" w:rsidP="00CD72DF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4AC8B60" w14:textId="77777777" w:rsidR="00CD72DF" w:rsidRPr="00B72484" w:rsidRDefault="00CD72DF" w:rsidP="00CD72DF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3</w:t>
            </w: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5A6BB139" w14:textId="77777777" w:rsidR="00CD72DF" w:rsidRPr="00B72484" w:rsidRDefault="00CD72DF" w:rsidP="00CD72DF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07ABF41" w14:textId="77777777" w:rsidR="00CD72DF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Приређивач је дужан да Управи за игре на срећу у саставу Министарства финансија (у даљем тексту: Управа) најкасније до 5. у месецу за претходни месец, у писменом облику или путем електронских медија, достави збир дневних обрачуна промета по аутомату, на Обрасцу ЗДП – Збир дневних обрачуна за месец 200 . године, који је одштампан уз овај правилник и чини његов саставни део.</w:t>
            </w:r>
          </w:p>
          <w:p w14:paraId="300821DE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430801DD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Образац из става 1. овог члана обавезно садржи следеће податке:</w:t>
            </w:r>
          </w:p>
          <w:p w14:paraId="253C4850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1) назив приређивача;</w:t>
            </w:r>
          </w:p>
          <w:p w14:paraId="14AEF46A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2) ПИБ приређивача;</w:t>
            </w:r>
          </w:p>
          <w:p w14:paraId="16E347B3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3) седиште и адресу приређивача;</w:t>
            </w:r>
          </w:p>
          <w:p w14:paraId="2842528E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lastRenderedPageBreak/>
              <w:t>4) локацију аутомата приређивача;</w:t>
            </w:r>
          </w:p>
          <w:p w14:paraId="1365D1BA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5) датум;</w:t>
            </w:r>
          </w:p>
          <w:p w14:paraId="442B92A1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6) број обрачуна;</w:t>
            </w:r>
          </w:p>
          <w:p w14:paraId="56A4FDF5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7) редни број аутомата;</w:t>
            </w:r>
          </w:p>
          <w:p w14:paraId="12AF872F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8) серијски број аутомата за игре на срећу;</w:t>
            </w:r>
          </w:p>
          <w:p w14:paraId="72E1CE1E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9) укупна уплата;</w:t>
            </w:r>
          </w:p>
          <w:p w14:paraId="5BAD5001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10) укупну исплату;</w:t>
            </w:r>
          </w:p>
          <w:p w14:paraId="22E320FD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11) укупан месечни промет.</w:t>
            </w:r>
          </w:p>
          <w:p w14:paraId="7E754F97" w14:textId="77777777" w:rsidR="00CD72DF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Образац ЗДП потписују два одговорна лица приређивача.</w:t>
            </w:r>
          </w:p>
          <w:p w14:paraId="757B5135" w14:textId="77777777" w:rsidR="00CD72DF" w:rsidRPr="00B72484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16E75A1D" w14:textId="77777777" w:rsidR="00CD72DF" w:rsidRPr="00B72484" w:rsidRDefault="00CD72DF" w:rsidP="00CD72DF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4</w:t>
            </w: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4478C7C0" w14:textId="77777777" w:rsidR="00CD72DF" w:rsidRPr="0059185D" w:rsidRDefault="00CD72DF" w:rsidP="00CD72DF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14:paraId="6893F9F2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Приређивач игара на срећу је дужан да на крају последњег дана у месецу попише стање механичких и електронских бројчаника и податке из пописа упише у Образац СБ – Стање механичких и електронских бројчаника на дан 200 . године, који је одштампан уз овај правилник и чини његов саставни део.</w:t>
            </w:r>
          </w:p>
          <w:p w14:paraId="0FE8BA05" w14:textId="77777777" w:rsidR="00CD72DF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Попуњени образац из става 1. овог члана по сваком поједином аутомату приређивач доставља Управи до 5. у месецу за претходни месец у писменом облику и</w:t>
            </w: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ли</w:t>
            </w: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 xml:space="preserve"> путем електронских медија.</w:t>
            </w:r>
          </w:p>
          <w:p w14:paraId="6E350404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</w:p>
          <w:p w14:paraId="02E8021F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Образац СБ обавезно садржи следеће податке:</w:t>
            </w:r>
          </w:p>
          <w:p w14:paraId="19A60BB2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1) назив приређивача;</w:t>
            </w:r>
          </w:p>
          <w:p w14:paraId="121B7A7E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2) седиште и адресу приређивача;</w:t>
            </w:r>
          </w:p>
          <w:p w14:paraId="4337018D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3) локацију аутомата приређивача;</w:t>
            </w:r>
          </w:p>
          <w:p w14:paraId="30434688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4) редни број аутомата;</w:t>
            </w:r>
          </w:p>
          <w:p w14:paraId="1FF58DC0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5) серијски број аутомата;</w:t>
            </w:r>
          </w:p>
          <w:p w14:paraId="2A4BB706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6) вредност кредита;</w:t>
            </w:r>
          </w:p>
          <w:p w14:paraId="35B92477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7) укупан износ уплата;</w:t>
            </w:r>
          </w:p>
          <w:p w14:paraId="1AB8C76B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8) укупан износ исплата;</w:t>
            </w:r>
          </w:p>
          <w:p w14:paraId="3DC713B6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9) износ потрошен у игри;</w:t>
            </w:r>
          </w:p>
          <w:p w14:paraId="194BFDAB" w14:textId="77777777" w:rsidR="00CD72DF" w:rsidRPr="008251B7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10) износ освојен у игри.</w:t>
            </w:r>
          </w:p>
          <w:p w14:paraId="134F46B7" w14:textId="77777777" w:rsidR="00CD72DF" w:rsidRDefault="00CD72DF" w:rsidP="00CD72DF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8251B7"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  <w:t>Попуњени Образац СБ потписују два одговорна лица приређивача.</w:t>
            </w:r>
          </w:p>
          <w:p w14:paraId="635899CB" w14:textId="77777777" w:rsidR="00CD72DF" w:rsidRDefault="00CD72DF" w:rsidP="00CD72DF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910ED3E" w14:textId="77777777" w:rsidR="00CD72DF" w:rsidRPr="00BB655A" w:rsidRDefault="00CD72DF" w:rsidP="00CD72DF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Члан 5.</w:t>
            </w:r>
          </w:p>
          <w:p w14:paraId="796A3DF5" w14:textId="77777777" w:rsidR="00CD72DF" w:rsidRPr="00FD4363" w:rsidRDefault="00CD72DF" w:rsidP="00CD72DF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9763933" w14:textId="5D131549" w:rsidR="00CD72DF" w:rsidRPr="00B72484" w:rsidRDefault="00CD72DF" w:rsidP="00CD72DF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FD4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„Службеном гласнику Републике Србије</w:t>
            </w:r>
            <w:r w:rsidRPr="00FD4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FD4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</w:tc>
      </w:tr>
      <w:tr w:rsidR="00F94504" w:rsidRPr="00B72484" w14:paraId="0489C5FC" w14:textId="77777777" w:rsidTr="49B22E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F94504" w:rsidRPr="00B72484" w:rsidRDefault="00F94504" w:rsidP="00F9450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F94504" w:rsidRPr="00B72484" w14:paraId="3C4DDA6A" w14:textId="77777777" w:rsidTr="49B22EC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A20606" w14:textId="77777777" w:rsidR="00334C47" w:rsidRPr="00B72484" w:rsidRDefault="00334C47" w:rsidP="00334C47">
            <w:pPr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1506ADFF" w14:textId="61ADE8E2" w:rsidR="00334C47" w:rsidRPr="00B72484" w:rsidRDefault="00334C47" w:rsidP="00B72484">
            <w:pPr>
              <w:shd w:val="clear" w:color="auto" w:fill="FFFFFF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F94504" w:rsidRPr="00B72484" w14:paraId="429F5407" w14:textId="77777777" w:rsidTr="49B22E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F94504" w:rsidRPr="00B72484" w:rsidRDefault="00F94504" w:rsidP="00F9450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B72484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F94504" w:rsidRPr="00B72484" w14:paraId="72BD2239" w14:textId="77777777" w:rsidTr="49B22EC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00EEB26" w14:textId="489BBDAB" w:rsidR="00F94504" w:rsidRPr="00B72484" w:rsidRDefault="49B22ECB" w:rsidP="49B22ECB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1.374.596,31 РСД. Усвајање и примена препорука ће донети привредним субјектима годишње директне уштеде од 166.113,96 РСД или 1.365,82 ЕУР. Ове уштеде износе 12,08% укупних директних трошкова привредних субјеката у поступку.</w:t>
            </w:r>
          </w:p>
          <w:p w14:paraId="331CCBA4" w14:textId="5581470B" w:rsidR="00F94504" w:rsidRPr="00B72484" w:rsidRDefault="49B22ECB" w:rsidP="49B22ECB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B7248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субјекте.</w:t>
            </w:r>
          </w:p>
        </w:tc>
      </w:tr>
    </w:tbl>
    <w:p w14:paraId="5CE5710A" w14:textId="1C5B3A41" w:rsidR="003E3C16" w:rsidRPr="00B72484" w:rsidRDefault="003E3C16" w:rsidP="003E3C16">
      <w:pPr>
        <w:rPr>
          <w:rFonts w:ascii="Times New Roman" w:eastAsia="Times New Roman" w:hAnsi="Times New Roman"/>
          <w:noProof/>
          <w:lang w:val="sr-Cyrl-RS"/>
        </w:rPr>
      </w:pPr>
    </w:p>
    <w:sectPr w:rsidR="003E3C16" w:rsidRPr="00B72484" w:rsidSect="00D14B99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50C63" w14:textId="77777777" w:rsidR="00527A4E" w:rsidRDefault="00527A4E" w:rsidP="002A202F">
      <w:r>
        <w:separator/>
      </w:r>
    </w:p>
  </w:endnote>
  <w:endnote w:type="continuationSeparator" w:id="0">
    <w:p w14:paraId="5C8BCD83" w14:textId="77777777" w:rsidR="00527A4E" w:rsidRDefault="00527A4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718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22F605" w14:textId="02ABEB9E" w:rsidR="00D14B99" w:rsidRDefault="00D14B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79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130BB" w14:textId="77777777" w:rsidR="00527A4E" w:rsidRDefault="00527A4E" w:rsidP="002A202F">
      <w:r>
        <w:separator/>
      </w:r>
    </w:p>
  </w:footnote>
  <w:footnote w:type="continuationSeparator" w:id="0">
    <w:p w14:paraId="4BF57C5A" w14:textId="77777777" w:rsidR="00527A4E" w:rsidRDefault="00527A4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501E5743"/>
    <w:multiLevelType w:val="hybridMultilevel"/>
    <w:tmpl w:val="BE46145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2"/>
  </w:num>
  <w:num w:numId="8">
    <w:abstractNumId w:val="8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9"/>
  </w:num>
  <w:num w:numId="17">
    <w:abstractNumId w:val="7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8447F"/>
    <w:rsid w:val="00092B84"/>
    <w:rsid w:val="0009542A"/>
    <w:rsid w:val="000A2F37"/>
    <w:rsid w:val="000A45DC"/>
    <w:rsid w:val="000A53F3"/>
    <w:rsid w:val="000A5CDC"/>
    <w:rsid w:val="000B54D7"/>
    <w:rsid w:val="000C08C7"/>
    <w:rsid w:val="000D3CD5"/>
    <w:rsid w:val="000D5029"/>
    <w:rsid w:val="000E2036"/>
    <w:rsid w:val="000F4C82"/>
    <w:rsid w:val="000F5E72"/>
    <w:rsid w:val="001156BA"/>
    <w:rsid w:val="0015182D"/>
    <w:rsid w:val="00161847"/>
    <w:rsid w:val="00170CA7"/>
    <w:rsid w:val="001711C5"/>
    <w:rsid w:val="00171CCC"/>
    <w:rsid w:val="001A023F"/>
    <w:rsid w:val="001A3FAC"/>
    <w:rsid w:val="001A6472"/>
    <w:rsid w:val="001C03D1"/>
    <w:rsid w:val="001C5538"/>
    <w:rsid w:val="001D0EDE"/>
    <w:rsid w:val="001D20E2"/>
    <w:rsid w:val="001E38DE"/>
    <w:rsid w:val="001F13BC"/>
    <w:rsid w:val="001F7B31"/>
    <w:rsid w:val="0020601F"/>
    <w:rsid w:val="00207574"/>
    <w:rsid w:val="00212DA5"/>
    <w:rsid w:val="0021347C"/>
    <w:rsid w:val="002323AC"/>
    <w:rsid w:val="00244C04"/>
    <w:rsid w:val="002567E7"/>
    <w:rsid w:val="00261404"/>
    <w:rsid w:val="002673B0"/>
    <w:rsid w:val="00275E2A"/>
    <w:rsid w:val="00296938"/>
    <w:rsid w:val="002A202F"/>
    <w:rsid w:val="002A7733"/>
    <w:rsid w:val="002B19B4"/>
    <w:rsid w:val="002E4463"/>
    <w:rsid w:val="002F1BEC"/>
    <w:rsid w:val="002F4757"/>
    <w:rsid w:val="00307D01"/>
    <w:rsid w:val="00322199"/>
    <w:rsid w:val="003223C7"/>
    <w:rsid w:val="00326555"/>
    <w:rsid w:val="00334C47"/>
    <w:rsid w:val="003410E0"/>
    <w:rsid w:val="00350EAD"/>
    <w:rsid w:val="003651DB"/>
    <w:rsid w:val="003715A0"/>
    <w:rsid w:val="0037171F"/>
    <w:rsid w:val="00376FD1"/>
    <w:rsid w:val="0039002C"/>
    <w:rsid w:val="00396890"/>
    <w:rsid w:val="003A54E5"/>
    <w:rsid w:val="003B0645"/>
    <w:rsid w:val="003B44DB"/>
    <w:rsid w:val="003B4BC9"/>
    <w:rsid w:val="003B6298"/>
    <w:rsid w:val="003E2EB1"/>
    <w:rsid w:val="003E3C16"/>
    <w:rsid w:val="00402F2B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9799A"/>
    <w:rsid w:val="004D3BD0"/>
    <w:rsid w:val="004D45B1"/>
    <w:rsid w:val="004D68A7"/>
    <w:rsid w:val="004E29D1"/>
    <w:rsid w:val="004E34A9"/>
    <w:rsid w:val="004E555A"/>
    <w:rsid w:val="00500566"/>
    <w:rsid w:val="005073A3"/>
    <w:rsid w:val="00523608"/>
    <w:rsid w:val="00525C0A"/>
    <w:rsid w:val="00527A4E"/>
    <w:rsid w:val="00535608"/>
    <w:rsid w:val="0053581C"/>
    <w:rsid w:val="00556688"/>
    <w:rsid w:val="0056162B"/>
    <w:rsid w:val="0056707B"/>
    <w:rsid w:val="00581A9D"/>
    <w:rsid w:val="00593E1F"/>
    <w:rsid w:val="005A2503"/>
    <w:rsid w:val="005B4F04"/>
    <w:rsid w:val="005B7CB9"/>
    <w:rsid w:val="005D0023"/>
    <w:rsid w:val="005D4CED"/>
    <w:rsid w:val="005E21C4"/>
    <w:rsid w:val="005F440D"/>
    <w:rsid w:val="005F4D59"/>
    <w:rsid w:val="0060001C"/>
    <w:rsid w:val="00600D31"/>
    <w:rsid w:val="0060786A"/>
    <w:rsid w:val="006237FE"/>
    <w:rsid w:val="00627AF7"/>
    <w:rsid w:val="00632540"/>
    <w:rsid w:val="00633F73"/>
    <w:rsid w:val="00637C64"/>
    <w:rsid w:val="00645199"/>
    <w:rsid w:val="00645850"/>
    <w:rsid w:val="00661ECF"/>
    <w:rsid w:val="00667A81"/>
    <w:rsid w:val="00677CD1"/>
    <w:rsid w:val="00686F94"/>
    <w:rsid w:val="00692071"/>
    <w:rsid w:val="00693C92"/>
    <w:rsid w:val="00694B28"/>
    <w:rsid w:val="006C5349"/>
    <w:rsid w:val="006C5F2A"/>
    <w:rsid w:val="006C662C"/>
    <w:rsid w:val="006E62BB"/>
    <w:rsid w:val="006F4A5C"/>
    <w:rsid w:val="00713488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1311"/>
    <w:rsid w:val="007D3889"/>
    <w:rsid w:val="007D39E4"/>
    <w:rsid w:val="007D43A7"/>
    <w:rsid w:val="007E1695"/>
    <w:rsid w:val="007F204C"/>
    <w:rsid w:val="00804060"/>
    <w:rsid w:val="0080669E"/>
    <w:rsid w:val="00812B98"/>
    <w:rsid w:val="008166C9"/>
    <w:rsid w:val="00824E43"/>
    <w:rsid w:val="00827176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5591"/>
    <w:rsid w:val="008D02D2"/>
    <w:rsid w:val="008D04A6"/>
    <w:rsid w:val="008D4C1A"/>
    <w:rsid w:val="008F0867"/>
    <w:rsid w:val="008F172F"/>
    <w:rsid w:val="008F2044"/>
    <w:rsid w:val="008F2BE1"/>
    <w:rsid w:val="008F4DD1"/>
    <w:rsid w:val="009056DB"/>
    <w:rsid w:val="00932E94"/>
    <w:rsid w:val="00947592"/>
    <w:rsid w:val="00950280"/>
    <w:rsid w:val="00991A18"/>
    <w:rsid w:val="00994A16"/>
    <w:rsid w:val="00994DBA"/>
    <w:rsid w:val="009A30D3"/>
    <w:rsid w:val="009D03A7"/>
    <w:rsid w:val="009E0479"/>
    <w:rsid w:val="00A0102E"/>
    <w:rsid w:val="00A114D5"/>
    <w:rsid w:val="00A12960"/>
    <w:rsid w:val="00A1536B"/>
    <w:rsid w:val="00A1570D"/>
    <w:rsid w:val="00A22386"/>
    <w:rsid w:val="00A34934"/>
    <w:rsid w:val="00A56B75"/>
    <w:rsid w:val="00A70FE8"/>
    <w:rsid w:val="00A71C04"/>
    <w:rsid w:val="00AA0017"/>
    <w:rsid w:val="00AA4BC5"/>
    <w:rsid w:val="00AA5C81"/>
    <w:rsid w:val="00AB09B3"/>
    <w:rsid w:val="00AC02D1"/>
    <w:rsid w:val="00AD6839"/>
    <w:rsid w:val="00B041BC"/>
    <w:rsid w:val="00B06019"/>
    <w:rsid w:val="00B07409"/>
    <w:rsid w:val="00B1006E"/>
    <w:rsid w:val="00B178FB"/>
    <w:rsid w:val="00B44958"/>
    <w:rsid w:val="00B5252A"/>
    <w:rsid w:val="00B63DB1"/>
    <w:rsid w:val="00B67138"/>
    <w:rsid w:val="00B6715C"/>
    <w:rsid w:val="00B72484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046A7"/>
    <w:rsid w:val="00C121EC"/>
    <w:rsid w:val="00C12C65"/>
    <w:rsid w:val="00C358CA"/>
    <w:rsid w:val="00C445E2"/>
    <w:rsid w:val="00C70F1B"/>
    <w:rsid w:val="00C7129D"/>
    <w:rsid w:val="00C748D1"/>
    <w:rsid w:val="00C83B51"/>
    <w:rsid w:val="00C91014"/>
    <w:rsid w:val="00CA1CE9"/>
    <w:rsid w:val="00CB1A4E"/>
    <w:rsid w:val="00CC29F6"/>
    <w:rsid w:val="00CD2287"/>
    <w:rsid w:val="00CD5BBB"/>
    <w:rsid w:val="00CD72DF"/>
    <w:rsid w:val="00CE0685"/>
    <w:rsid w:val="00D14B99"/>
    <w:rsid w:val="00D37AD7"/>
    <w:rsid w:val="00D37EA5"/>
    <w:rsid w:val="00D44DAD"/>
    <w:rsid w:val="00D73628"/>
    <w:rsid w:val="00D73918"/>
    <w:rsid w:val="00D967D7"/>
    <w:rsid w:val="00DA125D"/>
    <w:rsid w:val="00DA7632"/>
    <w:rsid w:val="00DB064B"/>
    <w:rsid w:val="00DB19B9"/>
    <w:rsid w:val="00DC4BC2"/>
    <w:rsid w:val="00DE057D"/>
    <w:rsid w:val="00DE44FA"/>
    <w:rsid w:val="00DE5D24"/>
    <w:rsid w:val="00E0020F"/>
    <w:rsid w:val="00E118C7"/>
    <w:rsid w:val="00E1427B"/>
    <w:rsid w:val="00E14E0D"/>
    <w:rsid w:val="00E20D8B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80C3E"/>
    <w:rsid w:val="00E8216C"/>
    <w:rsid w:val="00E93ED7"/>
    <w:rsid w:val="00ED1061"/>
    <w:rsid w:val="00EE5021"/>
    <w:rsid w:val="00F11C98"/>
    <w:rsid w:val="00F12E47"/>
    <w:rsid w:val="00F166D9"/>
    <w:rsid w:val="00F223B2"/>
    <w:rsid w:val="00F26B20"/>
    <w:rsid w:val="00F53241"/>
    <w:rsid w:val="00F67790"/>
    <w:rsid w:val="00F94504"/>
    <w:rsid w:val="00F9629F"/>
    <w:rsid w:val="00FB1A1B"/>
    <w:rsid w:val="00FB645B"/>
    <w:rsid w:val="00FC09D6"/>
    <w:rsid w:val="00FC34EC"/>
    <w:rsid w:val="00FC3F69"/>
    <w:rsid w:val="00FC5312"/>
    <w:rsid w:val="00FC7C69"/>
    <w:rsid w:val="00FD3964"/>
    <w:rsid w:val="00FF1E19"/>
    <w:rsid w:val="00FF4DB4"/>
    <w:rsid w:val="00FF78E5"/>
    <w:rsid w:val="07E8860A"/>
    <w:rsid w:val="49B2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564A8D2F-09D2-48F6-BF75-EE3198BE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normaltextrun">
    <w:name w:val="normaltextrun"/>
    <w:basedOn w:val="DefaultParagraphFont"/>
    <w:rsid w:val="004E555A"/>
  </w:style>
  <w:style w:type="character" w:customStyle="1" w:styleId="eop">
    <w:name w:val="eop"/>
    <w:basedOn w:val="DefaultParagraphFont"/>
    <w:rsid w:val="004E555A"/>
  </w:style>
  <w:style w:type="paragraph" w:customStyle="1" w:styleId="paragraph">
    <w:name w:val="paragraph"/>
    <w:basedOn w:val="Normal"/>
    <w:rsid w:val="004E555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334C4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v2-clan-left-1">
    <w:name w:val="v2-clan-left-1"/>
    <w:basedOn w:val="Normal"/>
    <w:rsid w:val="00334C4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334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4414A-643E-466B-8E7C-93615F0B2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АĐ</cp:lastModifiedBy>
  <cp:revision>28</cp:revision>
  <cp:lastPrinted>2018-09-05T12:48:00Z</cp:lastPrinted>
  <dcterms:created xsi:type="dcterms:W3CDTF">2020-01-13T10:19:00Z</dcterms:created>
  <dcterms:modified xsi:type="dcterms:W3CDTF">2020-07-03T19:26:00Z</dcterms:modified>
</cp:coreProperties>
</file>