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50374" w14:textId="77777777" w:rsidR="00BD4BE1" w:rsidRPr="003A412D" w:rsidRDefault="00876A47" w:rsidP="006F7EB5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3A412D">
        <w:rPr>
          <w:b/>
          <w:sz w:val="22"/>
          <w:szCs w:val="22"/>
          <w:lang w:val="sr-Cyrl-RS"/>
        </w:rPr>
        <w:t>Поједностављање поступка Извештај о утврђивању резултата наградне игре у роби и услугама</w:t>
      </w:r>
    </w:p>
    <w:p w14:paraId="59426569" w14:textId="77777777" w:rsidR="00876A47" w:rsidRPr="00175763" w:rsidRDefault="00876A47" w:rsidP="006F7EB5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FE4463" w:rsidRPr="00175763" w14:paraId="39830462" w14:textId="77777777" w:rsidTr="002B52CB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339590A" w14:textId="77777777" w:rsidR="00FE4463" w:rsidRPr="00175763" w:rsidRDefault="00FE4463" w:rsidP="0097237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75763">
              <w:rPr>
                <w:rFonts w:ascii="Times New Roman" w:hAnsi="Times New Roman"/>
                <w:b/>
                <w:sz w:val="22"/>
                <w:szCs w:val="22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A19C40E" w14:textId="77777777" w:rsidR="00FE4463" w:rsidRPr="00175763" w:rsidRDefault="005D57ED" w:rsidP="0097237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175763">
              <w:rPr>
                <w:sz w:val="22"/>
                <w:szCs w:val="22"/>
              </w:rPr>
              <w:t>Извештај о утврђивању резултата наградне игре у роби и услугама</w:t>
            </w:r>
          </w:p>
        </w:tc>
      </w:tr>
      <w:tr w:rsidR="00FE4463" w:rsidRPr="00175763" w14:paraId="2D10B8C1" w14:textId="77777777" w:rsidTr="002B52CB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724BFF63" w14:textId="77777777" w:rsidR="00FE4463" w:rsidRPr="00175763" w:rsidRDefault="00FE4463" w:rsidP="0097237C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175763">
              <w:rPr>
                <w:b/>
                <w:sz w:val="22"/>
                <w:szCs w:val="22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6891665C" w14:textId="77777777" w:rsidR="00FE4463" w:rsidRPr="00175763" w:rsidRDefault="000E0776" w:rsidP="00400E39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175763">
              <w:rPr>
                <w:sz w:val="22"/>
                <w:szCs w:val="22"/>
              </w:rPr>
              <w:t>01.11</w:t>
            </w:r>
            <w:r w:rsidR="00FB74D5" w:rsidRPr="00175763">
              <w:rPr>
                <w:sz w:val="22"/>
                <w:szCs w:val="22"/>
              </w:rPr>
              <w:t>.00</w:t>
            </w:r>
            <w:r w:rsidRPr="00175763">
              <w:rPr>
                <w:sz w:val="22"/>
                <w:szCs w:val="22"/>
                <w:lang w:val="sr-Cyrl-RS"/>
              </w:rPr>
              <w:t>17</w:t>
            </w:r>
          </w:p>
        </w:tc>
      </w:tr>
      <w:tr w:rsidR="00FE4463" w:rsidRPr="00175763" w14:paraId="4AFDFC2B" w14:textId="77777777" w:rsidTr="002B52CB">
        <w:tc>
          <w:tcPr>
            <w:tcW w:w="2689" w:type="dxa"/>
            <w:shd w:val="clear" w:color="auto" w:fill="DBE5F1" w:themeFill="accent1" w:themeFillTint="33"/>
            <w:vAlign w:val="center"/>
          </w:tcPr>
          <w:p w14:paraId="758C9C13" w14:textId="77777777" w:rsidR="00FE4463" w:rsidRPr="00175763" w:rsidRDefault="00FE4463" w:rsidP="0097237C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175763">
              <w:rPr>
                <w:b/>
                <w:sz w:val="22"/>
                <w:szCs w:val="22"/>
              </w:rPr>
              <w:t>Регулаторно тело</w:t>
            </w:r>
          </w:p>
          <w:p w14:paraId="2E4C8E8C" w14:textId="77777777" w:rsidR="00FE4463" w:rsidRPr="00175763" w:rsidRDefault="00FE4463" w:rsidP="0097237C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175763">
              <w:rPr>
                <w:b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A055E43" w14:textId="77777777" w:rsidR="00FE4463" w:rsidRPr="00175763" w:rsidRDefault="004B7061" w:rsidP="00DF7FB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75763">
              <w:rPr>
                <w:sz w:val="22"/>
                <w:szCs w:val="22"/>
              </w:rPr>
              <w:t xml:space="preserve">Министарсво финансија, </w:t>
            </w:r>
            <w:r w:rsidR="00DF7FB5" w:rsidRPr="00175763">
              <w:rPr>
                <w:sz w:val="22"/>
                <w:szCs w:val="22"/>
                <w:lang w:val="sr-Cyrl-RS"/>
              </w:rPr>
              <w:t>Управа за игре на срећу</w:t>
            </w:r>
          </w:p>
        </w:tc>
      </w:tr>
      <w:tr w:rsidR="00FE4463" w:rsidRPr="00175763" w14:paraId="10964A17" w14:textId="77777777" w:rsidTr="002B52CB">
        <w:tc>
          <w:tcPr>
            <w:tcW w:w="2689" w:type="dxa"/>
            <w:shd w:val="clear" w:color="auto" w:fill="DBE5F1" w:themeFill="accent1" w:themeFillTint="33"/>
            <w:vAlign w:val="center"/>
          </w:tcPr>
          <w:p w14:paraId="0CBFD092" w14:textId="77777777" w:rsidR="00FE4463" w:rsidRPr="00175763" w:rsidRDefault="00FE4463" w:rsidP="0097237C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175763">
              <w:rPr>
                <w:b/>
                <w:sz w:val="22"/>
                <w:szCs w:val="22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5B12770" w14:textId="300F969D" w:rsidR="0015033D" w:rsidRPr="00175763" w:rsidRDefault="0015033D" w:rsidP="0015033D">
            <w:pPr>
              <w:numPr>
                <w:ilvl w:val="0"/>
                <w:numId w:val="4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>Закон о играма на срећу („Службени гласник РС”, бр. 88/11, 93/12 - др.</w:t>
            </w:r>
            <w:r w:rsidR="004E683A" w:rsidRPr="00175763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>закон, 30/18,  95/18 и 91/19)</w:t>
            </w:r>
          </w:p>
          <w:p w14:paraId="6842C894" w14:textId="77777777" w:rsidR="0015033D" w:rsidRPr="00175763" w:rsidRDefault="0015033D" w:rsidP="0015033D">
            <w:pPr>
              <w:numPr>
                <w:ilvl w:val="0"/>
                <w:numId w:val="4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ближим условима, односно садржини правила игара на срећу („Службени гласник РС”, број 129/04)</w:t>
            </w:r>
          </w:p>
          <w:p w14:paraId="6515CE40" w14:textId="77777777" w:rsidR="00FE4463" w:rsidRPr="00175763" w:rsidRDefault="0015033D" w:rsidP="0015033D">
            <w:pPr>
              <w:numPr>
                <w:ilvl w:val="0"/>
                <w:numId w:val="4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начину утврђивања испуњености услова за добијање сагласности за приређивање наградне игре у роби и услугама и о начину извештавања о резултатима наградне игре у роби и услугама („Службени гласник РС”, број 129/04)</w:t>
            </w:r>
          </w:p>
        </w:tc>
      </w:tr>
      <w:tr w:rsidR="0015033D" w:rsidRPr="00175763" w14:paraId="4123201B" w14:textId="77777777" w:rsidTr="002B52CB">
        <w:tc>
          <w:tcPr>
            <w:tcW w:w="2689" w:type="dxa"/>
            <w:shd w:val="clear" w:color="auto" w:fill="DBE5F1" w:themeFill="accent1" w:themeFillTint="33"/>
            <w:vAlign w:val="center"/>
          </w:tcPr>
          <w:p w14:paraId="70A509DA" w14:textId="77777777" w:rsidR="0015033D" w:rsidRPr="00175763" w:rsidRDefault="0015033D" w:rsidP="0015033D">
            <w:pPr>
              <w:pStyle w:val="NormalWeb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17576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40881F3C" w14:textId="77777777" w:rsidR="0015033D" w:rsidRPr="00175763" w:rsidRDefault="0015033D" w:rsidP="0015033D">
            <w:pPr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Доношење новог правилника о начину утврђивања испуњености услова за добијање сагласности за приређивање наградне игре у роби и услугама и о начину извештавања о резултатима наградне игре у роби и услугама </w:t>
            </w:r>
          </w:p>
        </w:tc>
      </w:tr>
      <w:tr w:rsidR="0015033D" w:rsidRPr="00175763" w14:paraId="11C7F7BD" w14:textId="77777777" w:rsidTr="002B52CB">
        <w:tc>
          <w:tcPr>
            <w:tcW w:w="2689" w:type="dxa"/>
            <w:shd w:val="clear" w:color="auto" w:fill="DBE5F1" w:themeFill="accent1" w:themeFillTint="33"/>
            <w:vAlign w:val="center"/>
          </w:tcPr>
          <w:p w14:paraId="7B938771" w14:textId="77777777" w:rsidR="0015033D" w:rsidRPr="00175763" w:rsidRDefault="0015033D" w:rsidP="0015033D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175763">
              <w:rPr>
                <w:b/>
                <w:sz w:val="22"/>
                <w:szCs w:val="22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65BFFFDF" w14:textId="5C9908A0" w:rsidR="0015033D" w:rsidRPr="00175763" w:rsidRDefault="00146C3C" w:rsidP="0015033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46C3C">
              <w:rPr>
                <w:sz w:val="22"/>
                <w:szCs w:val="22"/>
                <w:lang w:val="sr-Cyrl-RS"/>
              </w:rPr>
              <w:t>Увођење еУправе четврти квартал 2021. године, остале активности четврти квартал 2020. године</w:t>
            </w:r>
          </w:p>
        </w:tc>
      </w:tr>
      <w:tr w:rsidR="0015033D" w:rsidRPr="00175763" w14:paraId="71EB39DB" w14:textId="77777777" w:rsidTr="002B52CB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F77CC73" w14:textId="77777777" w:rsidR="0015033D" w:rsidRPr="00175763" w:rsidRDefault="0015033D" w:rsidP="0015033D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75763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15033D" w:rsidRPr="00175763" w14:paraId="6843A7E6" w14:textId="77777777" w:rsidTr="002B52CB">
        <w:tc>
          <w:tcPr>
            <w:tcW w:w="9060" w:type="dxa"/>
            <w:gridSpan w:val="2"/>
          </w:tcPr>
          <w:p w14:paraId="3746395C" w14:textId="77777777" w:rsidR="0015033D" w:rsidRPr="00175763" w:rsidRDefault="008E3186" w:rsidP="008E318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75763">
              <w:rPr>
                <w:sz w:val="22"/>
                <w:szCs w:val="22"/>
              </w:rPr>
              <w:t>По завршетку наградне игре</w:t>
            </w:r>
            <w:r w:rsidRPr="00175763">
              <w:rPr>
                <w:sz w:val="22"/>
                <w:szCs w:val="22"/>
                <w:lang w:val="sr-Cyrl-RS"/>
              </w:rPr>
              <w:t xml:space="preserve"> у роби и услугама</w:t>
            </w:r>
            <w:r w:rsidRPr="00175763">
              <w:rPr>
                <w:sz w:val="22"/>
                <w:szCs w:val="22"/>
              </w:rPr>
              <w:t xml:space="preserve"> приређивач је дужан да у року од 30 дана обавести Управу</w:t>
            </w:r>
            <w:r w:rsidRPr="00175763">
              <w:rPr>
                <w:sz w:val="22"/>
                <w:szCs w:val="22"/>
                <w:lang w:val="sr-Cyrl-RS"/>
              </w:rPr>
              <w:t xml:space="preserve"> за игре на срећу</w:t>
            </w:r>
            <w:r w:rsidRPr="00175763">
              <w:rPr>
                <w:sz w:val="22"/>
                <w:szCs w:val="22"/>
              </w:rPr>
              <w:t xml:space="preserve"> о резултатима наградне игре.</w:t>
            </w:r>
            <w:r w:rsidR="0015033D" w:rsidRPr="00175763">
              <w:rPr>
                <w:sz w:val="22"/>
                <w:szCs w:val="22"/>
                <w:lang w:val="sr-Cyrl-RS"/>
              </w:rPr>
              <w:t xml:space="preserve"> </w:t>
            </w:r>
          </w:p>
          <w:p w14:paraId="68177DD8" w14:textId="65C9CF62" w:rsidR="008E3186" w:rsidRPr="00175763" w:rsidRDefault="008E3186" w:rsidP="008E318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75763">
              <w:rPr>
                <w:sz w:val="22"/>
                <w:szCs w:val="22"/>
                <w:lang w:val="sr-Cyrl-RS"/>
              </w:rPr>
              <w:t>Приређивач је у обавези да извештај о утврђивању резултата наградне игре у роби и услугама достави у оригиналу лично или поштом.</w:t>
            </w:r>
          </w:p>
        </w:tc>
      </w:tr>
      <w:tr w:rsidR="0015033D" w:rsidRPr="00175763" w14:paraId="6E2AED47" w14:textId="77777777" w:rsidTr="002B52C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68D19FF" w14:textId="77777777" w:rsidR="0015033D" w:rsidRPr="00175763" w:rsidRDefault="0015033D" w:rsidP="0015033D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75763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15033D" w:rsidRPr="00175763" w14:paraId="24474EFC" w14:textId="77777777" w:rsidTr="002B52C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7FDDABFC" w14:textId="77777777" w:rsidR="0015033D" w:rsidRPr="00175763" w:rsidRDefault="0015033D" w:rsidP="0015033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  <w:p w14:paraId="761BD1AA" w14:textId="77777777" w:rsidR="0015033D" w:rsidRPr="00175763" w:rsidRDefault="0015033D" w:rsidP="0015033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15033D" w:rsidRPr="00175763" w14:paraId="41D893BD" w14:textId="77777777" w:rsidTr="002B52C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5"/>
              <w:gridCol w:w="1948"/>
              <w:gridCol w:w="1952"/>
              <w:gridCol w:w="1587"/>
              <w:gridCol w:w="12"/>
            </w:tblGrid>
            <w:tr w:rsidR="0015033D" w:rsidRPr="00175763" w14:paraId="1D0B71A9" w14:textId="77777777" w:rsidTr="00774B8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EADE67F" w14:textId="77777777" w:rsidR="0015033D" w:rsidRPr="00175763" w:rsidRDefault="0015033D" w:rsidP="0015033D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1757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07084E1" w14:textId="77777777" w:rsidR="0015033D" w:rsidRPr="00175763" w:rsidRDefault="0015033D" w:rsidP="0015033D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1757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07A6976A" w14:textId="77777777" w:rsidR="0015033D" w:rsidRPr="00175763" w:rsidRDefault="0015033D" w:rsidP="0015033D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1757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УКОЛИКО ЈЕ ОДГОВОР ДА, КОЈИХ</w:t>
                  </w:r>
                </w:p>
              </w:tc>
            </w:tr>
            <w:tr w:rsidR="0015033D" w:rsidRPr="00175763" w14:paraId="7ACCF875" w14:textId="77777777" w:rsidTr="00A93B14">
              <w:trPr>
                <w:trHeight w:val="53"/>
              </w:trPr>
              <w:tc>
                <w:tcPr>
                  <w:tcW w:w="3632" w:type="dxa"/>
                  <w:vMerge/>
                </w:tcPr>
                <w:p w14:paraId="5B14240E" w14:textId="77777777" w:rsidR="0015033D" w:rsidRPr="00175763" w:rsidRDefault="0015033D" w:rsidP="0015033D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2EB807C0" w14:textId="77777777" w:rsidR="0015033D" w:rsidRPr="00175763" w:rsidRDefault="0015033D" w:rsidP="0015033D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1757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650E2258" w14:textId="77777777" w:rsidR="0015033D" w:rsidRPr="00175763" w:rsidRDefault="0015033D" w:rsidP="0015033D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1757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6A4882C0" w14:textId="77777777" w:rsidR="0015033D" w:rsidRPr="00175763" w:rsidRDefault="0015033D" w:rsidP="0015033D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15033D" w:rsidRPr="00175763" w14:paraId="70FD0C90" w14:textId="77777777" w:rsidTr="00A93B14">
              <w:trPr>
                <w:trHeight w:val="408"/>
              </w:trPr>
              <w:tc>
                <w:tcPr>
                  <w:tcW w:w="3632" w:type="dxa"/>
                  <w:vAlign w:val="center"/>
                </w:tcPr>
                <w:p w14:paraId="7AE523C8" w14:textId="38AF12BE" w:rsidR="0015033D" w:rsidRPr="008309A6" w:rsidRDefault="00A93B14" w:rsidP="0015033D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309A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784" w:type="dxa"/>
                </w:tcPr>
                <w:p w14:paraId="439A97A8" w14:textId="77777777" w:rsidR="0015033D" w:rsidRPr="00175763" w:rsidRDefault="0015033D" w:rsidP="0015033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57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1CB8F1E8" w14:textId="77777777" w:rsidR="0015033D" w:rsidRPr="00175763" w:rsidRDefault="0015033D" w:rsidP="0015033D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637" w:type="dxa"/>
                  <w:gridSpan w:val="2"/>
                </w:tcPr>
                <w:p w14:paraId="7E251E01" w14:textId="30B1AD00" w:rsidR="0015033D" w:rsidRPr="00175763" w:rsidRDefault="00A93B14" w:rsidP="0015033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57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2</w:t>
                  </w:r>
                  <w:r w:rsidR="0015033D" w:rsidRPr="001757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.</w:t>
                  </w:r>
                </w:p>
              </w:tc>
            </w:tr>
            <w:tr w:rsidR="0015033D" w:rsidRPr="00175763" w14:paraId="3BE68F63" w14:textId="77777777" w:rsidTr="00774B89">
              <w:trPr>
                <w:gridAfter w:val="1"/>
                <w:wAfter w:w="12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C8B2246" w14:textId="13E8D8EC" w:rsidR="0015033D" w:rsidRPr="008309A6" w:rsidRDefault="007D7872" w:rsidP="0015033D">
                  <w:pPr>
                    <w:pStyle w:val="NormalWeb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8309A6">
                    <w:rPr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40AEA774" w14:textId="77777777" w:rsidR="0015033D" w:rsidRPr="00175763" w:rsidRDefault="0015033D" w:rsidP="0015033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075AE6AF" w14:textId="77777777" w:rsidR="0015033D" w:rsidRPr="00175763" w:rsidRDefault="0015033D" w:rsidP="0015033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57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625" w:type="dxa"/>
                  <w:vAlign w:val="center"/>
                </w:tcPr>
                <w:p w14:paraId="45507D5F" w14:textId="77777777" w:rsidR="0015033D" w:rsidRPr="00175763" w:rsidRDefault="0015033D" w:rsidP="0015033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760CDE" w14:textId="77777777" w:rsidR="0015033D" w:rsidRPr="00175763" w:rsidRDefault="0015033D" w:rsidP="0015033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15033D" w:rsidRPr="00175763" w14:paraId="5A2F672C" w14:textId="77777777" w:rsidTr="002B52C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CA89380" w14:textId="77777777" w:rsidR="0015033D" w:rsidRPr="00175763" w:rsidRDefault="0015033D" w:rsidP="0015033D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75763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15033D" w:rsidRPr="00175763" w14:paraId="5CC0A221" w14:textId="77777777" w:rsidTr="002B52C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795DC5F" w14:textId="77777777" w:rsidR="0015033D" w:rsidRPr="00175763" w:rsidRDefault="0015033D" w:rsidP="0015033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547168B" w14:textId="77777777" w:rsidR="008E3186" w:rsidRPr="00175763" w:rsidRDefault="008E3186" w:rsidP="008E3186">
            <w:pPr>
              <w:numPr>
                <w:ilvl w:val="1"/>
                <w:numId w:val="9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75763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3388D8B" w14:textId="77777777" w:rsidR="008E3186" w:rsidRPr="00175763" w:rsidRDefault="008E3186" w:rsidP="008E3186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07B9611" w14:textId="57D4A7E6" w:rsidR="008E3186" w:rsidRPr="00175763" w:rsidRDefault="008E3186" w:rsidP="006F156A">
            <w:pPr>
              <w:pStyle w:val="odluka-zakon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175763">
              <w:rPr>
                <w:b/>
                <w:bCs/>
                <w:sz w:val="22"/>
                <w:szCs w:val="22"/>
                <w:lang w:val="sr-Cyrl-RS"/>
              </w:rPr>
              <w:t xml:space="preserve">Документ </w:t>
            </w:r>
            <w:r w:rsidR="006F156A" w:rsidRPr="00175763">
              <w:rPr>
                <w:b/>
                <w:bCs/>
                <w:sz w:val="22"/>
                <w:szCs w:val="22"/>
                <w:lang w:val="sr-Cyrl-RS"/>
              </w:rPr>
              <w:t>Г</w:t>
            </w:r>
            <w:r w:rsidRPr="00175763">
              <w:rPr>
                <w:b/>
                <w:bCs/>
                <w:sz w:val="22"/>
                <w:szCs w:val="22"/>
                <w:lang w:val="sr-Cyrl-RS"/>
              </w:rPr>
              <w:t xml:space="preserve">. </w:t>
            </w:r>
            <w:r w:rsidR="006F156A" w:rsidRPr="00175763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6F156A" w:rsidRPr="00175763">
              <w:rPr>
                <w:rFonts w:eastAsia="Calibri"/>
                <w:bCs/>
                <w:noProof/>
                <w:sz w:val="22"/>
                <w:szCs w:val="22"/>
                <w:lang w:val="sr-Cyrl-RS"/>
              </w:rPr>
              <w:t>Извештај о утврђивању резултата наградне игре у роби и услугама</w:t>
            </w:r>
          </w:p>
          <w:p w14:paraId="117A6BF9" w14:textId="77777777" w:rsidR="006F156A" w:rsidRPr="00175763" w:rsidRDefault="006F156A" w:rsidP="006F156A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rPr>
                <w:sz w:val="22"/>
                <w:szCs w:val="22"/>
                <w:lang w:val="sr-Cyrl-RS"/>
              </w:rPr>
            </w:pPr>
          </w:p>
          <w:p w14:paraId="6038F1BA" w14:textId="7FA0CBAE" w:rsidR="008E3186" w:rsidRPr="00175763" w:rsidRDefault="006F156A" w:rsidP="008E3186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75763">
              <w:rPr>
                <w:sz w:val="22"/>
                <w:szCs w:val="22"/>
                <w:lang w:val="sr-Cyrl-RS"/>
              </w:rPr>
              <w:lastRenderedPageBreak/>
              <w:t>П</w:t>
            </w:r>
            <w:r w:rsidR="008E3186" w:rsidRPr="00175763">
              <w:rPr>
                <w:sz w:val="22"/>
                <w:szCs w:val="22"/>
                <w:lang w:val="sr-Cyrl-RS"/>
              </w:rPr>
              <w:t>редлаже се достављање</w:t>
            </w:r>
            <w:r w:rsidRPr="00175763">
              <w:rPr>
                <w:sz w:val="22"/>
                <w:szCs w:val="22"/>
                <w:lang w:val="sr-Cyrl-RS"/>
              </w:rPr>
              <w:t xml:space="preserve"> наведеног документа</w:t>
            </w:r>
            <w:r w:rsidR="008E3186" w:rsidRPr="00175763">
              <w:rPr>
                <w:sz w:val="22"/>
                <w:szCs w:val="22"/>
                <w:lang w:val="sr-Cyrl-RS"/>
              </w:rPr>
              <w:t xml:space="preserve"> у обичном препису (обична копија) или у копији уз оригинал на увид,  </w:t>
            </w:r>
            <w:r w:rsidRPr="00175763">
              <w:rPr>
                <w:sz w:val="22"/>
                <w:szCs w:val="22"/>
                <w:lang w:val="sr-Cyrl-RS"/>
              </w:rPr>
              <w:t>у складу са</w:t>
            </w:r>
            <w:r w:rsidR="008E3186" w:rsidRPr="00175763">
              <w:rPr>
                <w:sz w:val="22"/>
                <w:szCs w:val="22"/>
                <w:lang w:val="sr-Cyrl-RS"/>
              </w:rPr>
              <w:t xml:space="preserve"> чланом 121,</w:t>
            </w:r>
            <w:r w:rsidRPr="00175763">
              <w:rPr>
                <w:sz w:val="22"/>
                <w:szCs w:val="22"/>
                <w:lang w:val="sr-Cyrl-RS"/>
              </w:rPr>
              <w:t xml:space="preserve"> став 2. Закона о општем управном поступку („Службени гласник РС”, бр. 18/16</w:t>
            </w:r>
            <w:r w:rsidR="00A31541">
              <w:rPr>
                <w:sz w:val="22"/>
                <w:szCs w:val="22"/>
                <w:lang w:val="sr-Latn-RS"/>
              </w:rPr>
              <w:t xml:space="preserve"> </w:t>
            </w:r>
            <w:r w:rsidR="00A31541">
              <w:rPr>
                <w:sz w:val="22"/>
                <w:szCs w:val="22"/>
                <w:lang w:val="sr-Cyrl-RS"/>
              </w:rPr>
              <w:t xml:space="preserve">и </w:t>
            </w:r>
            <w:r w:rsidRPr="00175763">
              <w:rPr>
                <w:sz w:val="22"/>
                <w:szCs w:val="22"/>
                <w:lang w:val="sr-Cyrl-RS"/>
              </w:rPr>
              <w:t xml:space="preserve"> 95/18 – аутентично тумачење).</w:t>
            </w:r>
          </w:p>
          <w:p w14:paraId="244624C9" w14:textId="49205524" w:rsidR="008E3186" w:rsidRPr="00175763" w:rsidRDefault="008E3186" w:rsidP="008E318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1FE067E" w14:textId="77777777" w:rsidR="008E3186" w:rsidRPr="00175763" w:rsidRDefault="008E3186" w:rsidP="008E3186">
            <w:pPr>
              <w:pStyle w:val="ListParagraph"/>
              <w:ind w:left="-23"/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175763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175763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, потребно је доношење новог правилника о начину утврђивања испуњености услова за добијање сагласности за приређивање наградне игре у роби и услугама и о начину извештавања о резултатима наградне игре у роби и услугама, будући да је постојећим правилником прописано да се потребна докумета достављају као оригинали, односно оверене копије или оверени преписи.</w:t>
            </w:r>
          </w:p>
          <w:p w14:paraId="794BD095" w14:textId="77777777" w:rsidR="008E3186" w:rsidRPr="00175763" w:rsidRDefault="008E3186" w:rsidP="008E3186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6C8DE8E6" w14:textId="77777777" w:rsidR="008E3186" w:rsidRPr="00175763" w:rsidRDefault="008E3186" w:rsidP="008E3186">
            <w:pPr>
              <w:pStyle w:val="ListParagraph"/>
              <w:numPr>
                <w:ilvl w:val="1"/>
                <w:numId w:val="9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175763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1B2CBAAA" w14:textId="77777777" w:rsidR="008E3186" w:rsidRPr="00175763" w:rsidRDefault="008E3186" w:rsidP="008E3186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E01D005" w14:textId="0E7806AC" w:rsidR="008E3186" w:rsidRPr="00175763" w:rsidRDefault="008E3186" w:rsidP="008E3186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</w:t>
            </w:r>
            <w:r w:rsidR="00210C6B" w:rsidRPr="00175763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210C6B"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(„Службени гласник РС”, број 27/18) </w:t>
            </w: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Законом о електронском документу, електронској идентификацији и услугама од поверења у електронском пословању</w:t>
            </w:r>
            <w:r w:rsidR="00210C6B" w:rsidRPr="00175763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210C6B"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(„Службени гласник РС”, </w:t>
            </w:r>
            <w:r w:rsidR="00A3154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број </w:t>
            </w:r>
            <w:r w:rsidR="00210C6B"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>94/17)</w:t>
            </w: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>, предлаже се потпуно увођење е-управе тако што ће се поступак у целости спровести електронским путем.</w:t>
            </w:r>
          </w:p>
          <w:p w14:paraId="46961580" w14:textId="77777777" w:rsidR="008E3186" w:rsidRPr="00175763" w:rsidRDefault="008E3186" w:rsidP="008E3186">
            <w:pPr>
              <w:pStyle w:val="ListParagraph"/>
              <w:shd w:val="clear" w:color="auto" w:fill="FFFFFF"/>
              <w:ind w:left="39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6C3A67F" w14:textId="77777777" w:rsidR="008E3186" w:rsidRPr="00175763" w:rsidRDefault="008E3186" w:rsidP="008E3186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7576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неопходна измена прописа.</w:t>
            </w:r>
          </w:p>
          <w:p w14:paraId="0D71AB2D" w14:textId="77777777" w:rsidR="0015033D" w:rsidRPr="00175763" w:rsidRDefault="0015033D" w:rsidP="0015033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15033D" w:rsidRPr="00175763" w14:paraId="01E8964A" w14:textId="77777777" w:rsidTr="002B52C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518C273" w14:textId="77777777" w:rsidR="0015033D" w:rsidRPr="00175763" w:rsidRDefault="0015033D" w:rsidP="008E3186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75763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5033D" w:rsidRPr="00175763" w14:paraId="51D06724" w14:textId="77777777" w:rsidTr="002B52C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1D84DF4" w14:textId="4C6F0BA7" w:rsidR="00634427" w:rsidRPr="00321C26" w:rsidRDefault="00321C26" w:rsidP="00321C26">
            <w:pPr>
              <w:tabs>
                <w:tab w:val="left" w:pos="1080"/>
              </w:tabs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0" w:name="clan_41"/>
            <w:bookmarkStart w:id="1" w:name="str_46"/>
            <w:bookmarkStart w:id="2" w:name="clan_77"/>
            <w:bookmarkStart w:id="3" w:name="clan_87"/>
            <w:bookmarkStart w:id="4" w:name="str_93"/>
            <w:bookmarkStart w:id="5" w:name="clan_101"/>
            <w:bookmarkStart w:id="6" w:name="str_108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     </w:t>
            </w:r>
          </w:p>
          <w:p w14:paraId="32333D6B" w14:textId="77777777" w:rsidR="00634427" w:rsidRPr="00175763" w:rsidRDefault="00634427" w:rsidP="00634427">
            <w:pPr>
              <w:tabs>
                <w:tab w:val="left" w:pos="630"/>
              </w:tabs>
              <w:jc w:val="righ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ПРЕДЛОГ</w:t>
            </w:r>
          </w:p>
          <w:p w14:paraId="72C7F90D" w14:textId="77777777" w:rsidR="00634427" w:rsidRPr="00175763" w:rsidRDefault="00634427" w:rsidP="00634427">
            <w:pPr>
              <w:tabs>
                <w:tab w:val="left" w:pos="630"/>
              </w:tabs>
              <w:jc w:val="righ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CAA56FD" w14:textId="7D57FAB3" w:rsidR="00634427" w:rsidRPr="00175763" w:rsidRDefault="00634427" w:rsidP="00634427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основу члана 103. став 6, члана 104. став 2. и члана 108. став 2. Закона о играма на срећу („Службени гласник РС”, број </w:t>
            </w:r>
            <w:r w:rsidR="002C23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18/20)</w:t>
            </w:r>
          </w:p>
          <w:p w14:paraId="2DD81E13" w14:textId="77777777" w:rsidR="00634427" w:rsidRPr="00175763" w:rsidRDefault="00634427" w:rsidP="00634427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706839C" w14:textId="77777777" w:rsidR="00634427" w:rsidRPr="00175763" w:rsidRDefault="00634427" w:rsidP="00634427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 финансија доноси</w:t>
            </w:r>
          </w:p>
          <w:p w14:paraId="2FF3E72B" w14:textId="77777777" w:rsidR="00634427" w:rsidRPr="00175763" w:rsidRDefault="00634427" w:rsidP="00634427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</w:p>
          <w:p w14:paraId="3AF81AE3" w14:textId="77777777" w:rsidR="00634427" w:rsidRPr="00175763" w:rsidRDefault="00634427" w:rsidP="00634427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</w:p>
          <w:p w14:paraId="5B2C4E21" w14:textId="77777777" w:rsidR="00634427" w:rsidRPr="00175763" w:rsidRDefault="00634427" w:rsidP="00634427">
            <w:pPr>
              <w:tabs>
                <w:tab w:val="left" w:pos="630"/>
              </w:tabs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ПРАВИЛНИК</w:t>
            </w:r>
          </w:p>
          <w:p w14:paraId="4DBE35C2" w14:textId="77777777" w:rsidR="00634427" w:rsidRPr="00175763" w:rsidRDefault="00634427" w:rsidP="00634427">
            <w:pPr>
              <w:tabs>
                <w:tab w:val="left" w:pos="630"/>
              </w:tabs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о начину утврђивања испуњености услова за добијање сагласности за приређивање наградне игре у роби и услугама и о начину извештавања о резултатима наградне игре у роби и услугама</w:t>
            </w: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 </w:t>
            </w:r>
          </w:p>
          <w:p w14:paraId="1521314A" w14:textId="77777777" w:rsidR="00634427" w:rsidRPr="00175763" w:rsidRDefault="00634427" w:rsidP="00634427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</w:p>
          <w:p w14:paraId="07B57EBF" w14:textId="77777777" w:rsidR="00175763" w:rsidRPr="00175763" w:rsidRDefault="00175763" w:rsidP="00175763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8CC0E12" w14:textId="77777777" w:rsidR="00175763" w:rsidRPr="00175763" w:rsidRDefault="00175763" w:rsidP="00175763">
            <w:pPr>
              <w:tabs>
                <w:tab w:val="left" w:pos="630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2744BA95" w14:textId="77777777" w:rsidR="00175763" w:rsidRPr="00175763" w:rsidRDefault="00175763" w:rsidP="00175763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Овим правилником ближе се одређује начин утврђивања испуњености услова за добијање сагласности за приређивање наградне игре у роби и услугама и начин извештавања о резултатима наградне игре у роби и услугама.</w:t>
            </w:r>
          </w:p>
          <w:p w14:paraId="12B6AB24" w14:textId="77777777" w:rsidR="00175763" w:rsidRPr="00175763" w:rsidRDefault="00175763" w:rsidP="00175763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Овим правилником ближе се прописују образац захтева за добијање сагласности за приређивање наградне игре у роби и услугама, који је одштампан уз овај правилник и чини његов саставни део.</w:t>
            </w:r>
          </w:p>
          <w:p w14:paraId="04D042B9" w14:textId="77777777" w:rsidR="00175763" w:rsidRPr="00175763" w:rsidRDefault="00175763" w:rsidP="00175763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</w:p>
          <w:p w14:paraId="449C60FD" w14:textId="77777777" w:rsidR="00175763" w:rsidRPr="00175763" w:rsidRDefault="00175763" w:rsidP="00175763">
            <w:pPr>
              <w:tabs>
                <w:tab w:val="left" w:pos="630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3E41A313" w14:textId="55DAE3FC" w:rsidR="00175763" w:rsidRPr="00175763" w:rsidRDefault="00175763" w:rsidP="00175763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Правно лице или предузетник који жели да приреди наградну игру у роби и услугама</w:t>
            </w:r>
            <w:r w:rsidR="00A315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(у даљем тексту: подносилац захтева)</w:t>
            </w: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A315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Управи за игре на срећу (у даљем тексту: Управа) </w:t>
            </w:r>
            <w:r w:rsidR="00A315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 захтев</w:t>
            </w:r>
            <w:r w:rsidR="00A31541"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добијање сагласности за приређивање наградне игре, за сваку наградну игру појединачно.</w:t>
            </w:r>
          </w:p>
          <w:p w14:paraId="7719EF95" w14:textId="77777777" w:rsidR="00175763" w:rsidRPr="00175763" w:rsidRDefault="00175763" w:rsidP="00175763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</w:p>
          <w:p w14:paraId="3909259C" w14:textId="77777777" w:rsidR="00175763" w:rsidRPr="00175763" w:rsidRDefault="00175763" w:rsidP="00175763">
            <w:pPr>
              <w:tabs>
                <w:tab w:val="left" w:pos="630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3.</w:t>
            </w:r>
          </w:p>
          <w:p w14:paraId="2EF49C87" w14:textId="77777777" w:rsidR="00175763" w:rsidRPr="00175763" w:rsidRDefault="00175763" w:rsidP="00175763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захтев из члана 1. став 2. овог правилника, подносилац захтева доставља Управи  следећу документацију:</w:t>
            </w:r>
          </w:p>
          <w:p w14:paraId="7925AC20" w14:textId="77777777" w:rsidR="00175763" w:rsidRPr="00175763" w:rsidRDefault="00175763" w:rsidP="00175763">
            <w:pPr>
              <w:pStyle w:val="NoSpacing"/>
              <w:ind w:firstLine="56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1) одлука надлежног органа приређивача о приређивању наградне игре у оригиналу или </w:t>
            </w: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овереном препису</w:t>
            </w: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; </w:t>
            </w:r>
          </w:p>
          <w:p w14:paraId="35493399" w14:textId="77777777" w:rsidR="00175763" w:rsidRPr="00175763" w:rsidRDefault="00175763" w:rsidP="00175763">
            <w:pPr>
              <w:pStyle w:val="NoSpacing"/>
              <w:ind w:firstLine="56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2) копија решења о упису у одговарајући регистар; </w:t>
            </w:r>
          </w:p>
          <w:p w14:paraId="544D44AE" w14:textId="77777777" w:rsidR="00175763" w:rsidRPr="00175763" w:rsidRDefault="00175763" w:rsidP="00175763">
            <w:pPr>
              <w:pStyle w:val="NoSpacing"/>
              <w:ind w:firstLine="56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>3) правила наградне игре</w:t>
            </w: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која је сагласност дао министар надлежан за послове финансија (у даљем тексту: министар финансија), сагласно члану 109. став 2. Закона, и то </w:t>
            </w: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оригиналу или </w:t>
            </w: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овереном препису;</w:t>
            </w:r>
          </w:p>
          <w:p w14:paraId="3350A7B8" w14:textId="77777777" w:rsidR="00175763" w:rsidRPr="00175763" w:rsidRDefault="00175763" w:rsidP="00175763">
            <w:pPr>
              <w:pStyle w:val="NoSpacing"/>
              <w:ind w:firstLine="567"/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4) </w:t>
            </w:r>
            <w:r w:rsidRPr="00175763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>копија доказа о вредности фонда добитка (предуговор или уговор о купопродаји, профактура, ценовници и друга документација која садржи податке о вредности, односно цени роба и услуга);</w:t>
            </w:r>
          </w:p>
          <w:p w14:paraId="383F15E3" w14:textId="77777777" w:rsidR="00175763" w:rsidRPr="00175763" w:rsidRDefault="00175763" w:rsidP="00175763">
            <w:pPr>
              <w:pStyle w:val="NoSpacing"/>
              <w:ind w:firstLine="567"/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175763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>5) копија доказа о уплати републичке административне таксе за захтев;</w:t>
            </w:r>
          </w:p>
          <w:p w14:paraId="67376959" w14:textId="77777777" w:rsidR="00175763" w:rsidRPr="00175763" w:rsidRDefault="00175763" w:rsidP="00175763">
            <w:pPr>
              <w:pStyle w:val="NoSpacing"/>
              <w:ind w:firstLine="56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>6) копија доказа о уплати републичке административне таксе за решење.</w:t>
            </w:r>
          </w:p>
          <w:p w14:paraId="53D16AE6" w14:textId="77777777" w:rsidR="00175763" w:rsidRPr="00175763" w:rsidRDefault="00175763" w:rsidP="00175763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случају да  на правила наградне игре из става 1. тачка 3) овог члана није прибављена сагласност министра финансија, Управа ће правила наградне игре доставити министру финансија, ради давања сагласности у смислу члана 109. став 2. Закона.</w:t>
            </w:r>
          </w:p>
          <w:p w14:paraId="23FEE527" w14:textId="77777777" w:rsidR="00175763" w:rsidRPr="00175763" w:rsidRDefault="00175763" w:rsidP="00175763">
            <w:pPr>
              <w:pStyle w:val="NoSpacing"/>
              <w:ind w:firstLine="56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hAnsi="Times New Roman"/>
                <w:sz w:val="22"/>
                <w:szCs w:val="22"/>
                <w:lang w:val="sr-Cyrl-RS"/>
              </w:rPr>
              <w:t>Управа по службеној дужности прибавља податке из службених евиденција и подносилац захтева није у обавези да достави документ из става 1. тачке 2) овог члана, изузев ако подносилац захтева изричито изјави да ће те податке прибавити сам.</w:t>
            </w:r>
          </w:p>
          <w:p w14:paraId="04A9DCB8" w14:textId="77777777" w:rsidR="00175763" w:rsidRPr="00175763" w:rsidRDefault="00175763" w:rsidP="00175763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</w:p>
          <w:p w14:paraId="03852044" w14:textId="77777777" w:rsidR="00175763" w:rsidRPr="00175763" w:rsidRDefault="00175763" w:rsidP="00175763">
            <w:pPr>
              <w:tabs>
                <w:tab w:val="left" w:pos="630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4.</w:t>
            </w:r>
          </w:p>
          <w:p w14:paraId="253384A1" w14:textId="77777777" w:rsidR="00175763" w:rsidRPr="00175763" w:rsidRDefault="00175763" w:rsidP="00175763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решењу којим се даје сагласност за приређивање наградне игре наводи се и износ накнаде за приређивање наградне игре, која се плаћа у складу са чланом 107. Закона.</w:t>
            </w:r>
          </w:p>
          <w:p w14:paraId="4473E99B" w14:textId="77777777" w:rsidR="00175763" w:rsidRPr="00175763" w:rsidRDefault="00175763" w:rsidP="00175763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</w:p>
          <w:p w14:paraId="2DD5C656" w14:textId="77777777" w:rsidR="00175763" w:rsidRPr="00175763" w:rsidRDefault="00175763" w:rsidP="00175763">
            <w:pPr>
              <w:tabs>
                <w:tab w:val="left" w:pos="630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5.</w:t>
            </w:r>
          </w:p>
          <w:p w14:paraId="7D26A1B6" w14:textId="77777777" w:rsidR="00175763" w:rsidRPr="00175763" w:rsidRDefault="00175763" w:rsidP="00175763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 окончању наградне игре приређивач доставља Управи извештај о утврђивању резултата игре, који поред података о председнику и члановима комисије, садржи нарочито:</w:t>
            </w:r>
          </w:p>
          <w:p w14:paraId="4E16C677" w14:textId="77777777" w:rsidR="00175763" w:rsidRPr="00175763" w:rsidRDefault="00175763" w:rsidP="00175763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податке о фонду добитака, са спецификацијом награда и доказима о њиховој вредности;</w:t>
            </w:r>
          </w:p>
          <w:p w14:paraId="5AC8AD1A" w14:textId="7A89058C" w:rsidR="00175763" w:rsidRPr="00175763" w:rsidRDefault="00175763" w:rsidP="00175763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податке о добитницима (име и презиме, адреса</w:t>
            </w:r>
            <w:bookmarkStart w:id="7" w:name="_GoBack"/>
            <w:bookmarkEnd w:id="7"/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);</w:t>
            </w:r>
          </w:p>
          <w:p w14:paraId="5FA5B189" w14:textId="77777777" w:rsidR="00175763" w:rsidRPr="00175763" w:rsidRDefault="00175763" w:rsidP="00175763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 друге податке за које приређивач сматра да су од значаја за утврђивање резултата игре, исплату добитака и слично.</w:t>
            </w:r>
          </w:p>
          <w:p w14:paraId="7298AE9B" w14:textId="77777777" w:rsidR="00175763" w:rsidRPr="00175763" w:rsidRDefault="00175763" w:rsidP="00175763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Документација, односно подаци из става 1. овог члана, достављају се у обичном препису – копији.</w:t>
            </w:r>
          </w:p>
          <w:p w14:paraId="666F6857" w14:textId="77777777" w:rsidR="00175763" w:rsidRPr="00175763" w:rsidRDefault="00175763" w:rsidP="00175763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</w:p>
          <w:p w14:paraId="5B02D182" w14:textId="77777777" w:rsidR="00175763" w:rsidRPr="00175763" w:rsidRDefault="00175763" w:rsidP="00175763">
            <w:pPr>
              <w:tabs>
                <w:tab w:val="left" w:pos="630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6.</w:t>
            </w:r>
          </w:p>
          <w:p w14:paraId="162C4464" w14:textId="77777777" w:rsidR="00175763" w:rsidRPr="00175763" w:rsidRDefault="00175763" w:rsidP="00175763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правилник ступа на снагу осмог дана од дана објављивања у „Службеном гласнику Републике Србије”.</w:t>
            </w:r>
          </w:p>
          <w:p w14:paraId="3B4873D7" w14:textId="77777777" w:rsidR="00175763" w:rsidRPr="00175763" w:rsidRDefault="00175763" w:rsidP="00175763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590CBD4" w14:textId="77777777" w:rsidR="00175763" w:rsidRPr="00175763" w:rsidRDefault="00175763" w:rsidP="0017576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57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Прилог: Образац захтева за сагласност за приређивање наградне игре у роби и услугама</w:t>
            </w:r>
          </w:p>
          <w:p w14:paraId="6E190B38" w14:textId="1D2301C8" w:rsidR="0015033D" w:rsidRPr="00175763" w:rsidRDefault="0015033D" w:rsidP="0063442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15033D" w:rsidRPr="00175763" w14:paraId="1A9BCC6C" w14:textId="77777777" w:rsidTr="002B52C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311BD66" w14:textId="77777777" w:rsidR="0015033D" w:rsidRPr="00175763" w:rsidRDefault="0015033D" w:rsidP="0015033D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175763">
              <w:rPr>
                <w:b/>
                <w:sz w:val="22"/>
                <w:szCs w:val="22"/>
              </w:rPr>
              <w:lastRenderedPageBreak/>
              <w:t>ПРЕГЛЕД ОДРЕДБИ ПРОПИСА ЧИЈА СЕ ИЗМЕНА ПРЕДЛАЖЕ</w:t>
            </w:r>
          </w:p>
        </w:tc>
      </w:tr>
      <w:tr w:rsidR="0015033D" w:rsidRPr="00175763" w14:paraId="5C7799E8" w14:textId="77777777" w:rsidTr="002B52C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5FE00F5" w14:textId="77777777" w:rsidR="0015033D" w:rsidRPr="00175763" w:rsidRDefault="0015033D" w:rsidP="0015033D">
            <w:pPr>
              <w:pStyle w:val="NormalWeb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15033D" w:rsidRPr="00175763" w14:paraId="1E14CB3D" w14:textId="77777777" w:rsidTr="002B52C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58507D" w14:textId="77777777" w:rsidR="0015033D" w:rsidRPr="00175763" w:rsidRDefault="0015033D" w:rsidP="0015033D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175763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15033D" w:rsidRPr="00175763" w14:paraId="2244026F" w14:textId="77777777" w:rsidTr="002B52C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68637AA" w14:textId="5666C19F" w:rsidR="00313B85" w:rsidRPr="00313B85" w:rsidRDefault="005335F8" w:rsidP="004A32C1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/>
              </w:rPr>
            </w:pPr>
            <w:r w:rsidRPr="00313B85">
              <w:rPr>
                <w:rFonts w:ascii="Times New Roman" w:eastAsia="Times New Roman" w:hAnsi="Times New Roman"/>
                <w:sz w:val="22"/>
                <w:szCs w:val="22"/>
              </w:rPr>
              <w:t xml:space="preserve">     </w:t>
            </w:r>
            <w:r w:rsidR="00313B85" w:rsidRPr="00313B8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У току 2</w:t>
            </w:r>
            <w:r w:rsidR="00313B8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016. године поднетo је</w:t>
            </w:r>
            <w:r w:rsidR="00313B8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313B8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/>
              </w:rPr>
              <w:t>укупно 90 захтева.</w:t>
            </w:r>
          </w:p>
          <w:p w14:paraId="005955BA" w14:textId="27982FB8" w:rsidR="00313B85" w:rsidRPr="00313B85" w:rsidRDefault="004A32C1" w:rsidP="004A32C1">
            <w:pPr>
              <w:shd w:val="clear" w:color="auto" w:fill="FFFFFF"/>
              <w:rPr>
                <w:rFonts w:ascii="Times New Roman" w:eastAsia="Times New Roman" w:hAnsi="Times New Roman"/>
                <w:noProof w:val="0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2"/>
                <w:szCs w:val="22"/>
                <w:lang w:val="en-US"/>
              </w:rPr>
              <w:t xml:space="preserve">     </w:t>
            </w:r>
            <w:r w:rsidR="00313B85" w:rsidRPr="00313B85">
              <w:rPr>
                <w:rFonts w:ascii="Times New Roman" w:eastAsia="Times New Roman" w:hAnsi="Times New Roman"/>
                <w:noProof w:val="0"/>
                <w:color w:val="000000"/>
                <w:sz w:val="22"/>
                <w:szCs w:val="22"/>
                <w:lang w:val="sr-Cyrl-RS"/>
              </w:rPr>
              <w:t>Директан трошак спровођења овог поступка за привредне субјекте на годишњ</w:t>
            </w:r>
            <w:r w:rsidR="00313B85">
              <w:rPr>
                <w:rFonts w:ascii="Times New Roman" w:eastAsia="Times New Roman" w:hAnsi="Times New Roman"/>
                <w:noProof w:val="0"/>
                <w:color w:val="000000"/>
                <w:sz w:val="22"/>
                <w:szCs w:val="22"/>
                <w:lang w:val="sr-Cyrl-RS"/>
              </w:rPr>
              <w:t>ем нивоу износио је 101.056,88</w:t>
            </w:r>
            <w:r w:rsidR="00313B85" w:rsidRPr="00313B85">
              <w:rPr>
                <w:rFonts w:ascii="Times New Roman" w:eastAsia="Times New Roman" w:hAnsi="Times New Roman"/>
                <w:noProof w:val="0"/>
                <w:color w:val="000000"/>
                <w:sz w:val="22"/>
                <w:szCs w:val="22"/>
                <w:lang w:val="sr-Cyrl-RS"/>
              </w:rPr>
              <w:t xml:space="preserve"> РСД, што је </w:t>
            </w:r>
            <w:r w:rsidR="00313B85">
              <w:rPr>
                <w:rFonts w:ascii="Times New Roman" w:eastAsia="Times New Roman" w:hAnsi="Times New Roman"/>
                <w:noProof w:val="0"/>
                <w:color w:val="000000"/>
                <w:sz w:val="22"/>
                <w:szCs w:val="22"/>
                <w:lang w:val="sr-Cyrl-RS"/>
              </w:rPr>
              <w:t>еквивалентно износу од 938</w:t>
            </w:r>
            <w:r w:rsidR="00313B85" w:rsidRPr="00313B85">
              <w:rPr>
                <w:rFonts w:ascii="Times New Roman" w:eastAsia="Times New Roman" w:hAnsi="Times New Roman"/>
                <w:noProof w:val="0"/>
                <w:color w:val="000000"/>
                <w:sz w:val="22"/>
                <w:szCs w:val="22"/>
                <w:lang w:val="sr-Cyrl-RS"/>
              </w:rPr>
              <w:t>  ЕУР по средњем курсу Народне банке Србије за 2017. годину и представља укупан административни трошак привреде на годишњем нивоу за спровођење овог поступка.</w:t>
            </w:r>
          </w:p>
          <w:p w14:paraId="7E3A6CC6" w14:textId="086DDA33" w:rsidR="00313B85" w:rsidRPr="00313B85" w:rsidRDefault="004A32C1" w:rsidP="004A32C1">
            <w:pPr>
              <w:shd w:val="clear" w:color="auto" w:fill="FFFFFF"/>
              <w:rPr>
                <w:rFonts w:ascii="Times New Roman" w:eastAsia="Times New Roman" w:hAnsi="Times New Roman"/>
                <w:noProof w:val="0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2"/>
                <w:szCs w:val="22"/>
                <w:lang w:val="en-US"/>
              </w:rPr>
              <w:t xml:space="preserve">     </w:t>
            </w:r>
            <w:r w:rsidR="00313B85" w:rsidRPr="00313B85">
              <w:rPr>
                <w:rFonts w:ascii="Times New Roman" w:eastAsia="Times New Roman" w:hAnsi="Times New Roman"/>
                <w:noProof w:val="0"/>
                <w:color w:val="000000"/>
                <w:sz w:val="22"/>
                <w:szCs w:val="22"/>
                <w:lang w:val="sr-Cyrl-RS"/>
              </w:rPr>
              <w:t xml:space="preserve">Усвајање и примена препорука, односно поједностављење поступка ће донети привредним субјектима годишње директне уштеде од </w:t>
            </w:r>
            <w:r w:rsidR="00313B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75.</w:t>
            </w:r>
            <w:r w:rsidR="00313B85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348,97</w:t>
            </w:r>
            <w:r w:rsidR="00313B85">
              <w:rPr>
                <w:rFonts w:ascii="Times New Roman" w:eastAsia="Times New Roman" w:hAnsi="Times New Roman"/>
                <w:noProof w:val="0"/>
                <w:color w:val="000000"/>
                <w:sz w:val="22"/>
                <w:szCs w:val="22"/>
                <w:lang w:val="sr-Cyrl-RS"/>
              </w:rPr>
              <w:t xml:space="preserve">  РСД или 620 ЕУР. </w:t>
            </w:r>
            <w:r w:rsidR="002C33A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Ове уштеде износе </w:t>
            </w:r>
            <w:r w:rsidR="002C33A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/>
              </w:rPr>
              <w:t>66</w:t>
            </w:r>
            <w:r w:rsidR="008F33A2" w:rsidRPr="008F33A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% укупних директних трошкова привредних субјеката у поступку.</w:t>
            </w:r>
          </w:p>
          <w:p w14:paraId="1EC5B881" w14:textId="56F06D17" w:rsidR="0015033D" w:rsidRPr="008F33A2" w:rsidRDefault="0015033D" w:rsidP="00313B85">
            <w:pPr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</w:pPr>
          </w:p>
        </w:tc>
      </w:tr>
    </w:tbl>
    <w:p w14:paraId="261E2070" w14:textId="77777777" w:rsidR="00FE4463" w:rsidRPr="00175763" w:rsidRDefault="00FE4463" w:rsidP="0097237C">
      <w:pPr>
        <w:rPr>
          <w:rFonts w:ascii="Times New Roman" w:eastAsia="Times New Roman" w:hAnsi="Times New Roman"/>
        </w:rPr>
      </w:pPr>
    </w:p>
    <w:p w14:paraId="6CCF206F" w14:textId="77777777" w:rsidR="00FE4463" w:rsidRPr="00175763" w:rsidRDefault="00FE4463" w:rsidP="0097237C">
      <w:pPr>
        <w:rPr>
          <w:rFonts w:ascii="Times New Roman" w:hAnsi="Times New Roman"/>
        </w:rPr>
      </w:pPr>
    </w:p>
    <w:p w14:paraId="611C218E" w14:textId="77777777" w:rsidR="002B52CB" w:rsidRPr="00175763" w:rsidRDefault="002B52CB" w:rsidP="0097237C">
      <w:pPr>
        <w:rPr>
          <w:rFonts w:ascii="Times New Roman" w:hAnsi="Times New Roman"/>
        </w:rPr>
      </w:pPr>
    </w:p>
    <w:sectPr w:rsidR="002B52CB" w:rsidRPr="00175763" w:rsidSect="002C23C5">
      <w:footerReference w:type="default" r:id="rId7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9F97C" w14:textId="77777777" w:rsidR="001A6DE8" w:rsidRDefault="001A6DE8">
      <w:r>
        <w:separator/>
      </w:r>
    </w:p>
  </w:endnote>
  <w:endnote w:type="continuationSeparator" w:id="0">
    <w:p w14:paraId="5EE3FB4A" w14:textId="77777777" w:rsidR="001A6DE8" w:rsidRDefault="001A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9428120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FF47B2" w14:textId="7BB3F665" w:rsidR="00A31541" w:rsidRDefault="00A31541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85D31">
          <w:t>2</w:t>
        </w:r>
        <w:r>
          <w:fldChar w:fldCharType="end"/>
        </w:r>
      </w:p>
    </w:sdtContent>
  </w:sdt>
  <w:p w14:paraId="6C68427A" w14:textId="77777777" w:rsidR="002B6FEE" w:rsidRDefault="002B6F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6C645" w14:textId="77777777" w:rsidR="001A6DE8" w:rsidRDefault="001A6DE8">
      <w:r>
        <w:separator/>
      </w:r>
    </w:p>
  </w:footnote>
  <w:footnote w:type="continuationSeparator" w:id="0">
    <w:p w14:paraId="0EE90E10" w14:textId="77777777" w:rsidR="001A6DE8" w:rsidRDefault="001A6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27D8D"/>
    <w:multiLevelType w:val="multilevel"/>
    <w:tmpl w:val="D97E3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DD1534"/>
    <w:multiLevelType w:val="hybridMultilevel"/>
    <w:tmpl w:val="2BE441A0"/>
    <w:lvl w:ilvl="0" w:tplc="2C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F35F75"/>
    <w:multiLevelType w:val="hybridMultilevel"/>
    <w:tmpl w:val="B7DC1010"/>
    <w:lvl w:ilvl="0" w:tplc="2C1A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" w15:restartNumberingAfterBreak="0">
    <w:nsid w:val="27A52830"/>
    <w:multiLevelType w:val="multilevel"/>
    <w:tmpl w:val="055C16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4F677D8"/>
    <w:multiLevelType w:val="hybridMultilevel"/>
    <w:tmpl w:val="527A7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1C04"/>
    <w:multiLevelType w:val="hybridMultilevel"/>
    <w:tmpl w:val="D8C813C2"/>
    <w:lvl w:ilvl="0" w:tplc="FF0AB7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54EFE"/>
    <w:multiLevelType w:val="hybridMultilevel"/>
    <w:tmpl w:val="4BFA28EE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7" w15:restartNumberingAfterBreak="0">
    <w:nsid w:val="5ADB540E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D94858"/>
    <w:multiLevelType w:val="hybridMultilevel"/>
    <w:tmpl w:val="207A460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63"/>
    <w:rsid w:val="00005FA2"/>
    <w:rsid w:val="00010E31"/>
    <w:rsid w:val="000163A0"/>
    <w:rsid w:val="000233CC"/>
    <w:rsid w:val="000548FC"/>
    <w:rsid w:val="0005642B"/>
    <w:rsid w:val="0006060B"/>
    <w:rsid w:val="00060B79"/>
    <w:rsid w:val="000A3466"/>
    <w:rsid w:val="000D61BA"/>
    <w:rsid w:val="000E0776"/>
    <w:rsid w:val="001453C5"/>
    <w:rsid w:val="00146C3C"/>
    <w:rsid w:val="0015033D"/>
    <w:rsid w:val="00172959"/>
    <w:rsid w:val="00175763"/>
    <w:rsid w:val="001A6DE8"/>
    <w:rsid w:val="001B4DE1"/>
    <w:rsid w:val="001C32CD"/>
    <w:rsid w:val="001E52AD"/>
    <w:rsid w:val="001E74AC"/>
    <w:rsid w:val="00210C6B"/>
    <w:rsid w:val="0021338B"/>
    <w:rsid w:val="00250B0C"/>
    <w:rsid w:val="002520F2"/>
    <w:rsid w:val="00260F22"/>
    <w:rsid w:val="0027104C"/>
    <w:rsid w:val="00272B41"/>
    <w:rsid w:val="002B52CB"/>
    <w:rsid w:val="002B6FEE"/>
    <w:rsid w:val="002C23C5"/>
    <w:rsid w:val="002C33A2"/>
    <w:rsid w:val="002F1495"/>
    <w:rsid w:val="002F6BC7"/>
    <w:rsid w:val="00313B85"/>
    <w:rsid w:val="00315957"/>
    <w:rsid w:val="00321C26"/>
    <w:rsid w:val="00335C98"/>
    <w:rsid w:val="003549AC"/>
    <w:rsid w:val="00367A05"/>
    <w:rsid w:val="00392A9D"/>
    <w:rsid w:val="003A412D"/>
    <w:rsid w:val="003F1545"/>
    <w:rsid w:val="003F7524"/>
    <w:rsid w:val="00400E39"/>
    <w:rsid w:val="00471A88"/>
    <w:rsid w:val="00483E41"/>
    <w:rsid w:val="00485D31"/>
    <w:rsid w:val="004943DB"/>
    <w:rsid w:val="004A32C1"/>
    <w:rsid w:val="004B5C2E"/>
    <w:rsid w:val="004B7061"/>
    <w:rsid w:val="004D0496"/>
    <w:rsid w:val="004D0A5C"/>
    <w:rsid w:val="004E683A"/>
    <w:rsid w:val="004E73FD"/>
    <w:rsid w:val="00507049"/>
    <w:rsid w:val="005239EC"/>
    <w:rsid w:val="005335F8"/>
    <w:rsid w:val="00535DC9"/>
    <w:rsid w:val="0056004F"/>
    <w:rsid w:val="00583EB8"/>
    <w:rsid w:val="005B229F"/>
    <w:rsid w:val="005C337F"/>
    <w:rsid w:val="005D57ED"/>
    <w:rsid w:val="005F0459"/>
    <w:rsid w:val="005F636E"/>
    <w:rsid w:val="006035A5"/>
    <w:rsid w:val="00611165"/>
    <w:rsid w:val="00634427"/>
    <w:rsid w:val="00636120"/>
    <w:rsid w:val="00646B18"/>
    <w:rsid w:val="0065298D"/>
    <w:rsid w:val="006A4574"/>
    <w:rsid w:val="006A646D"/>
    <w:rsid w:val="006D1230"/>
    <w:rsid w:val="006E36A6"/>
    <w:rsid w:val="006F156A"/>
    <w:rsid w:val="006F7EB5"/>
    <w:rsid w:val="00733C14"/>
    <w:rsid w:val="00774B89"/>
    <w:rsid w:val="007C7F8B"/>
    <w:rsid w:val="007D7872"/>
    <w:rsid w:val="007E004C"/>
    <w:rsid w:val="007E2289"/>
    <w:rsid w:val="008069EC"/>
    <w:rsid w:val="008309A6"/>
    <w:rsid w:val="0083766C"/>
    <w:rsid w:val="0084610A"/>
    <w:rsid w:val="00873C2F"/>
    <w:rsid w:val="00876A47"/>
    <w:rsid w:val="00881AB9"/>
    <w:rsid w:val="008B54B6"/>
    <w:rsid w:val="008D4F76"/>
    <w:rsid w:val="008E3186"/>
    <w:rsid w:val="008F33A2"/>
    <w:rsid w:val="0092425C"/>
    <w:rsid w:val="00951D75"/>
    <w:rsid w:val="00960F25"/>
    <w:rsid w:val="009661A3"/>
    <w:rsid w:val="0097237C"/>
    <w:rsid w:val="009E1DCB"/>
    <w:rsid w:val="009E4B4E"/>
    <w:rsid w:val="009E4CEE"/>
    <w:rsid w:val="00A030B7"/>
    <w:rsid w:val="00A11CA3"/>
    <w:rsid w:val="00A3123E"/>
    <w:rsid w:val="00A31541"/>
    <w:rsid w:val="00A67C33"/>
    <w:rsid w:val="00A93B14"/>
    <w:rsid w:val="00A9480F"/>
    <w:rsid w:val="00AA5128"/>
    <w:rsid w:val="00AB6E9C"/>
    <w:rsid w:val="00AF5FE7"/>
    <w:rsid w:val="00B009F0"/>
    <w:rsid w:val="00B068D3"/>
    <w:rsid w:val="00B12BB5"/>
    <w:rsid w:val="00B32EBE"/>
    <w:rsid w:val="00B405E6"/>
    <w:rsid w:val="00B40EC9"/>
    <w:rsid w:val="00B52A87"/>
    <w:rsid w:val="00B7419D"/>
    <w:rsid w:val="00BA31A1"/>
    <w:rsid w:val="00BC444C"/>
    <w:rsid w:val="00BC7327"/>
    <w:rsid w:val="00BD2A7C"/>
    <w:rsid w:val="00BD4BE1"/>
    <w:rsid w:val="00BD7960"/>
    <w:rsid w:val="00BF31BA"/>
    <w:rsid w:val="00C740F6"/>
    <w:rsid w:val="00CA392B"/>
    <w:rsid w:val="00CB6322"/>
    <w:rsid w:val="00CE024F"/>
    <w:rsid w:val="00CE06BC"/>
    <w:rsid w:val="00CF789F"/>
    <w:rsid w:val="00D14119"/>
    <w:rsid w:val="00D173D3"/>
    <w:rsid w:val="00D20775"/>
    <w:rsid w:val="00D40F95"/>
    <w:rsid w:val="00D4734D"/>
    <w:rsid w:val="00D50ACF"/>
    <w:rsid w:val="00D75619"/>
    <w:rsid w:val="00D817B1"/>
    <w:rsid w:val="00D828E7"/>
    <w:rsid w:val="00D97B5A"/>
    <w:rsid w:val="00DF7FB5"/>
    <w:rsid w:val="00E00AA5"/>
    <w:rsid w:val="00E3112B"/>
    <w:rsid w:val="00E330E9"/>
    <w:rsid w:val="00E53059"/>
    <w:rsid w:val="00E867E8"/>
    <w:rsid w:val="00EE00C9"/>
    <w:rsid w:val="00EF57F4"/>
    <w:rsid w:val="00F20623"/>
    <w:rsid w:val="00F20A81"/>
    <w:rsid w:val="00F2541C"/>
    <w:rsid w:val="00F542A8"/>
    <w:rsid w:val="00FB74D5"/>
    <w:rsid w:val="00FE4463"/>
    <w:rsid w:val="00FF1E8D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91632"/>
  <w15:docId w15:val="{85F3055D-0A1A-4AA3-B2BA-E9D141EB2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463"/>
    <w:pPr>
      <w:spacing w:after="0" w:line="240" w:lineRule="auto"/>
      <w:jc w:val="both"/>
    </w:pPr>
    <w:rPr>
      <w:rFonts w:ascii="Calibri" w:eastAsia="Calibri" w:hAnsi="Calibri" w:cs="Times New Roman"/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4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FE44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4463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FE4463"/>
    <w:rPr>
      <w:rFonts w:ascii="Calibri" w:hAnsi="Calibri" w:cs="Calibri"/>
      <w:lang w:val="en-GB" w:eastAsia="en-GB"/>
    </w:rPr>
  </w:style>
  <w:style w:type="paragraph" w:customStyle="1" w:styleId="Normal1">
    <w:name w:val="Normal1"/>
    <w:basedOn w:val="Normal"/>
    <w:rsid w:val="00260F22"/>
    <w:pPr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paragraph" w:customStyle="1" w:styleId="wyq110---naslov-clana">
    <w:name w:val="wyq110---naslov-clana"/>
    <w:basedOn w:val="Normal"/>
    <w:rsid w:val="00260F22"/>
    <w:pPr>
      <w:spacing w:before="240" w:after="240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B7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7061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nhideWhenUsed/>
    <w:rsid w:val="00BD2A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2A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2A7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A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A7C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A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A7C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E74AC"/>
    <w:pPr>
      <w:ind w:left="720"/>
      <w:contextualSpacing/>
    </w:pPr>
  </w:style>
  <w:style w:type="paragraph" w:styleId="NoSpacing">
    <w:name w:val="No Spacing"/>
    <w:uiPriority w:val="1"/>
    <w:qFormat/>
    <w:rsid w:val="00634427"/>
    <w:pPr>
      <w:tabs>
        <w:tab w:val="left" w:pos="1080"/>
      </w:tabs>
      <w:spacing w:after="0" w:line="240" w:lineRule="auto"/>
      <w:jc w:val="both"/>
    </w:pPr>
    <w:rPr>
      <w:rFonts w:ascii="Arial" w:eastAsia="Calibri" w:hAnsi="Arial" w:cs="Times New Roman"/>
    </w:rPr>
  </w:style>
  <w:style w:type="paragraph" w:customStyle="1" w:styleId="odluka-zakon">
    <w:name w:val="odluka-zakon"/>
    <w:basedOn w:val="Normal"/>
    <w:rsid w:val="008E3186"/>
    <w:pPr>
      <w:spacing w:before="100" w:beforeAutospacing="1" w:after="100" w:afterAutospacing="1"/>
      <w:jc w:val="left"/>
    </w:pPr>
    <w:rPr>
      <w:rFonts w:ascii="Times New Roman" w:eastAsia="Times New Roman" w:hAnsi="Times New Roman"/>
      <w:noProof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6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jovan.dragumilo</dc:creator>
  <cp:lastModifiedBy>Aleksandra Đurđevic</cp:lastModifiedBy>
  <cp:revision>4</cp:revision>
  <dcterms:created xsi:type="dcterms:W3CDTF">2020-03-20T14:35:00Z</dcterms:created>
  <dcterms:modified xsi:type="dcterms:W3CDTF">2020-07-16T08:32:00Z</dcterms:modified>
</cp:coreProperties>
</file>