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879D55" w14:textId="77777777" w:rsidR="006301E6" w:rsidRPr="003156FF" w:rsidRDefault="006301E6" w:rsidP="00E129A3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p w14:paraId="299395FC" w14:textId="0225BDB1" w:rsidR="00B1006E" w:rsidRPr="003156FF" w:rsidRDefault="00DA5E27" w:rsidP="00E129A3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DA5E27">
        <w:rPr>
          <w:b/>
          <w:sz w:val="22"/>
          <w:szCs w:val="22"/>
          <w:lang w:val="sr-Cyrl-RS"/>
        </w:rPr>
        <w:t>ДИГИТАЛИЗАЦИЈА УЗ ПОЈЕДНОСТАВЉЕЊЕ ПОСТУПКА ИЗДАВАЊА САГЛАСНОСТИ НА ПЛАН ЗАШТИТЕ ОД ПОЖАРА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F53BBD" w:rsidRPr="003156FF" w14:paraId="1976FB87" w14:textId="77777777" w:rsidTr="005E5BDC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F53BBD" w:rsidRPr="003156FF" w:rsidRDefault="00F53BBD" w:rsidP="00E129A3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156F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</w:tcPr>
          <w:p w14:paraId="5FD56B01" w14:textId="0189F415" w:rsidR="00F53BBD" w:rsidRPr="003156FF" w:rsidRDefault="0032083D" w:rsidP="007E1113">
            <w:pPr>
              <w:pStyle w:val="NormalWeb"/>
              <w:tabs>
                <w:tab w:val="left" w:pos="1335"/>
              </w:tabs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156FF">
              <w:rPr>
                <w:b/>
                <w:sz w:val="22"/>
                <w:szCs w:val="22"/>
                <w:lang w:val="sr-Cyrl-RS"/>
              </w:rPr>
              <w:t xml:space="preserve">Сагласност на </w:t>
            </w:r>
            <w:r w:rsidR="007E1113" w:rsidRPr="003156FF">
              <w:rPr>
                <w:b/>
                <w:sz w:val="22"/>
                <w:szCs w:val="22"/>
                <w:lang w:val="sr-Cyrl-RS"/>
              </w:rPr>
              <w:t xml:space="preserve">План </w:t>
            </w:r>
            <w:r w:rsidRPr="003156FF">
              <w:rPr>
                <w:b/>
                <w:sz w:val="22"/>
                <w:szCs w:val="22"/>
                <w:lang w:val="sr-Cyrl-RS"/>
              </w:rPr>
              <w:t>заштите од пожара</w:t>
            </w:r>
          </w:p>
        </w:tc>
      </w:tr>
      <w:tr w:rsidR="00F53BBD" w:rsidRPr="003156FF" w14:paraId="7A6AA442" w14:textId="77777777" w:rsidTr="005E5BDC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F53BBD" w:rsidRPr="003156FF" w:rsidRDefault="00F53BBD" w:rsidP="00E129A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156FF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</w:tcPr>
          <w:p w14:paraId="76B78B5F" w14:textId="170D0C7F" w:rsidR="00F53BBD" w:rsidRPr="003156FF" w:rsidRDefault="00F53BBD" w:rsidP="007E111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156FF">
              <w:rPr>
                <w:sz w:val="22"/>
                <w:szCs w:val="22"/>
                <w:lang w:val="sr-Cyrl-RS"/>
              </w:rPr>
              <w:t>03.00.00</w:t>
            </w:r>
            <w:r w:rsidR="0032083D" w:rsidRPr="003156FF">
              <w:rPr>
                <w:sz w:val="22"/>
                <w:szCs w:val="22"/>
                <w:lang w:val="sr-Cyrl-RS"/>
              </w:rPr>
              <w:t>5</w:t>
            </w:r>
            <w:r w:rsidR="007E1113" w:rsidRPr="003156FF">
              <w:rPr>
                <w:sz w:val="22"/>
                <w:szCs w:val="22"/>
                <w:lang w:val="sr-Cyrl-RS"/>
              </w:rPr>
              <w:t>8</w:t>
            </w:r>
          </w:p>
        </w:tc>
      </w:tr>
      <w:tr w:rsidR="00F53BBD" w:rsidRPr="003156FF" w14:paraId="2CEE52A6" w14:textId="77777777" w:rsidTr="00EB48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F53BBD" w:rsidRPr="003156FF" w:rsidRDefault="00F53BBD" w:rsidP="00E129A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156FF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F53BBD" w:rsidRPr="003156FF" w:rsidRDefault="00F53BBD" w:rsidP="00E129A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156FF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B7D73FB" w:rsidR="00F53BBD" w:rsidRPr="003156FF" w:rsidRDefault="00F53BBD" w:rsidP="00EB48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156FF">
              <w:rPr>
                <w:sz w:val="22"/>
                <w:szCs w:val="22"/>
                <w:lang w:val="sr-Cyrl-RS"/>
              </w:rPr>
              <w:t xml:space="preserve">Министарство унутрашњих послова </w:t>
            </w:r>
          </w:p>
        </w:tc>
      </w:tr>
      <w:tr w:rsidR="00F53BBD" w:rsidRPr="003156FF" w14:paraId="10DA1CD3" w14:textId="77777777" w:rsidTr="00EB48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F53BBD" w:rsidRPr="003156FF" w:rsidRDefault="00F53BBD" w:rsidP="00E129A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156FF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A0B1323" w14:textId="0CB8E314" w:rsidR="00F53BBD" w:rsidRPr="003156FF" w:rsidRDefault="00EB48D5" w:rsidP="00EE3F94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156FF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заштити од пожара: (</w:t>
            </w:r>
            <w:r w:rsidR="00F22B00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3156FF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F22B00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  <w:r w:rsidRPr="003156F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111/09-25, 20/15-13)</w:t>
            </w:r>
          </w:p>
          <w:p w14:paraId="2CCB5DCC" w14:textId="1D327937" w:rsidR="003156FF" w:rsidRPr="003156FF" w:rsidRDefault="003156FF" w:rsidP="00EE3F94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ind w:left="371"/>
              <w:rPr>
                <w:rFonts w:ascii="Times New Roman" w:eastAsiaTheme="minorHAnsi" w:hAnsi="Times New Roman"/>
                <w:sz w:val="22"/>
                <w:szCs w:val="22"/>
                <w:lang w:val="sr-Cyrl-RS"/>
              </w:rPr>
            </w:pPr>
            <w:r w:rsidRPr="003156FF">
              <w:rPr>
                <w:rFonts w:ascii="Times New Roman" w:hAnsi="Times New Roman"/>
                <w:sz w:val="22"/>
                <w:szCs w:val="22"/>
                <w:lang w:val="sr-Cyrl-RS"/>
              </w:rPr>
              <w:t>Закон о републичким административним таксама (</w:t>
            </w:r>
            <w:r w:rsidR="00F22B00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3156FF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F22B00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  <w:r w:rsidRPr="003156FF">
              <w:rPr>
                <w:rFonts w:ascii="Times New Roman" w:hAnsi="Times New Roman"/>
                <w:sz w:val="22"/>
                <w:szCs w:val="22"/>
                <w:lang w:val="sr-Cyrl-RS"/>
              </w:rPr>
              <w:t>, бр.  43/2003-9, 51/2003-14 (исправка), 61/2005-60, 101/2005-28 (др. закон), 5/2009-7, 54/2009-24, 50/2011-7, 93/2012-21, 65/2013-3 (др. закон), 83/2015-6, 112/2015-16,113/17, 3/18 исправка)</w:t>
            </w:r>
          </w:p>
        </w:tc>
      </w:tr>
      <w:tr w:rsidR="00F53BBD" w:rsidRPr="003156FF" w14:paraId="724CF23D" w14:textId="77777777" w:rsidTr="00EB48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F53BBD" w:rsidRPr="003156FF" w:rsidRDefault="00F53BBD" w:rsidP="00E129A3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156F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3182ED6" w:rsidR="00F53BBD" w:rsidRPr="003156FF" w:rsidRDefault="003156FF" w:rsidP="00EE3F94">
            <w:pPr>
              <w:pStyle w:val="ListParagraph"/>
              <w:numPr>
                <w:ilvl w:val="0"/>
                <w:numId w:val="7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156FF">
              <w:rPr>
                <w:rFonts w:ascii="Times New Roman" w:hAnsi="Times New Roman"/>
                <w:sz w:val="22"/>
                <w:szCs w:val="22"/>
                <w:lang w:val="sr-Cyrl-RS"/>
              </w:rPr>
              <w:t>Закон о републичким административним таксама (</w:t>
            </w:r>
            <w:r w:rsidR="00F22B00">
              <w:rPr>
                <w:rFonts w:ascii="Times New Roman" w:hAnsi="Times New Roman"/>
                <w:sz w:val="22"/>
                <w:szCs w:val="22"/>
                <w:lang w:val="sr-Cyrl-RS"/>
              </w:rPr>
              <w:t>„</w:t>
            </w:r>
            <w:r w:rsidRPr="003156FF">
              <w:rPr>
                <w:rFonts w:ascii="Times New Roman" w:hAnsi="Times New Roman"/>
                <w:sz w:val="22"/>
                <w:szCs w:val="22"/>
                <w:lang w:val="sr-Cyrl-RS"/>
              </w:rPr>
              <w:t>Службени гласник РС</w:t>
            </w:r>
            <w:r w:rsidR="00F22B00">
              <w:rPr>
                <w:rFonts w:ascii="Times New Roman" w:hAnsi="Times New Roman"/>
                <w:sz w:val="22"/>
                <w:szCs w:val="22"/>
                <w:lang w:val="sr-Cyrl-RS"/>
              </w:rPr>
              <w:t>“</w:t>
            </w:r>
            <w:r w:rsidRPr="003156FF">
              <w:rPr>
                <w:rFonts w:ascii="Times New Roman" w:hAnsi="Times New Roman"/>
                <w:sz w:val="22"/>
                <w:szCs w:val="22"/>
                <w:lang w:val="sr-Cyrl-RS"/>
              </w:rPr>
              <w:t>, бр.  43/2003-9, 51/2003-14 (исправка), 61/2005-60, 101/2005-28 (др. закон), 5/2009-7, 54/2009-24, 50/2011-7, 93/2012-21, 65/2013-3 (др. закон), 83/2015-6, 112/2015-16,113/17, 3/18 исправка)</w:t>
            </w:r>
          </w:p>
        </w:tc>
      </w:tr>
      <w:tr w:rsidR="00F53BBD" w:rsidRPr="003156FF" w14:paraId="58812BCA" w14:textId="77777777" w:rsidTr="005E5BDC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F53BBD" w:rsidRPr="003156FF" w:rsidRDefault="00F53BBD" w:rsidP="00E129A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156FF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</w:tcPr>
          <w:p w14:paraId="19A48B50" w14:textId="2A00F49B" w:rsidR="00F53BBD" w:rsidRPr="003156FF" w:rsidRDefault="00FA7C28" w:rsidP="0069737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A7C28">
              <w:rPr>
                <w:sz w:val="22"/>
                <w:szCs w:val="22"/>
                <w:lang w:val="sr-Cyrl-RS"/>
              </w:rPr>
              <w:t>Четврти квартал 2019.</w:t>
            </w:r>
            <w:r w:rsidR="0015487C">
              <w:rPr>
                <w:sz w:val="22"/>
                <w:szCs w:val="22"/>
                <w:lang w:val="sr-Cyrl-RS"/>
              </w:rPr>
              <w:t>године</w:t>
            </w:r>
            <w:r w:rsidRPr="00FA7C28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194AE9" w:rsidRPr="003156FF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194AE9" w:rsidRPr="003156FF" w:rsidRDefault="00194AE9" w:rsidP="00EE3F9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156FF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194AE9" w:rsidRPr="003156FF" w14:paraId="4635A4BE" w14:textId="77777777" w:rsidTr="00CA1CE9">
        <w:tc>
          <w:tcPr>
            <w:tcW w:w="9060" w:type="dxa"/>
            <w:gridSpan w:val="2"/>
          </w:tcPr>
          <w:p w14:paraId="43DD04C3" w14:textId="77777777" w:rsidR="0063002F" w:rsidRPr="003156FF" w:rsidRDefault="002B3F27" w:rsidP="00E129A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56F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 адекватан приступ информацијама о начину подношења и решавања захтева, што води до непредвидивости самог поступка.    </w:t>
            </w:r>
          </w:p>
          <w:p w14:paraId="4BCB02C2" w14:textId="1BDDEAC8" w:rsidR="00194AE9" w:rsidRPr="003156FF" w:rsidRDefault="0063002F" w:rsidP="00E129A3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156F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папирној форми</w:t>
            </w:r>
            <w:r w:rsidR="004A1FBD" w:rsidRPr="003156F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са одређеним документима у оригиналу</w:t>
            </w:r>
            <w:r w:rsidRPr="003156F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иако је могуће да се он поднесе електронски</w:t>
            </w:r>
            <w:r w:rsidR="00EF36B6" w:rsidRPr="003156F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  <w:tr w:rsidR="00194AE9" w:rsidRPr="003156FF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194AE9" w:rsidRPr="003156FF" w:rsidRDefault="00194AE9" w:rsidP="00EE3F9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156FF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194AE9" w:rsidRPr="003156FF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194AE9" w:rsidRPr="003156FF" w:rsidRDefault="00194AE9" w:rsidP="00E129A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94AE9" w:rsidRPr="003156FF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014"/>
              <w:gridCol w:w="2115"/>
              <w:gridCol w:w="2120"/>
              <w:gridCol w:w="1585"/>
            </w:tblGrid>
            <w:tr w:rsidR="00194AE9" w:rsidRPr="00B65C5D" w14:paraId="3F5079D8" w14:textId="77777777" w:rsidTr="003156FF">
              <w:trPr>
                <w:trHeight w:val="749"/>
              </w:trPr>
              <w:tc>
                <w:tcPr>
                  <w:tcW w:w="3014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6E6F8646" w14:textId="77777777" w:rsidR="00194AE9" w:rsidRPr="00B65C5D" w:rsidRDefault="00194AE9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423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77F22CA" w14:textId="77777777" w:rsidR="00194AE9" w:rsidRPr="00B65C5D" w:rsidRDefault="00194AE9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5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36686DB" w14:textId="77777777" w:rsidR="00194AE9" w:rsidRPr="00B65C5D" w:rsidRDefault="00194AE9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194AE9" w:rsidRPr="00B65C5D" w14:paraId="1AB0CAED" w14:textId="77777777" w:rsidTr="003156FF">
              <w:trPr>
                <w:trHeight w:val="260"/>
              </w:trPr>
              <w:tc>
                <w:tcPr>
                  <w:tcW w:w="3014" w:type="dxa"/>
                  <w:vMerge/>
                </w:tcPr>
                <w:p w14:paraId="0D5F17BB" w14:textId="77777777" w:rsidR="00194AE9" w:rsidRPr="00B65C5D" w:rsidRDefault="00194AE9" w:rsidP="00E129A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115" w:type="dxa"/>
                  <w:shd w:val="clear" w:color="auto" w:fill="F2F2F2" w:themeFill="background1" w:themeFillShade="F2"/>
                </w:tcPr>
                <w:p w14:paraId="141E269F" w14:textId="77777777" w:rsidR="00194AE9" w:rsidRPr="00B65C5D" w:rsidRDefault="00194AE9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2120" w:type="dxa"/>
                  <w:shd w:val="clear" w:color="auto" w:fill="F2F2F2" w:themeFill="background1" w:themeFillShade="F2"/>
                </w:tcPr>
                <w:p w14:paraId="63BC5263" w14:textId="77777777" w:rsidR="00194AE9" w:rsidRPr="00B65C5D" w:rsidRDefault="00194AE9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5" w:type="dxa"/>
                  <w:vMerge/>
                </w:tcPr>
                <w:p w14:paraId="4AB19BBF" w14:textId="77777777" w:rsidR="00194AE9" w:rsidRPr="00B65C5D" w:rsidRDefault="00194AE9" w:rsidP="00E129A3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FA7C28" w:rsidRPr="00B65C5D" w14:paraId="4B23560C" w14:textId="77777777" w:rsidTr="003156FF">
              <w:trPr>
                <w:trHeight w:val="244"/>
              </w:trPr>
              <w:tc>
                <w:tcPr>
                  <w:tcW w:w="3014" w:type="dxa"/>
                  <w:vAlign w:val="center"/>
                </w:tcPr>
                <w:p w14:paraId="699FA076" w14:textId="5B694100" w:rsidR="00FA7C28" w:rsidRPr="00B65C5D" w:rsidRDefault="00FA7C28" w:rsidP="00263C95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2115" w:type="dxa"/>
                  <w:vAlign w:val="center"/>
                </w:tcPr>
                <w:p w14:paraId="2BDBB12D" w14:textId="77777777" w:rsidR="00FA7C28" w:rsidRPr="00B65C5D" w:rsidRDefault="00FA7C28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120" w:type="dxa"/>
                  <w:vAlign w:val="center"/>
                </w:tcPr>
                <w:p w14:paraId="2628CAD0" w14:textId="4913E007" w:rsidR="00FA7C28" w:rsidRPr="00B65C5D" w:rsidRDefault="00FA7C28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5" w:type="dxa"/>
                  <w:vAlign w:val="center"/>
                </w:tcPr>
                <w:p w14:paraId="05F961A3" w14:textId="77777777" w:rsidR="00FA7C28" w:rsidRPr="00B65C5D" w:rsidRDefault="00FA7C28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156FF" w:rsidRPr="00B65C5D" w14:paraId="32CC5527" w14:textId="77777777" w:rsidTr="003156FF">
              <w:trPr>
                <w:trHeight w:val="244"/>
              </w:trPr>
              <w:tc>
                <w:tcPr>
                  <w:tcW w:w="3014" w:type="dxa"/>
                  <w:vAlign w:val="center"/>
                </w:tcPr>
                <w:p w14:paraId="5E129781" w14:textId="293EE0F4" w:rsidR="003156FF" w:rsidRPr="00B65C5D" w:rsidRDefault="003156FF" w:rsidP="00263C95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Финансијски издаци</w:t>
                  </w:r>
                  <w:r w:rsidRPr="00B65C5D">
                    <w:rPr>
                      <w:rFonts w:ascii="Times New Roman" w:eastAsia="Times New Roman" w:hAnsi="Times New Roman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2115" w:type="dxa"/>
                  <w:vAlign w:val="center"/>
                </w:tcPr>
                <w:p w14:paraId="0A4B18D7" w14:textId="77777777" w:rsidR="003156FF" w:rsidRPr="00B65C5D" w:rsidRDefault="003156FF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120" w:type="dxa"/>
                  <w:vAlign w:val="center"/>
                </w:tcPr>
                <w:p w14:paraId="7E04B5EF" w14:textId="77777777" w:rsidR="003156FF" w:rsidRPr="00B65C5D" w:rsidRDefault="003156FF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5" w:type="dxa"/>
                  <w:vAlign w:val="center"/>
                </w:tcPr>
                <w:p w14:paraId="15C49D1E" w14:textId="77777777" w:rsidR="003156FF" w:rsidRPr="00B65C5D" w:rsidRDefault="003156FF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3156FF" w:rsidRPr="00B65C5D" w14:paraId="6393162A" w14:textId="77777777" w:rsidTr="003156FF">
              <w:trPr>
                <w:trHeight w:val="244"/>
              </w:trPr>
              <w:tc>
                <w:tcPr>
                  <w:tcW w:w="3014" w:type="dxa"/>
                  <w:vAlign w:val="center"/>
                </w:tcPr>
                <w:p w14:paraId="5371808E" w14:textId="77777777" w:rsidR="003156FF" w:rsidRPr="00B65C5D" w:rsidRDefault="003156FF" w:rsidP="003156FF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Смањење висине износа финансијског издатка</w:t>
                  </w:r>
                </w:p>
                <w:p w14:paraId="64B354B1" w14:textId="77777777" w:rsidR="003156FF" w:rsidRPr="00B65C5D" w:rsidRDefault="003156FF" w:rsidP="00263C95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  <w:tc>
                <w:tcPr>
                  <w:tcW w:w="2115" w:type="dxa"/>
                  <w:vAlign w:val="center"/>
                </w:tcPr>
                <w:p w14:paraId="4EC509C1" w14:textId="47BB9055" w:rsidR="003156FF" w:rsidRPr="00B65C5D" w:rsidRDefault="00FA7C28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2120" w:type="dxa"/>
                  <w:vAlign w:val="center"/>
                </w:tcPr>
                <w:p w14:paraId="781409D3" w14:textId="77777777" w:rsidR="003156FF" w:rsidRPr="00B65C5D" w:rsidRDefault="003156FF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85" w:type="dxa"/>
                  <w:vAlign w:val="center"/>
                </w:tcPr>
                <w:p w14:paraId="33C9E641" w14:textId="3F0AF645" w:rsidR="003156FF" w:rsidRPr="00B65C5D" w:rsidRDefault="003156FF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</w:t>
                  </w:r>
                </w:p>
              </w:tc>
            </w:tr>
            <w:tr w:rsidR="00B65C5D" w:rsidRPr="00B65C5D" w14:paraId="035D82E5" w14:textId="77777777" w:rsidTr="00DF1FE6">
              <w:trPr>
                <w:trHeight w:val="244"/>
              </w:trPr>
              <w:tc>
                <w:tcPr>
                  <w:tcW w:w="3014" w:type="dxa"/>
                  <w:vAlign w:val="center"/>
                </w:tcPr>
                <w:p w14:paraId="4ECDE7F1" w14:textId="4065DCD5" w:rsidR="00B65C5D" w:rsidRPr="00B65C5D" w:rsidRDefault="00B65C5D" w:rsidP="00B65C5D">
                  <w:pPr>
                    <w:tabs>
                      <w:tab w:val="left" w:pos="313"/>
                    </w:tabs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820" w:type="dxa"/>
                  <w:gridSpan w:val="3"/>
                  <w:vAlign w:val="center"/>
                </w:tcPr>
                <w:p w14:paraId="699B3C19" w14:textId="77777777" w:rsidR="00B65C5D" w:rsidRPr="00B65C5D" w:rsidRDefault="00B65C5D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16052" w:rsidRPr="00B65C5D" w14:paraId="744BB4CF" w14:textId="77777777" w:rsidTr="003156FF">
              <w:trPr>
                <w:trHeight w:val="244"/>
              </w:trPr>
              <w:tc>
                <w:tcPr>
                  <w:tcW w:w="3014" w:type="dxa"/>
                  <w:vAlign w:val="center"/>
                </w:tcPr>
                <w:p w14:paraId="261317E1" w14:textId="33240F43" w:rsidR="00A16052" w:rsidRPr="00B65C5D" w:rsidRDefault="00D04036" w:rsidP="003156FF">
                  <w:pPr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Увођење обрасца за подношење захтева</w:t>
                  </w:r>
                </w:p>
              </w:tc>
              <w:tc>
                <w:tcPr>
                  <w:tcW w:w="2115" w:type="dxa"/>
                  <w:vAlign w:val="center"/>
                </w:tcPr>
                <w:p w14:paraId="4587EA7B" w14:textId="77777777" w:rsidR="00A16052" w:rsidRPr="00B65C5D" w:rsidRDefault="00A16052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120" w:type="dxa"/>
                  <w:vAlign w:val="center"/>
                </w:tcPr>
                <w:p w14:paraId="0A3B3F10" w14:textId="3629611A" w:rsidR="00A16052" w:rsidRPr="00B65C5D" w:rsidRDefault="00D04036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5" w:type="dxa"/>
                  <w:vAlign w:val="center"/>
                </w:tcPr>
                <w:p w14:paraId="1DEEFC24" w14:textId="77777777" w:rsidR="00A16052" w:rsidRPr="00B65C5D" w:rsidRDefault="00A16052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16052" w:rsidRPr="00B65C5D" w14:paraId="2BC1BDD8" w14:textId="77777777" w:rsidTr="003156FF">
              <w:trPr>
                <w:trHeight w:val="244"/>
              </w:trPr>
              <w:tc>
                <w:tcPr>
                  <w:tcW w:w="3014" w:type="dxa"/>
                  <w:vAlign w:val="center"/>
                </w:tcPr>
                <w:p w14:paraId="5CBA9B5D" w14:textId="1FBD829C" w:rsidR="00A16052" w:rsidRPr="00B65C5D" w:rsidRDefault="00D04036" w:rsidP="003156FF">
                  <w:pPr>
                    <w:rPr>
                      <w:rFonts w:ascii="Times New Roman" w:eastAsia="Times New Roman" w:hAnsi="Times New Roman"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b/>
                      <w:lang w:val="sr-Cyrl-RS"/>
                    </w:rPr>
                    <w:lastRenderedPageBreak/>
                    <w:t>Престанак употребе печата</w:t>
                  </w:r>
                </w:p>
              </w:tc>
              <w:tc>
                <w:tcPr>
                  <w:tcW w:w="2115" w:type="dxa"/>
                  <w:vAlign w:val="center"/>
                </w:tcPr>
                <w:p w14:paraId="7DE732FF" w14:textId="77777777" w:rsidR="00A16052" w:rsidRPr="00B65C5D" w:rsidRDefault="00A16052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2120" w:type="dxa"/>
                  <w:vAlign w:val="center"/>
                </w:tcPr>
                <w:p w14:paraId="299C5647" w14:textId="6C7EFE9B" w:rsidR="00A16052" w:rsidRPr="00B65C5D" w:rsidRDefault="00D04036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65C5D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5" w:type="dxa"/>
                  <w:vAlign w:val="center"/>
                </w:tcPr>
                <w:p w14:paraId="6DA69C29" w14:textId="77777777" w:rsidR="00A16052" w:rsidRPr="00B65C5D" w:rsidRDefault="00A16052" w:rsidP="00E129A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</w:tbl>
          <w:p w14:paraId="6E28D8C5" w14:textId="64D43147" w:rsidR="00194AE9" w:rsidRPr="003156FF" w:rsidRDefault="00194AE9" w:rsidP="00E129A3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94AE9" w:rsidRPr="003156FF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194AE9" w:rsidRPr="003156FF" w:rsidRDefault="00194AE9" w:rsidP="00EE3F94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156FF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6C6EBB" w:rsidRPr="001C55CD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833FBD0" w14:textId="2481F86F" w:rsidR="00194AE9" w:rsidRPr="001C55CD" w:rsidRDefault="00194AE9" w:rsidP="00E129A3">
            <w:pPr>
              <w:pStyle w:val="ListParagraph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4F2E22EC" w14:textId="7C437C97" w:rsidR="003B2D64" w:rsidRPr="001C55CD" w:rsidRDefault="00A711EF" w:rsidP="003B2D64">
            <w:pPr>
              <w:tabs>
                <w:tab w:val="left" w:pos="1650"/>
              </w:tabs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</w:t>
            </w:r>
            <w:r w:rsidR="003B2D64" w:rsidRPr="001C55C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.</w:t>
            </w:r>
          </w:p>
          <w:p w14:paraId="57084FA2" w14:textId="77777777" w:rsidR="00FA7C28" w:rsidRPr="001C55CD" w:rsidRDefault="00FA7C28" w:rsidP="00FA7C2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2E6BF693" w14:textId="77777777" w:rsidR="00FA7C28" w:rsidRPr="001C55CD" w:rsidRDefault="00D04036" w:rsidP="00EF36B6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1C55CD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B1A93AC" w14:textId="77777777" w:rsidR="00FA7C28" w:rsidRPr="001C55CD" w:rsidRDefault="00FA7C28" w:rsidP="00FA7C28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1C55CD">
              <w:rPr>
                <w:b/>
                <w:sz w:val="22"/>
                <w:szCs w:val="22"/>
                <w:lang w:val="sr-Cyrl-RS"/>
              </w:rPr>
              <w:t>Промена</w:t>
            </w:r>
            <w:r w:rsidRPr="001C55CD">
              <w:rPr>
                <w:b/>
                <w:bCs/>
                <w:sz w:val="22"/>
                <w:szCs w:val="22"/>
                <w:lang w:val="sr-Cyrl-RS"/>
              </w:rPr>
              <w:t xml:space="preserve"> форме документа</w:t>
            </w:r>
          </w:p>
          <w:p w14:paraId="2706B139" w14:textId="77777777" w:rsidR="00FA7C28" w:rsidRPr="001C55CD" w:rsidRDefault="00FA7C28" w:rsidP="00FA7C28">
            <w:pPr>
              <w:pStyle w:val="odluka-zakon"/>
              <w:numPr>
                <w:ilvl w:val="0"/>
                <w:numId w:val="8"/>
              </w:numPr>
              <w:shd w:val="clear" w:color="auto" w:fill="FFFFFF"/>
              <w:rPr>
                <w:sz w:val="22"/>
                <w:szCs w:val="22"/>
                <w:lang w:val="sr-Cyrl-RS"/>
              </w:rPr>
            </w:pPr>
            <w:r w:rsidRPr="001C55CD">
              <w:rPr>
                <w:sz w:val="22"/>
                <w:szCs w:val="22"/>
                <w:lang w:val="sr-Cyrl-RS"/>
              </w:rPr>
              <w:t>Доказ о уплати републичке административне таксе</w:t>
            </w:r>
          </w:p>
          <w:p w14:paraId="388C0222" w14:textId="77777777" w:rsidR="006C6EBB" w:rsidRPr="001C55CD" w:rsidRDefault="006C6EBB" w:rsidP="006C6EB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 често</w:t>
            </w:r>
            <w:r w:rsidRPr="001C55CD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6E3A9436" w14:textId="77777777" w:rsidR="006C6EBB" w:rsidRPr="001C55CD" w:rsidRDefault="006C6EBB" w:rsidP="006C6EB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1C55C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5854CEDB" w14:textId="77777777" w:rsidR="006C6EBB" w:rsidRPr="001C55CD" w:rsidRDefault="006C6EBB" w:rsidP="006C6E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</w:rPr>
              <w:t>K</w:t>
            </w: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1C55C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1C55C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48908F7C" w14:textId="77777777" w:rsidR="006C6EBB" w:rsidRPr="001C55CD" w:rsidRDefault="006C6EBB" w:rsidP="006C6EB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CDD5F69" w14:textId="77777777" w:rsidR="006C6EBB" w:rsidRPr="001C55CD" w:rsidRDefault="006C6EBB" w:rsidP="006C6E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3A23769" w14:textId="77777777" w:rsidR="006C6EBB" w:rsidRPr="001C55CD" w:rsidRDefault="006C6EBB" w:rsidP="006C6EB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13458CB" w14:textId="77777777" w:rsidR="006C6EBB" w:rsidRPr="001C55CD" w:rsidRDefault="006C6EBB" w:rsidP="006C6EB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503F0636" w14:textId="77777777" w:rsidR="006C6EBB" w:rsidRPr="001C55CD" w:rsidRDefault="006C6EBB" w:rsidP="006C6EB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CDE34BD" w14:textId="77777777" w:rsidR="006C6EBB" w:rsidRPr="001C55CD" w:rsidRDefault="006C6EBB" w:rsidP="006C6EBB">
            <w:pPr>
              <w:pStyle w:val="ListParagraph"/>
              <w:numPr>
                <w:ilvl w:val="0"/>
                <w:numId w:val="9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139A03EA" w14:textId="77777777" w:rsidR="006C6EBB" w:rsidRPr="001C55CD" w:rsidRDefault="006C6EBB" w:rsidP="006C6EBB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694E5E7" w14:textId="77777777" w:rsidR="006C6EBB" w:rsidRPr="001C55CD" w:rsidRDefault="006C6EBB" w:rsidP="006C6EBB">
            <w:pPr>
              <w:pStyle w:val="ListParagraph"/>
              <w:numPr>
                <w:ilvl w:val="0"/>
                <w:numId w:val="9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694483BD" w14:textId="77777777" w:rsidR="006C6EBB" w:rsidRPr="001C55CD" w:rsidRDefault="006C6EBB" w:rsidP="006C6EBB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47EEC0A" w14:textId="77777777" w:rsidR="006C6EBB" w:rsidRPr="001C55CD" w:rsidRDefault="006C6EBB" w:rsidP="006C6E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3AEE1ABD" w14:textId="192DE615" w:rsidR="004C4A57" w:rsidRPr="001C55CD" w:rsidRDefault="004C4A57" w:rsidP="006C6E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0E066CF" w14:textId="321A6FBB" w:rsidR="00CD2537" w:rsidRPr="001C55CD" w:rsidRDefault="00CD2537" w:rsidP="006C6E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3B3D2E34" w14:textId="77777777" w:rsidR="00CD2537" w:rsidRPr="001C55CD" w:rsidRDefault="00CD2537" w:rsidP="006C6EB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24E3977" w14:textId="03B3A85A" w:rsidR="00217691" w:rsidRPr="001C55CD" w:rsidRDefault="00217691" w:rsidP="00EE3F94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C55CD">
              <w:rPr>
                <w:b/>
                <w:sz w:val="22"/>
                <w:szCs w:val="22"/>
                <w:lang w:val="sr-Cyrl-RS"/>
              </w:rPr>
              <w:t xml:space="preserve">Смањење </w:t>
            </w:r>
            <w:r w:rsidR="00CD2537" w:rsidRPr="001C55CD">
              <w:rPr>
                <w:b/>
                <w:sz w:val="22"/>
                <w:szCs w:val="22"/>
                <w:lang w:val="sr-Cyrl-RS"/>
              </w:rPr>
              <w:t xml:space="preserve">износа </w:t>
            </w:r>
            <w:r w:rsidRPr="001C55CD">
              <w:rPr>
                <w:b/>
                <w:sz w:val="22"/>
                <w:szCs w:val="22"/>
                <w:lang w:val="sr-Cyrl-RS"/>
              </w:rPr>
              <w:t xml:space="preserve">административне таксе </w:t>
            </w:r>
          </w:p>
          <w:p w14:paraId="5DFF511C" w14:textId="3E146833" w:rsidR="00217691" w:rsidRPr="001C55CD" w:rsidRDefault="00217691" w:rsidP="00217691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1C55CD">
              <w:rPr>
                <w:sz w:val="22"/>
                <w:szCs w:val="22"/>
                <w:lang w:val="sr-Cyrl-RS"/>
              </w:rPr>
              <w:t xml:space="preserve">Републичка административна такса, коју подносилац захтева плаћа, мора бити сразмерна </w:t>
            </w:r>
            <w:r w:rsidRPr="001C55CD">
              <w:rPr>
                <w:sz w:val="22"/>
                <w:szCs w:val="22"/>
                <w:lang w:val="sr-Cyrl-RS"/>
              </w:rPr>
              <w:lastRenderedPageBreak/>
              <w:t xml:space="preserve">услузи коју добија. Такса за предметни поступак, обрачунава се према бруто површини објекта: до 150 m2 - 11.440 дин; од 150 m2 до 1000 m2- 24.160 дин; од 1000 m2 до 5000 m2  - 48.320 дин; преко 5000 m2 - 91.550 дин. Висина ове таксе је значајно већа од такси за друге поступке давања овлашћења од стране МУП-а, које су дефинисане нпр. тарифним бројем 47. Закона о РАТ, а чија висина износи </w:t>
            </w:r>
            <w:r w:rsidRPr="001C55CD">
              <w:rPr>
                <w:sz w:val="22"/>
                <w:szCs w:val="22"/>
                <w:lang w:val="en-GB"/>
              </w:rPr>
              <w:t>31.960</w:t>
            </w:r>
            <w:r w:rsidRPr="001C55CD">
              <w:rPr>
                <w:sz w:val="22"/>
                <w:szCs w:val="22"/>
                <w:lang w:val="sr-Cyrl-RS"/>
              </w:rPr>
              <w:t xml:space="preserve"> РСД. </w:t>
            </w:r>
          </w:p>
          <w:p w14:paraId="0A2B1C7A" w14:textId="0FC35671" w:rsidR="00217691" w:rsidRPr="001C55CD" w:rsidRDefault="00217691" w:rsidP="00217691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Републичка административна такса, коју подносилац захтева плаћа, мора бити сразмерна услузи коју добија, а истовремено одређена на јасан и проверљив начин, тако да не оставља места за различита тумачења. </w:t>
            </w:r>
          </w:p>
          <w:p w14:paraId="42C2FCA7" w14:textId="53D7DC54" w:rsidR="00217691" w:rsidRPr="001C55CD" w:rsidRDefault="00217691" w:rsidP="00217691">
            <w:pPr>
              <w:shd w:val="clear" w:color="auto" w:fill="FFFFFF"/>
              <w:spacing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Имајући у виду претходно наведене разлоге и руководећи се начелом економичности (члан 9. ЗОУП-а), предлаже се смањење таксе за 40%.</w:t>
            </w:r>
          </w:p>
          <w:p w14:paraId="35261DB3" w14:textId="4A760D79" w:rsidR="00217691" w:rsidRPr="001C55CD" w:rsidRDefault="00217691" w:rsidP="00217691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1C55CD">
              <w:rPr>
                <w:b/>
                <w:sz w:val="22"/>
                <w:szCs w:val="22"/>
                <w:lang w:val="sr-Cyrl-RS"/>
              </w:rPr>
              <w:t>За примену ове препоруке, потребна је измена Закона о републичким административним таксама</w:t>
            </w:r>
          </w:p>
          <w:p w14:paraId="0B16FEA9" w14:textId="690651DF" w:rsidR="00457595" w:rsidRPr="001C55CD" w:rsidRDefault="0058169D" w:rsidP="00EE3F94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ind w:left="792" w:hanging="432"/>
              <w:rPr>
                <w:b/>
                <w:sz w:val="22"/>
                <w:szCs w:val="22"/>
                <w:lang w:val="sr-Cyrl-RS"/>
              </w:rPr>
            </w:pPr>
            <w:r w:rsidRPr="001C55CD">
              <w:rPr>
                <w:b/>
                <w:sz w:val="22"/>
                <w:szCs w:val="22"/>
                <w:lang w:val="sr-Cyrl-RS"/>
              </w:rPr>
              <w:t>Увођење обрасца</w:t>
            </w:r>
            <w:r w:rsidR="009535B1" w:rsidRPr="001C55CD">
              <w:rPr>
                <w:b/>
                <w:sz w:val="22"/>
                <w:szCs w:val="22"/>
                <w:lang w:val="sr-Cyrl-RS"/>
              </w:rPr>
              <w:t xml:space="preserve"> за подношење захтева</w:t>
            </w:r>
          </w:p>
          <w:p w14:paraId="436CD743" w14:textId="77777777" w:rsidR="001B46B0" w:rsidRPr="001C55CD" w:rsidRDefault="001B46B0" w:rsidP="00E129A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8EC2B8B" w14:textId="77777777" w:rsidR="0058169D" w:rsidRPr="001C55CD" w:rsidRDefault="0058169D" w:rsidP="00E129A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2C049C27" w14:textId="77777777" w:rsidR="00194AE9" w:rsidRPr="001C55CD" w:rsidRDefault="00194AE9" w:rsidP="00EE3F94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7D34DC11" w14:textId="77777777" w:rsidR="001C55CD" w:rsidRPr="001C55CD" w:rsidRDefault="001C55CD" w:rsidP="001C55CD">
            <w:pPr>
              <w:pStyle w:val="ListParagraph"/>
              <w:numPr>
                <w:ilvl w:val="0"/>
                <w:numId w:val="10"/>
              </w:numPr>
              <w:spacing w:before="100" w:beforeAutospacing="1" w:after="100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6FEB7A79" w14:textId="77777777" w:rsidR="001C55CD" w:rsidRPr="001C55CD" w:rsidRDefault="001C55CD" w:rsidP="001C55CD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37C66F5D" w14:textId="77777777" w:rsidR="001C55CD" w:rsidRPr="001C55CD" w:rsidRDefault="001C55CD" w:rsidP="001C55CD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Шифра административног поступка или назив обрасца може да стоји у горњем десном углу обрасца;</w:t>
            </w:r>
          </w:p>
          <w:p w14:paraId="52AB22EB" w14:textId="77777777" w:rsidR="001C55CD" w:rsidRPr="001C55CD" w:rsidRDefault="001C55CD" w:rsidP="001C55CD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0A676CF0" w14:textId="77777777" w:rsidR="001C55CD" w:rsidRPr="001C55CD" w:rsidRDefault="001C55CD" w:rsidP="001C55CD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(Име и презиме, Адреса, Контакт телефон, Матични број, Адреса електронске поште)</w:t>
            </w:r>
          </w:p>
          <w:p w14:paraId="3CCAE551" w14:textId="77777777" w:rsidR="001C55CD" w:rsidRPr="001C55CD" w:rsidRDefault="001C55CD" w:rsidP="001C55CD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дужности;</w:t>
            </w:r>
          </w:p>
          <w:p w14:paraId="4ECC1BC2" w14:textId="77777777" w:rsidR="001C55CD" w:rsidRPr="001C55CD" w:rsidRDefault="001C55CD" w:rsidP="001C55CD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0751B852" w14:textId="77777777" w:rsidR="001C55CD" w:rsidRPr="001C55CD" w:rsidRDefault="001C55CD" w:rsidP="001C55CD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Таксативно набројана сва потребна документа  </w:t>
            </w:r>
          </w:p>
          <w:p w14:paraId="6518E945" w14:textId="77777777" w:rsidR="001C55CD" w:rsidRPr="001C55CD" w:rsidRDefault="001C55CD" w:rsidP="001C55CD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>Форма докумената (оригинал, копија, оверена копија, копија уз оригинал на увид), уколико се документација подноси у папиру</w:t>
            </w:r>
          </w:p>
          <w:p w14:paraId="07B9E0D9" w14:textId="77777777" w:rsidR="001C55CD" w:rsidRPr="001C55CD" w:rsidRDefault="001C55CD" w:rsidP="001C55CD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</w:tabs>
              <w:spacing w:before="100" w:beforeAutospacing="1" w:after="100" w:afterAutospacing="1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00F3A413" w14:textId="77777777" w:rsidR="001C55CD" w:rsidRPr="001C55CD" w:rsidRDefault="001C55CD" w:rsidP="001C55CD">
            <w:pPr>
              <w:pStyle w:val="ListParagraph"/>
              <w:numPr>
                <w:ilvl w:val="0"/>
                <w:numId w:val="11"/>
              </w:numPr>
              <w:tabs>
                <w:tab w:val="left" w:pos="300"/>
              </w:tabs>
              <w:spacing w:after="200"/>
              <w:ind w:left="131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hAnsi="Times New Roman"/>
                <w:sz w:val="22"/>
                <w:szCs w:val="22"/>
                <w:lang w:val="sr-Cyrl-RS"/>
              </w:rPr>
              <w:t>Специфичности у вези документа, ако их има (нпр. број потребних примерака, уколико се документација подноси у папиру и у више од једног примерка или нпр. документ подносе само привредна друштва и сл.).</w:t>
            </w:r>
          </w:p>
          <w:p w14:paraId="1DEA2C12" w14:textId="77777777" w:rsidR="001C55CD" w:rsidRPr="001C55CD" w:rsidRDefault="001C55CD" w:rsidP="001C55CD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3BA966BD" w14:textId="77777777" w:rsidR="001C55CD" w:rsidRPr="001C55CD" w:rsidRDefault="001C55CD" w:rsidP="001C55CD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6CD7287A" w14:textId="77777777" w:rsidR="001C55CD" w:rsidRPr="001C55CD" w:rsidRDefault="001C55CD" w:rsidP="001C55CD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1538C151" w14:textId="77777777" w:rsidR="001C55CD" w:rsidRPr="001C55CD" w:rsidRDefault="001C55CD" w:rsidP="001C55CD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3D5CF09B" w14:textId="77777777" w:rsidR="001C55CD" w:rsidRPr="001C55CD" w:rsidRDefault="001C55CD" w:rsidP="001C55CD">
            <w:pPr>
              <w:pStyle w:val="ListParagraph"/>
              <w:spacing w:before="100" w:beforeAutospacing="1" w:after="100" w:afterAutospacing="1"/>
              <w:ind w:left="9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Упознат/а сам да уколико наведене личне податке неопходне за одлучивање органа не поднесем у року од 8 дана, захтев за покретање поступка ће се сматрати </w:t>
            </w: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неуредним и решењем ће се одбацити.</w:t>
            </w:r>
          </w:p>
          <w:p w14:paraId="31873C48" w14:textId="77777777" w:rsidR="001C55CD" w:rsidRPr="001C55CD" w:rsidRDefault="001C55CD" w:rsidP="001C55CD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2C20650F" w14:textId="77777777" w:rsidR="001C55CD" w:rsidRPr="001C55CD" w:rsidRDefault="001C55CD" w:rsidP="001C55CD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71D1AE30" w14:textId="77777777" w:rsidR="001C55CD" w:rsidRPr="001C55CD" w:rsidRDefault="001C55CD" w:rsidP="001C55CD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писмена информација о:</w:t>
            </w:r>
          </w:p>
          <w:p w14:paraId="14145B0E" w14:textId="77777777" w:rsidR="001C55CD" w:rsidRPr="001C55CD" w:rsidRDefault="001C55CD" w:rsidP="001C55CD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Прописаном року за решавање предмета</w:t>
            </w:r>
          </w:p>
          <w:p w14:paraId="6BF5E60D" w14:textId="77777777" w:rsidR="001C55CD" w:rsidRPr="001C55CD" w:rsidRDefault="001C55CD" w:rsidP="001C55CD">
            <w:pPr>
              <w:pStyle w:val="ListParagraph"/>
              <w:numPr>
                <w:ilvl w:val="1"/>
                <w:numId w:val="10"/>
              </w:numPr>
              <w:spacing w:before="100" w:beforeAutospacing="1" w:after="100" w:afterAutospacing="1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538762E1" w14:textId="77777777" w:rsidR="001C55CD" w:rsidRPr="001C55CD" w:rsidRDefault="001C55CD" w:rsidP="001C55CD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0BE929C8" w14:textId="77777777" w:rsidR="001C55CD" w:rsidRPr="001C55CD" w:rsidRDefault="001C55CD" w:rsidP="001C55CD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0AF4A18B" w14:textId="77777777" w:rsidR="001C55CD" w:rsidRPr="001C55CD" w:rsidRDefault="001C55CD" w:rsidP="001C55CD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и адреса примаоца</w:t>
            </w:r>
          </w:p>
          <w:p w14:paraId="65E61AB3" w14:textId="77777777" w:rsidR="001C55CD" w:rsidRPr="001C55CD" w:rsidRDefault="001C55CD" w:rsidP="001C55CD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479B30A0" w14:textId="77777777" w:rsidR="001C55CD" w:rsidRPr="001C55CD" w:rsidRDefault="001C55CD" w:rsidP="001C55CD">
            <w:pPr>
              <w:pStyle w:val="ListParagraph"/>
              <w:numPr>
                <w:ilvl w:val="0"/>
                <w:numId w:val="11"/>
              </w:numPr>
              <w:spacing w:before="100" w:beforeAutospacing="1" w:after="100" w:afterAutospacing="1"/>
              <w:ind w:left="13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C55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28EAF09" w14:textId="4A1E9D61" w:rsidR="00F22B00" w:rsidRPr="001C55CD" w:rsidRDefault="001C55CD" w:rsidP="0032083D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1C55CD" w:rsidDel="001C55CD">
              <w:rPr>
                <w:sz w:val="22"/>
                <w:szCs w:val="22"/>
                <w:lang w:val="sr-Cyrl-RS"/>
              </w:rPr>
              <w:t xml:space="preserve"> </w:t>
            </w:r>
            <w:r w:rsidR="00F22B00" w:rsidRPr="001C55CD">
              <w:rPr>
                <w:b/>
                <w:sz w:val="22"/>
                <w:szCs w:val="22"/>
                <w:lang w:val="sr-Cyrl-RS"/>
              </w:rPr>
              <w:t xml:space="preserve">Напомена: Образац ће бити у употреби до успостављања дигитализације поступка, када ће се подношење захтева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 </w:t>
            </w:r>
          </w:p>
          <w:p w14:paraId="224C3690" w14:textId="06DDB76D" w:rsidR="00F20E3D" w:rsidRPr="001C55CD" w:rsidRDefault="00F22B00" w:rsidP="0032083D">
            <w:pPr>
              <w:pStyle w:val="odluka-zakon"/>
              <w:shd w:val="clear" w:color="auto" w:fill="FFFFFF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1C55C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194AE9" w:rsidRPr="001C55CD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  <w:r w:rsidR="00E129A3" w:rsidRPr="001C55CD">
              <w:rPr>
                <w:b/>
                <w:bCs/>
                <w:sz w:val="22"/>
                <w:szCs w:val="22"/>
                <w:lang w:val="sr-Cyrl-RS"/>
              </w:rPr>
              <w:t xml:space="preserve"> </w:t>
            </w:r>
          </w:p>
          <w:p w14:paraId="4AE49DD3" w14:textId="77777777" w:rsidR="0070494A" w:rsidRPr="001C55CD" w:rsidRDefault="0070494A" w:rsidP="00EE3F94">
            <w:pPr>
              <w:pStyle w:val="NormalWeb"/>
              <w:numPr>
                <w:ilvl w:val="1"/>
                <w:numId w:val="5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C55CD">
              <w:rPr>
                <w:b/>
                <w:sz w:val="22"/>
                <w:szCs w:val="22"/>
                <w:lang w:val="sr-Cyrl-RS"/>
              </w:rPr>
              <w:t>Престанак употребе печата</w:t>
            </w:r>
          </w:p>
          <w:p w14:paraId="3F878264" w14:textId="77777777" w:rsidR="0070494A" w:rsidRPr="001C55CD" w:rsidRDefault="0070494A" w:rsidP="0070494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4CA20EE5" w14:textId="77777777" w:rsidR="0070494A" w:rsidRPr="001C55CD" w:rsidRDefault="0070494A" w:rsidP="0070494A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  <w:r w:rsidRPr="001C55CD">
              <w:rPr>
                <w:rFonts w:eastAsia="Calibri"/>
                <w:sz w:val="22"/>
                <w:szCs w:val="22"/>
                <w:lang w:val="sr-Cyrl-RS"/>
              </w:rPr>
              <w:t>У обрасцу је наведено да  захтев мора да садржи печат подносиоца захтева</w:t>
            </w:r>
            <w:bookmarkStart w:id="0" w:name="_GoBack"/>
            <w:bookmarkEnd w:id="0"/>
            <w:r w:rsidRPr="001C55CD">
              <w:rPr>
                <w:rFonts w:eastAsia="Calibri"/>
                <w:sz w:val="22"/>
                <w:szCs w:val="22"/>
                <w:lang w:val="sr-Cyrl-RS"/>
              </w:rPr>
              <w:t xml:space="preserve">. </w:t>
            </w:r>
          </w:p>
          <w:p w14:paraId="0022357F" w14:textId="77777777" w:rsidR="0070494A" w:rsidRPr="001C55CD" w:rsidRDefault="0070494A" w:rsidP="0070494A">
            <w:pPr>
              <w:pStyle w:val="NormalWeb"/>
              <w:spacing w:before="0" w:beforeAutospacing="0" w:after="0" w:afterAutospacing="0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3B6AF57F" w14:textId="77777777" w:rsidR="0070494A" w:rsidRPr="001C55CD" w:rsidRDefault="0070494A" w:rsidP="0070494A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1C55CD">
              <w:rPr>
                <w:rFonts w:eastAsia="Calibri"/>
                <w:sz w:val="22"/>
                <w:szCs w:val="22"/>
                <w:lang w:val="sr-Cyrl-RS"/>
              </w:rPr>
              <w:t xml:space="preserve">Законом о привредним друштвима, у члану 25. прописано је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  </w:t>
            </w:r>
          </w:p>
          <w:p w14:paraId="1158D0FF" w14:textId="77777777" w:rsidR="0070494A" w:rsidRPr="001C55CD" w:rsidRDefault="0070494A" w:rsidP="0070494A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</w:p>
          <w:p w14:paraId="17568FEB" w14:textId="77777777" w:rsidR="0070494A" w:rsidRPr="001C55CD" w:rsidRDefault="0070494A" w:rsidP="0070494A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1C55CD">
              <w:rPr>
                <w:rFonts w:eastAsia="Calibri"/>
                <w:sz w:val="22"/>
                <w:szCs w:val="22"/>
                <w:lang w:val="sr-Cyrl-RS"/>
              </w:rPr>
              <w:t xml:space="preserve">Како надлежни орган у конкретном случају наводи да у пракси захтев мора да садржи печат, потребно је укинути ову обавезу подносиоца захтева. </w:t>
            </w:r>
          </w:p>
          <w:p w14:paraId="2D21D843" w14:textId="77777777" w:rsidR="0032083D" w:rsidRPr="001C55CD" w:rsidRDefault="0070494A" w:rsidP="00AC2164">
            <w:pPr>
              <w:pStyle w:val="odluka-zakon"/>
              <w:shd w:val="clear" w:color="auto" w:fill="FFFFFF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  <w:r w:rsidRPr="001C55CD">
              <w:rPr>
                <w:b/>
                <w:bCs/>
                <w:sz w:val="22"/>
                <w:szCs w:val="22"/>
                <w:lang w:val="sr-Cyrl-RS"/>
              </w:rPr>
              <w:t>За примену ове препоруке</w:t>
            </w:r>
            <w:r w:rsidRPr="001C55CD">
              <w:rPr>
                <w:b/>
                <w:sz w:val="22"/>
                <w:szCs w:val="22"/>
                <w:lang w:val="sr-Cyrl-RS"/>
              </w:rPr>
              <w:t xml:space="preserve">, </w:t>
            </w:r>
            <w:r w:rsidRPr="001C55CD">
              <w:rPr>
                <w:b/>
                <w:bCs/>
                <w:sz w:val="22"/>
                <w:szCs w:val="22"/>
                <w:lang w:val="sr-Cyrl-RS"/>
              </w:rPr>
              <w:t>није неопходна измена прописа.</w:t>
            </w:r>
          </w:p>
          <w:p w14:paraId="3EAB4AF8" w14:textId="2E85267D" w:rsidR="00471221" w:rsidRPr="001C55CD" w:rsidRDefault="00471221" w:rsidP="00AC2164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94AE9" w:rsidRPr="003156FF" w14:paraId="52C990E5" w14:textId="77777777" w:rsidTr="00C70F1B">
        <w:trPr>
          <w:trHeight w:val="454"/>
          <w:hidden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545A24C" w14:textId="77777777" w:rsidR="00FA7C28" w:rsidRPr="00FA7C28" w:rsidRDefault="00FA7C28" w:rsidP="00EE3F94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22131890" w14:textId="77777777" w:rsidR="00FA7C28" w:rsidRPr="00FA7C28" w:rsidRDefault="00FA7C28" w:rsidP="00EE3F94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4E93FD6B" w14:textId="77777777" w:rsidR="00FA7C28" w:rsidRPr="00FA7C28" w:rsidRDefault="00FA7C28" w:rsidP="00EE3F94">
            <w:pPr>
              <w:pStyle w:val="ListParagraph"/>
              <w:numPr>
                <w:ilvl w:val="0"/>
                <w:numId w:val="4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493D6146" w14:textId="51A1FDD7" w:rsidR="00194AE9" w:rsidRPr="003156FF" w:rsidRDefault="00194AE9" w:rsidP="00EE3F94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156FF">
              <w:rPr>
                <w:b/>
                <w:sz w:val="22"/>
                <w:szCs w:val="22"/>
                <w:lang w:val="sr-Cyrl-RS"/>
              </w:rPr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194AE9" w:rsidRPr="006C6EBB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5AE9E6A" w:rsidR="00194AE9" w:rsidRPr="006C6EBB" w:rsidRDefault="006C6EBB" w:rsidP="00E129A3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6E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194AE9" w:rsidRPr="006C6EBB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194AE9" w:rsidRPr="006C6EBB" w:rsidRDefault="00194AE9" w:rsidP="00EE3F94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6EB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194AE9" w:rsidRPr="006C6EBB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0D8F6790" w:rsidR="00194AE9" w:rsidRPr="006C6EBB" w:rsidRDefault="006C6EBB" w:rsidP="00E129A3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C6E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194AE9" w:rsidRPr="006C6EBB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194AE9" w:rsidRPr="006C6EBB" w:rsidRDefault="00194AE9" w:rsidP="00EE3F94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6C6EB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94AE9" w:rsidRPr="006C6EBB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DD8F86B" w14:textId="77777777" w:rsidR="00697371" w:rsidRDefault="00697371" w:rsidP="0069737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7BF2A98" w14:textId="212E0C7D" w:rsidR="00697371" w:rsidRDefault="00697371" w:rsidP="0069737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973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167.381.846,3 РСД. Усвајање и примена препорука ће донети привредним субјектима годишње директне уштеде од 7.477.130,19 РСД или 61.478,49 ЕУР. Ове уштеде износе 4,47% укупних директних трошкова привредних субјеката у поступку.</w:t>
            </w:r>
          </w:p>
          <w:p w14:paraId="7EA1CB42" w14:textId="77777777" w:rsidR="00697371" w:rsidRDefault="00697371" w:rsidP="0069737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57F2EA49" w:rsidR="00194AE9" w:rsidRPr="006C6EBB" w:rsidRDefault="00697371" w:rsidP="00697371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973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смањењу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трошкова за подносиоце захтева услед смањења такси, и </w:t>
            </w:r>
            <w:r w:rsidRPr="0069737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истоветности поступања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</w:tbl>
    <w:p w14:paraId="5CE5710A" w14:textId="1C5B3A41" w:rsidR="003E3C16" w:rsidRPr="003156FF" w:rsidRDefault="003E3C16" w:rsidP="00E129A3">
      <w:pPr>
        <w:rPr>
          <w:rFonts w:ascii="Times New Roman" w:eastAsia="Times New Roman" w:hAnsi="Times New Roman"/>
          <w:lang w:val="sr-Cyrl-RS"/>
        </w:rPr>
      </w:pPr>
    </w:p>
    <w:sectPr w:rsidR="003E3C16" w:rsidRPr="003156FF" w:rsidSect="00C121EC"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B085DA8" w15:done="0"/>
  <w15:commentEx w15:paraId="73A0D850" w15:done="0"/>
  <w15:commentEx w15:paraId="00D194B7" w15:paraIdParent="73A0D85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B085DA8" w16cid:durableId="20534653"/>
  <w16cid:commentId w16cid:paraId="73A0D850" w16cid:durableId="20534610"/>
  <w16cid:commentId w16cid:paraId="00D194B7" w16cid:durableId="2053462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7F5C3" w14:textId="77777777" w:rsidR="006A71A4" w:rsidRDefault="006A71A4" w:rsidP="002A202F">
      <w:r>
        <w:separator/>
      </w:r>
    </w:p>
  </w:endnote>
  <w:endnote w:type="continuationSeparator" w:id="0">
    <w:p w14:paraId="6D863193" w14:textId="77777777" w:rsidR="006A71A4" w:rsidRDefault="006A71A4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D1D6BB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67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B40F3F" w14:textId="77777777" w:rsidR="006A71A4" w:rsidRDefault="006A71A4" w:rsidP="002A202F">
      <w:r>
        <w:separator/>
      </w:r>
    </w:p>
  </w:footnote>
  <w:footnote w:type="continuationSeparator" w:id="0">
    <w:p w14:paraId="08A7381B" w14:textId="77777777" w:rsidR="006A71A4" w:rsidRDefault="006A71A4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218B4"/>
    <w:multiLevelType w:val="multilevel"/>
    <w:tmpl w:val="0D583A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3ACE33CE"/>
    <w:multiLevelType w:val="hybridMultilevel"/>
    <w:tmpl w:val="85A8E6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F4140"/>
    <w:multiLevelType w:val="hybridMultilevel"/>
    <w:tmpl w:val="05500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DB540E"/>
    <w:multiLevelType w:val="multilevel"/>
    <w:tmpl w:val="484E68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6DBA5225"/>
    <w:multiLevelType w:val="hybridMultilevel"/>
    <w:tmpl w:val="D820F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nja Jovanović">
    <w15:presenceInfo w15:providerId="AD" w15:userId="S-1-5-21-1487641033-1019195653-2548230883-5380"/>
  </w15:person>
  <w15:person w15:author="Marija Andrejic">
    <w15:presenceInfo w15:providerId="Windows Live" w15:userId="b5a5bf5f4264e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1BFA"/>
    <w:rsid w:val="00036812"/>
    <w:rsid w:val="00044F35"/>
    <w:rsid w:val="00044F63"/>
    <w:rsid w:val="00050616"/>
    <w:rsid w:val="00061070"/>
    <w:rsid w:val="000709CE"/>
    <w:rsid w:val="00083993"/>
    <w:rsid w:val="00092B84"/>
    <w:rsid w:val="0009542A"/>
    <w:rsid w:val="000A13ED"/>
    <w:rsid w:val="000A4BCB"/>
    <w:rsid w:val="000A53F3"/>
    <w:rsid w:val="000A5CDC"/>
    <w:rsid w:val="000B54D7"/>
    <w:rsid w:val="000D5029"/>
    <w:rsid w:val="000E2036"/>
    <w:rsid w:val="000F2ABF"/>
    <w:rsid w:val="000F54C9"/>
    <w:rsid w:val="000F5E72"/>
    <w:rsid w:val="00110674"/>
    <w:rsid w:val="00113D90"/>
    <w:rsid w:val="001156BA"/>
    <w:rsid w:val="0015111C"/>
    <w:rsid w:val="0015182D"/>
    <w:rsid w:val="0015487C"/>
    <w:rsid w:val="00161847"/>
    <w:rsid w:val="00163B1B"/>
    <w:rsid w:val="00170CA7"/>
    <w:rsid w:val="001711C5"/>
    <w:rsid w:val="00194AE9"/>
    <w:rsid w:val="001A023F"/>
    <w:rsid w:val="001A3FAC"/>
    <w:rsid w:val="001A50D0"/>
    <w:rsid w:val="001A6472"/>
    <w:rsid w:val="001B46B0"/>
    <w:rsid w:val="001C0685"/>
    <w:rsid w:val="001C5538"/>
    <w:rsid w:val="001C55CD"/>
    <w:rsid w:val="001C6733"/>
    <w:rsid w:val="001D0EDE"/>
    <w:rsid w:val="001D20E2"/>
    <w:rsid w:val="001E38DE"/>
    <w:rsid w:val="001F3BCE"/>
    <w:rsid w:val="001F7B31"/>
    <w:rsid w:val="0020601F"/>
    <w:rsid w:val="00207ED3"/>
    <w:rsid w:val="00212DA5"/>
    <w:rsid w:val="0021347C"/>
    <w:rsid w:val="002163D4"/>
    <w:rsid w:val="00217691"/>
    <w:rsid w:val="00223820"/>
    <w:rsid w:val="002323AC"/>
    <w:rsid w:val="002475C5"/>
    <w:rsid w:val="00255C2E"/>
    <w:rsid w:val="00261404"/>
    <w:rsid w:val="00261C2A"/>
    <w:rsid w:val="00263C95"/>
    <w:rsid w:val="002673B0"/>
    <w:rsid w:val="002755CD"/>
    <w:rsid w:val="00275E2A"/>
    <w:rsid w:val="00296938"/>
    <w:rsid w:val="002A202F"/>
    <w:rsid w:val="002B19B4"/>
    <w:rsid w:val="002B3531"/>
    <w:rsid w:val="002B3F27"/>
    <w:rsid w:val="002E00AE"/>
    <w:rsid w:val="002F1BEC"/>
    <w:rsid w:val="002F4757"/>
    <w:rsid w:val="0030733F"/>
    <w:rsid w:val="00307579"/>
    <w:rsid w:val="00312376"/>
    <w:rsid w:val="003156FF"/>
    <w:rsid w:val="0032083D"/>
    <w:rsid w:val="00322199"/>
    <w:rsid w:val="003223C7"/>
    <w:rsid w:val="00326555"/>
    <w:rsid w:val="0034046F"/>
    <w:rsid w:val="003410E0"/>
    <w:rsid w:val="00350EAD"/>
    <w:rsid w:val="003651DB"/>
    <w:rsid w:val="003715A0"/>
    <w:rsid w:val="0037171F"/>
    <w:rsid w:val="00376FD1"/>
    <w:rsid w:val="0039002C"/>
    <w:rsid w:val="00396086"/>
    <w:rsid w:val="003B2D64"/>
    <w:rsid w:val="003B44DB"/>
    <w:rsid w:val="003B4BC9"/>
    <w:rsid w:val="003B6298"/>
    <w:rsid w:val="003C009D"/>
    <w:rsid w:val="003D6AD9"/>
    <w:rsid w:val="003E2EB1"/>
    <w:rsid w:val="003E3C16"/>
    <w:rsid w:val="00407D96"/>
    <w:rsid w:val="004305A9"/>
    <w:rsid w:val="00432495"/>
    <w:rsid w:val="00444DA7"/>
    <w:rsid w:val="004550F6"/>
    <w:rsid w:val="00457595"/>
    <w:rsid w:val="00457882"/>
    <w:rsid w:val="00463CC7"/>
    <w:rsid w:val="00466053"/>
    <w:rsid w:val="00471221"/>
    <w:rsid w:val="004809C4"/>
    <w:rsid w:val="00481347"/>
    <w:rsid w:val="004826EE"/>
    <w:rsid w:val="0048433C"/>
    <w:rsid w:val="004847B1"/>
    <w:rsid w:val="0049545B"/>
    <w:rsid w:val="0049596C"/>
    <w:rsid w:val="004A1FBD"/>
    <w:rsid w:val="004A5504"/>
    <w:rsid w:val="004B4CD7"/>
    <w:rsid w:val="004C4A57"/>
    <w:rsid w:val="004D3BD0"/>
    <w:rsid w:val="004D45B1"/>
    <w:rsid w:val="004D68A7"/>
    <w:rsid w:val="004E29D1"/>
    <w:rsid w:val="004E66D5"/>
    <w:rsid w:val="00500566"/>
    <w:rsid w:val="005073A3"/>
    <w:rsid w:val="00523608"/>
    <w:rsid w:val="0052548D"/>
    <w:rsid w:val="00525C0A"/>
    <w:rsid w:val="00535608"/>
    <w:rsid w:val="00556688"/>
    <w:rsid w:val="0056162B"/>
    <w:rsid w:val="0056707B"/>
    <w:rsid w:val="0058169D"/>
    <w:rsid w:val="00581A9D"/>
    <w:rsid w:val="00590D30"/>
    <w:rsid w:val="00596D11"/>
    <w:rsid w:val="005A2503"/>
    <w:rsid w:val="005A4AF9"/>
    <w:rsid w:val="005B1E08"/>
    <w:rsid w:val="005B4F04"/>
    <w:rsid w:val="005B7CB9"/>
    <w:rsid w:val="005D0023"/>
    <w:rsid w:val="005E21C4"/>
    <w:rsid w:val="005F4D59"/>
    <w:rsid w:val="0060001C"/>
    <w:rsid w:val="00600D31"/>
    <w:rsid w:val="0060786A"/>
    <w:rsid w:val="006237FE"/>
    <w:rsid w:val="00627AF7"/>
    <w:rsid w:val="0063002F"/>
    <w:rsid w:val="006301E6"/>
    <w:rsid w:val="00632540"/>
    <w:rsid w:val="00633F73"/>
    <w:rsid w:val="0064513E"/>
    <w:rsid w:val="00645199"/>
    <w:rsid w:val="00645850"/>
    <w:rsid w:val="00652CA7"/>
    <w:rsid w:val="00661ECF"/>
    <w:rsid w:val="006767D7"/>
    <w:rsid w:val="00692071"/>
    <w:rsid w:val="00694B28"/>
    <w:rsid w:val="00697371"/>
    <w:rsid w:val="006A71A4"/>
    <w:rsid w:val="006B0E73"/>
    <w:rsid w:val="006C5349"/>
    <w:rsid w:val="006C5F2A"/>
    <w:rsid w:val="006C662C"/>
    <w:rsid w:val="006C6EBB"/>
    <w:rsid w:val="006F2AB4"/>
    <w:rsid w:val="006F3B49"/>
    <w:rsid w:val="006F4A5C"/>
    <w:rsid w:val="0070494A"/>
    <w:rsid w:val="00715F5C"/>
    <w:rsid w:val="00726764"/>
    <w:rsid w:val="007278C1"/>
    <w:rsid w:val="00733493"/>
    <w:rsid w:val="007361EE"/>
    <w:rsid w:val="00737F1D"/>
    <w:rsid w:val="00742F41"/>
    <w:rsid w:val="0075375B"/>
    <w:rsid w:val="007679D7"/>
    <w:rsid w:val="00782816"/>
    <w:rsid w:val="00785A46"/>
    <w:rsid w:val="007861E3"/>
    <w:rsid w:val="007940D6"/>
    <w:rsid w:val="007B1740"/>
    <w:rsid w:val="007C3ABC"/>
    <w:rsid w:val="007C61B5"/>
    <w:rsid w:val="007C7EDC"/>
    <w:rsid w:val="007D3889"/>
    <w:rsid w:val="007D39E4"/>
    <w:rsid w:val="007D43A7"/>
    <w:rsid w:val="007E1113"/>
    <w:rsid w:val="007E1695"/>
    <w:rsid w:val="007F204C"/>
    <w:rsid w:val="00804060"/>
    <w:rsid w:val="008166C9"/>
    <w:rsid w:val="008225FE"/>
    <w:rsid w:val="00824E43"/>
    <w:rsid w:val="00833D8C"/>
    <w:rsid w:val="00834C9A"/>
    <w:rsid w:val="0084708C"/>
    <w:rsid w:val="00850AD5"/>
    <w:rsid w:val="00852739"/>
    <w:rsid w:val="008629CC"/>
    <w:rsid w:val="00865B2C"/>
    <w:rsid w:val="00865EBB"/>
    <w:rsid w:val="00866E50"/>
    <w:rsid w:val="008748D7"/>
    <w:rsid w:val="00877D77"/>
    <w:rsid w:val="00886C36"/>
    <w:rsid w:val="008A3261"/>
    <w:rsid w:val="008A6AC8"/>
    <w:rsid w:val="008C5591"/>
    <w:rsid w:val="008D04A6"/>
    <w:rsid w:val="008D4C1A"/>
    <w:rsid w:val="008F0867"/>
    <w:rsid w:val="008F167E"/>
    <w:rsid w:val="008F172F"/>
    <w:rsid w:val="008F2044"/>
    <w:rsid w:val="008F2BE1"/>
    <w:rsid w:val="008F4DD1"/>
    <w:rsid w:val="009050A3"/>
    <w:rsid w:val="009056DB"/>
    <w:rsid w:val="009201D2"/>
    <w:rsid w:val="00922014"/>
    <w:rsid w:val="00930467"/>
    <w:rsid w:val="00933F93"/>
    <w:rsid w:val="009462AF"/>
    <w:rsid w:val="00947592"/>
    <w:rsid w:val="00950280"/>
    <w:rsid w:val="009535B1"/>
    <w:rsid w:val="00991A18"/>
    <w:rsid w:val="00994A16"/>
    <w:rsid w:val="00995857"/>
    <w:rsid w:val="009A30D3"/>
    <w:rsid w:val="009D03A7"/>
    <w:rsid w:val="009E0479"/>
    <w:rsid w:val="009E2C70"/>
    <w:rsid w:val="009F4491"/>
    <w:rsid w:val="00A0102E"/>
    <w:rsid w:val="00A05607"/>
    <w:rsid w:val="00A05C6D"/>
    <w:rsid w:val="00A12960"/>
    <w:rsid w:val="00A1570D"/>
    <w:rsid w:val="00A16052"/>
    <w:rsid w:val="00A22386"/>
    <w:rsid w:val="00A56B75"/>
    <w:rsid w:val="00A56B9B"/>
    <w:rsid w:val="00A711EF"/>
    <w:rsid w:val="00A71C04"/>
    <w:rsid w:val="00AA0017"/>
    <w:rsid w:val="00AA4BC5"/>
    <w:rsid w:val="00AB09B3"/>
    <w:rsid w:val="00AC02D1"/>
    <w:rsid w:val="00AC2164"/>
    <w:rsid w:val="00AD2DCD"/>
    <w:rsid w:val="00B047C9"/>
    <w:rsid w:val="00B06019"/>
    <w:rsid w:val="00B07409"/>
    <w:rsid w:val="00B1006E"/>
    <w:rsid w:val="00B13D39"/>
    <w:rsid w:val="00B178FB"/>
    <w:rsid w:val="00B35E07"/>
    <w:rsid w:val="00B511BC"/>
    <w:rsid w:val="00B5252A"/>
    <w:rsid w:val="00B61578"/>
    <w:rsid w:val="00B63DB1"/>
    <w:rsid w:val="00B65C5D"/>
    <w:rsid w:val="00B664A5"/>
    <w:rsid w:val="00B67138"/>
    <w:rsid w:val="00B6715C"/>
    <w:rsid w:val="00B75584"/>
    <w:rsid w:val="00B81CFE"/>
    <w:rsid w:val="00B903AE"/>
    <w:rsid w:val="00B9157F"/>
    <w:rsid w:val="00B93B65"/>
    <w:rsid w:val="00B95225"/>
    <w:rsid w:val="00BA047A"/>
    <w:rsid w:val="00BA231E"/>
    <w:rsid w:val="00BA55D3"/>
    <w:rsid w:val="00BA6759"/>
    <w:rsid w:val="00BA7204"/>
    <w:rsid w:val="00BB0927"/>
    <w:rsid w:val="00BB2C8C"/>
    <w:rsid w:val="00BB62B5"/>
    <w:rsid w:val="00BC6826"/>
    <w:rsid w:val="00BD224D"/>
    <w:rsid w:val="00BD31AA"/>
    <w:rsid w:val="00C01EA5"/>
    <w:rsid w:val="00C0295C"/>
    <w:rsid w:val="00C03C06"/>
    <w:rsid w:val="00C05C82"/>
    <w:rsid w:val="00C121EC"/>
    <w:rsid w:val="00C12C65"/>
    <w:rsid w:val="00C445E2"/>
    <w:rsid w:val="00C47803"/>
    <w:rsid w:val="00C515ED"/>
    <w:rsid w:val="00C525A5"/>
    <w:rsid w:val="00C556A2"/>
    <w:rsid w:val="00C5608D"/>
    <w:rsid w:val="00C57CB3"/>
    <w:rsid w:val="00C619B3"/>
    <w:rsid w:val="00C62A00"/>
    <w:rsid w:val="00C63BBF"/>
    <w:rsid w:val="00C70F1B"/>
    <w:rsid w:val="00C7129D"/>
    <w:rsid w:val="00C748D1"/>
    <w:rsid w:val="00C91014"/>
    <w:rsid w:val="00CA15B7"/>
    <w:rsid w:val="00CA1CE9"/>
    <w:rsid w:val="00CB1A4E"/>
    <w:rsid w:val="00CC29F6"/>
    <w:rsid w:val="00CC7341"/>
    <w:rsid w:val="00CD095E"/>
    <w:rsid w:val="00CD2287"/>
    <w:rsid w:val="00CD2537"/>
    <w:rsid w:val="00CD5BBB"/>
    <w:rsid w:val="00CE0685"/>
    <w:rsid w:val="00D04036"/>
    <w:rsid w:val="00D15A4A"/>
    <w:rsid w:val="00D202C3"/>
    <w:rsid w:val="00D33E71"/>
    <w:rsid w:val="00D37EA5"/>
    <w:rsid w:val="00D44943"/>
    <w:rsid w:val="00D46549"/>
    <w:rsid w:val="00D73628"/>
    <w:rsid w:val="00D73918"/>
    <w:rsid w:val="00D83642"/>
    <w:rsid w:val="00D8485F"/>
    <w:rsid w:val="00D967D7"/>
    <w:rsid w:val="00DA125D"/>
    <w:rsid w:val="00DA5E27"/>
    <w:rsid w:val="00DB19B9"/>
    <w:rsid w:val="00DC4BC2"/>
    <w:rsid w:val="00DC512B"/>
    <w:rsid w:val="00DE057D"/>
    <w:rsid w:val="00DE2F55"/>
    <w:rsid w:val="00DE4708"/>
    <w:rsid w:val="00DF2AC1"/>
    <w:rsid w:val="00E0020F"/>
    <w:rsid w:val="00E118C7"/>
    <w:rsid w:val="00E129A3"/>
    <w:rsid w:val="00E1356F"/>
    <w:rsid w:val="00E1427B"/>
    <w:rsid w:val="00E14E0D"/>
    <w:rsid w:val="00E2143C"/>
    <w:rsid w:val="00E22B8B"/>
    <w:rsid w:val="00E317D1"/>
    <w:rsid w:val="00E40DF0"/>
    <w:rsid w:val="00E4267B"/>
    <w:rsid w:val="00E4758C"/>
    <w:rsid w:val="00E47DAC"/>
    <w:rsid w:val="00E54452"/>
    <w:rsid w:val="00E62C95"/>
    <w:rsid w:val="00E63C8A"/>
    <w:rsid w:val="00E70BF6"/>
    <w:rsid w:val="00E711F3"/>
    <w:rsid w:val="00E80760"/>
    <w:rsid w:val="00E8143A"/>
    <w:rsid w:val="00EA4296"/>
    <w:rsid w:val="00EA633A"/>
    <w:rsid w:val="00EB48D5"/>
    <w:rsid w:val="00EE3F94"/>
    <w:rsid w:val="00EE6654"/>
    <w:rsid w:val="00EF36B6"/>
    <w:rsid w:val="00F11C98"/>
    <w:rsid w:val="00F12E47"/>
    <w:rsid w:val="00F130C0"/>
    <w:rsid w:val="00F20E3D"/>
    <w:rsid w:val="00F223B2"/>
    <w:rsid w:val="00F22B00"/>
    <w:rsid w:val="00F42D32"/>
    <w:rsid w:val="00F53241"/>
    <w:rsid w:val="00F53BBD"/>
    <w:rsid w:val="00F66614"/>
    <w:rsid w:val="00F67790"/>
    <w:rsid w:val="00F913AD"/>
    <w:rsid w:val="00FA63AB"/>
    <w:rsid w:val="00FA7C28"/>
    <w:rsid w:val="00FB1A1B"/>
    <w:rsid w:val="00FB2E63"/>
    <w:rsid w:val="00FB645B"/>
    <w:rsid w:val="00FC09D6"/>
    <w:rsid w:val="00FC34EC"/>
    <w:rsid w:val="00FC3F69"/>
    <w:rsid w:val="00FC5312"/>
    <w:rsid w:val="00FD3964"/>
    <w:rsid w:val="00FF4DB4"/>
    <w:rsid w:val="00FF783F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1A50D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51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512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C512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1A50D0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51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512B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C51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D378A-ECD5-4914-949E-26EDEBDEF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User</cp:lastModifiedBy>
  <cp:revision>9</cp:revision>
  <cp:lastPrinted>2018-09-05T12:48:00Z</cp:lastPrinted>
  <dcterms:created xsi:type="dcterms:W3CDTF">2019-03-03T11:00:00Z</dcterms:created>
  <dcterms:modified xsi:type="dcterms:W3CDTF">2019-04-08T10:37:00Z</dcterms:modified>
</cp:coreProperties>
</file>