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302228B9" w:rsidR="000E2036" w:rsidRPr="005832A8" w:rsidRDefault="00225D24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225D24">
        <w:rPr>
          <w:b/>
          <w:sz w:val="22"/>
          <w:szCs w:val="22"/>
          <w:lang w:val="sr-Cyrl-RS"/>
        </w:rPr>
        <w:t>ПОЈЕДНОСТАВЉЕЊЕ ПОСТУПКА ИЗДАВАЊА УТВРЂИВАЊА ПОДОБНОСТИ ЗА УПОТРЕБУ ОБЈЕКAТА У ПОГЛЕДУ СПРОВЕДЕНОСТИ МЕРА ЗАШТИТЕ ОД ПОЖАРА</w:t>
      </w:r>
    </w:p>
    <w:p w14:paraId="2986C640" w14:textId="77777777" w:rsidR="0021261F" w:rsidRPr="005832A8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0E2036" w:rsidRPr="000C64C7" w14:paraId="1976FB87" w14:textId="77777777" w:rsidTr="00F35C33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5832A8" w:rsidRDefault="000E2036" w:rsidP="006114A7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03C78677" w:rsidR="000E2036" w:rsidRPr="005832A8" w:rsidRDefault="00F1459D" w:rsidP="007B44FB">
            <w:pPr>
              <w:pStyle w:val="NormalWeb"/>
              <w:spacing w:before="120" w:after="120"/>
              <w:jc w:val="both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sz w:val="22"/>
                <w:szCs w:val="22"/>
                <w:lang w:val="sr-Cyrl-RS"/>
              </w:rPr>
              <w:t>Утврђивање подобности за употребу објекaта у погледу спроведености мера заштите од пожара</w:t>
            </w:r>
          </w:p>
        </w:tc>
      </w:tr>
      <w:tr w:rsidR="000E2036" w:rsidRPr="005832A8" w14:paraId="7A6AA442" w14:textId="77777777" w:rsidTr="00F35C33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5832A8" w:rsidRDefault="000E2036" w:rsidP="006114A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3F77443" w:rsidR="000E2036" w:rsidRPr="005832A8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EF184B" w:rsidRPr="005832A8">
              <w:rPr>
                <w:bCs/>
                <w:color w:val="000000" w:themeColor="text1"/>
                <w:sz w:val="22"/>
                <w:szCs w:val="22"/>
                <w:lang w:val="sr-Cyrl-RS"/>
              </w:rPr>
              <w:t>57</w:t>
            </w:r>
          </w:p>
        </w:tc>
      </w:tr>
      <w:tr w:rsidR="00275E2A" w:rsidRPr="005832A8" w14:paraId="2CEE52A6" w14:textId="77777777" w:rsidTr="00F35C33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5832A8" w:rsidRDefault="00275E2A" w:rsidP="006114A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832A8" w:rsidRDefault="00275E2A" w:rsidP="006114A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0564AC0" w:rsidR="00092B84" w:rsidRPr="005832A8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832A8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0C64C7" w14:paraId="10DA1CD3" w14:textId="77777777" w:rsidTr="00F35C33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5832A8" w:rsidRDefault="00275E2A" w:rsidP="006114A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832A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832A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</w:tcPr>
          <w:p w14:paraId="032EB40A" w14:textId="4D9EC304" w:rsidR="0021261F" w:rsidRPr="005832A8" w:rsidRDefault="00F67152" w:rsidP="0029761D">
            <w:pPr>
              <w:numPr>
                <w:ilvl w:val="0"/>
                <w:numId w:val="2"/>
              </w:numPr>
              <w:spacing w:before="120" w:after="120"/>
              <w:ind w:left="459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заштити од пожара</w:t>
            </w:r>
            <w:r w:rsidR="0021261F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</w:t>
            </w:r>
            <w:r w:rsidR="00BF0CE2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111/2009, 20/2015, 87/2018-др. закон, 87/2018, 87/2018-др. закон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);</w:t>
            </w:r>
          </w:p>
          <w:p w14:paraId="47B2AB1F" w14:textId="6D2F4052" w:rsidR="00F67152" w:rsidRPr="005832A8" w:rsidRDefault="00F67152" w:rsidP="0029761D">
            <w:pPr>
              <w:numPr>
                <w:ilvl w:val="0"/>
                <w:numId w:val="2"/>
              </w:numPr>
              <w:spacing w:before="120" w:after="120"/>
              <w:ind w:left="5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запаљивим и горивим течностима и запаљивим гасовима (</w:t>
            </w:r>
            <w:r w:rsidR="000C64C7">
              <w:rPr>
                <w:rFonts w:ascii="Times New Roman" w:hAnsi="Times New Roman"/>
                <w:sz w:val="22"/>
                <w:szCs w:val="22"/>
                <w:lang w:val="sr-Cyrl-RS"/>
              </w:rPr>
              <w:t>„Сл. гласник РС“, број 54/2015</w:t>
            </w:r>
            <w:r w:rsidR="005E4EF3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;</w:t>
            </w:r>
          </w:p>
          <w:p w14:paraId="2CCB5DCC" w14:textId="36B061D8" w:rsidR="00645199" w:rsidRPr="005832A8" w:rsidRDefault="00F67152" w:rsidP="000C64C7">
            <w:pPr>
              <w:numPr>
                <w:ilvl w:val="0"/>
                <w:numId w:val="2"/>
              </w:numPr>
              <w:spacing w:before="120" w:after="120"/>
              <w:ind w:left="50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Закон о експлозивним материјама, запаљивим течностима и гасовима („Сл. гласник РС“, бр. 44/1977- 45/1985-</w:t>
            </w:r>
            <w:r w:rsidR="000C64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18/1989,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53</w:t>
            </w:r>
            <w:r w:rsidR="000C64C7">
              <w:rPr>
                <w:rFonts w:ascii="Times New Roman" w:hAnsi="Times New Roman"/>
                <w:sz w:val="22"/>
                <w:szCs w:val="22"/>
                <w:lang w:val="sr-Cyrl-RS"/>
              </w:rPr>
              <w:t>/1993- др. закон, 67/1993 - др. закон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, 48/1994</w:t>
            </w:r>
            <w:r w:rsidR="000C64C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- др. закон, 101/2005- др. закон, 54/2015-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др. закон). </w:t>
            </w:r>
          </w:p>
        </w:tc>
      </w:tr>
      <w:tr w:rsidR="00D73918" w:rsidRPr="000C64C7" w14:paraId="724CF23D" w14:textId="77777777" w:rsidTr="00F35C33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5C1C7443" w:rsidR="00D73918" w:rsidRPr="005832A8" w:rsidRDefault="00D73918" w:rsidP="006114A7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832A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832A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832A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832A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832A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EAC3EC0" w:rsidR="00D73918" w:rsidRPr="005832A8" w:rsidRDefault="00D6595F" w:rsidP="000204CE">
            <w:pPr>
              <w:pStyle w:val="ListParagraph"/>
              <w:numPr>
                <w:ilvl w:val="0"/>
                <w:numId w:val="8"/>
              </w:numPr>
              <w:spacing w:before="120" w:after="120"/>
              <w:ind w:left="45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заштити од пожара („Сл. гласник РС“, бр. </w:t>
            </w:r>
            <w:r w:rsidR="00BF0CE2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111/2009, 20/2015, 87/2018-др. закон, 87/2018, 87/2018-др. закон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C2063" w:rsidRPr="005832A8" w14:paraId="58812BCA" w14:textId="77777777" w:rsidTr="00F35C33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C2063" w:rsidRPr="005832A8" w:rsidRDefault="00DC2063" w:rsidP="00DC2063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</w:tcPr>
          <w:p w14:paraId="19A48B50" w14:textId="2F92443F" w:rsidR="007C3A94" w:rsidRPr="005832A8" w:rsidRDefault="00243C84" w:rsidP="007C3A94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832A8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077151" w:rsidRPr="005832A8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5832A8" w14:paraId="539113B1" w14:textId="77777777" w:rsidTr="00DC2063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832A8" w:rsidRDefault="00275E2A" w:rsidP="0029761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C64C7" w14:paraId="4635A4BE" w14:textId="77777777" w:rsidTr="00DC2063">
        <w:tc>
          <w:tcPr>
            <w:tcW w:w="9060" w:type="dxa"/>
            <w:gridSpan w:val="2"/>
          </w:tcPr>
          <w:p w14:paraId="270D934A" w14:textId="01488977" w:rsidR="0009542A" w:rsidRPr="005832A8" w:rsidRDefault="0021261F" w:rsidP="000E6DB4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ствара значајно административно оптерећење и трошкове привредним друштвима и другим</w:t>
            </w:r>
            <w:r w:rsidR="00EB24FE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правним лицима, </w:t>
            </w:r>
            <w:r w:rsidR="00C15CD9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 разлога што се од привредних субјекта захтева достављање </w:t>
            </w:r>
            <w:r w:rsidR="00F0745C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бројне и обимне </w:t>
            </w:r>
            <w:r w:rsidR="00C15CD9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документације у оригиналу, што значајно увећава трошкове и време потребно за прибављање документације</w:t>
            </w:r>
            <w:r w:rsidR="005832A8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C42844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6A0AD73E" w14:textId="422A1B7C" w:rsidR="0034362D" w:rsidRPr="007B4E6C" w:rsidRDefault="007B4E6C" w:rsidP="009E0A6E">
            <w:pPr>
              <w:spacing w:before="120" w:after="120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="0034362D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оступак утврђивања подобности за </w:t>
            </w:r>
            <w:r w:rsidR="0034362D" w:rsidRPr="007B4E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употребу објекaта у погледу спроведености мера заштите од пожара није </w:t>
            </w:r>
            <w:r w:rsidRPr="007B4E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прописан </w:t>
            </w:r>
            <w:r w:rsidR="0034362D" w:rsidRPr="007B4E6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објекте који се сматрају </w:t>
            </w:r>
            <w:r w:rsidR="0034362D" w:rsidRPr="007B4E6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рударским објектима, постројењима и уређајима. </w:t>
            </w:r>
          </w:p>
          <w:p w14:paraId="4BCB02C2" w14:textId="4237998F" w:rsidR="009E0A6E" w:rsidRPr="005832A8" w:rsidRDefault="009E0A6E" w:rsidP="009E0A6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</w:t>
            </w:r>
            <w:r w:rsidR="005832A8" w:rsidRPr="005832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надлежни орган још увек није омогућио електронско подношење захтева и документације. </w:t>
            </w:r>
          </w:p>
        </w:tc>
      </w:tr>
      <w:tr w:rsidR="00275E2A" w:rsidRPr="005832A8" w14:paraId="31663FC5" w14:textId="77777777" w:rsidTr="00DC2063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5832A8" w:rsidRDefault="00275E2A" w:rsidP="0029761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5832A8" w14:paraId="7C9122B7" w14:textId="77777777" w:rsidTr="00C23C32">
        <w:trPr>
          <w:trHeight w:val="2259"/>
        </w:trPr>
        <w:tc>
          <w:tcPr>
            <w:tcW w:w="9062" w:type="dxa"/>
            <w:shd w:val="clear" w:color="auto" w:fill="auto"/>
          </w:tcPr>
          <w:p w14:paraId="799352E9" w14:textId="7B14D98C" w:rsidR="00AC02D1" w:rsidRPr="005832A8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CD47EC" w:rsidRPr="005832A8" w14:paraId="158799B9" w14:textId="77777777" w:rsidTr="009E0A6E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4EF54B9" w14:textId="77777777" w:rsidR="00CD47EC" w:rsidRPr="005832A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C921ADE" w14:textId="77777777" w:rsidR="00CD47EC" w:rsidRPr="005832A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1D926F" w14:textId="77777777" w:rsidR="00CD47EC" w:rsidRPr="005832A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CD47EC" w:rsidRPr="005832A8" w14:paraId="7D283877" w14:textId="77777777" w:rsidTr="009E0A6E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E21092E" w14:textId="77777777" w:rsidR="00CD47EC" w:rsidRPr="005832A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469DB51" w14:textId="77777777" w:rsidR="00CD47EC" w:rsidRPr="005832A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0F6F59" w14:textId="0AD35D82" w:rsidR="0016592E" w:rsidRPr="005832A8" w:rsidRDefault="00CD47EC" w:rsidP="0016592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2F504B" w14:textId="77777777" w:rsidR="00CD47EC" w:rsidRPr="005832A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2699B" w:rsidRPr="005832A8" w14:paraId="544F4330" w14:textId="77777777" w:rsidTr="0072699B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CD5BF0" w14:textId="17F5296E" w:rsidR="0072699B" w:rsidRPr="005832A8" w:rsidRDefault="0072699B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Утврђивање</w:t>
                  </w:r>
                  <w:r w:rsidRPr="005832A8">
                    <w:rPr>
                      <w:rFonts w:ascii="Times New Roman" w:hAnsi="Times New Roman"/>
                    </w:rPr>
                    <w:t xml:space="preserve"> </w:t>
                  </w: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подобности за употребу који се сматрају рударским објектима, постројењима и уређајима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4D07D0" w14:textId="33431184" w:rsidR="0072699B" w:rsidRPr="005832A8" w:rsidRDefault="0072699B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3199B1" w14:textId="77777777" w:rsidR="0072699B" w:rsidRPr="005832A8" w:rsidRDefault="0072699B" w:rsidP="0016592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E2010E" w14:textId="2F03C368" w:rsidR="0072699B" w:rsidRPr="005832A8" w:rsidRDefault="0072699B" w:rsidP="006C0049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  <w:t>1</w:t>
                  </w:r>
                </w:p>
              </w:tc>
            </w:tr>
            <w:tr w:rsidR="00CD47EC" w:rsidRPr="005832A8" w14:paraId="155282AD" w14:textId="77777777" w:rsidTr="009E0A6E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E623F4" w14:textId="77777777" w:rsidR="00CD47EC" w:rsidRPr="005832A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FDF951" w14:textId="77777777" w:rsidR="00CD47EC" w:rsidRPr="005832A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D47EC" w:rsidRPr="005832A8" w14:paraId="044CEA79" w14:textId="77777777" w:rsidTr="009E0A6E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6BF00E" w14:textId="77777777" w:rsidR="00CD47EC" w:rsidRPr="005832A8" w:rsidRDefault="00CD47EC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Увођење обрасца захтева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E50E51" w14:textId="77777777" w:rsidR="00CD47EC" w:rsidRPr="005832A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633355" w14:textId="77777777" w:rsidR="00CD47EC" w:rsidRPr="005832A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53206" w14:textId="77777777" w:rsidR="00CD47EC" w:rsidRPr="005832A8" w:rsidRDefault="00CD47E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8A0F2D" w:rsidRPr="005832A8" w14:paraId="188718E9" w14:textId="77777777" w:rsidTr="008A0F2D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DC5FE6" w14:textId="0ED97297" w:rsidR="008A0F2D" w:rsidRPr="005832A8" w:rsidRDefault="008A0F2D" w:rsidP="00CD47EC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BF09B6B" w14:textId="77777777" w:rsidR="008A0F2D" w:rsidRPr="005832A8" w:rsidRDefault="008A0F2D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780F23" w:rsidRPr="005832A8" w14:paraId="31A52B44" w14:textId="77777777" w:rsidTr="009E0A6E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CB2D85" w14:textId="50AB3560" w:rsidR="00780F23" w:rsidRPr="005832A8" w:rsidRDefault="00780F23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Елиминација докумен</w:t>
                  </w:r>
                  <w:r w:rsidR="00961C84" w:rsidRPr="005832A8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9E3C6D" w14:textId="77777777" w:rsidR="00780F23" w:rsidRPr="005832A8" w:rsidRDefault="00780F23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811E20" w14:textId="53392773" w:rsidR="00780F23" w:rsidRPr="005832A8" w:rsidRDefault="00780F23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6DAD7B" w14:textId="77777777" w:rsidR="00780F23" w:rsidRPr="005832A8" w:rsidRDefault="00780F23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45202C" w:rsidRPr="005832A8" w14:paraId="6B7781BF" w14:textId="77777777" w:rsidTr="006B1AE5">
              <w:trPr>
                <w:trHeight w:val="28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26B1D9E" w14:textId="532B7E63" w:rsidR="0045202C" w:rsidRPr="005832A8" w:rsidRDefault="0045202C" w:rsidP="00CD47EC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</w:t>
                  </w:r>
                  <w:r w:rsidR="00961C84" w:rsidRPr="005832A8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5C0F1D" w14:textId="77777777" w:rsidR="0045202C" w:rsidRPr="005832A8" w:rsidRDefault="0045202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BCA7C6" w14:textId="55557CA2" w:rsidR="0045202C" w:rsidRPr="005832A8" w:rsidRDefault="0045202C" w:rsidP="00CD47E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7D2168" w14:textId="77777777" w:rsidR="0045202C" w:rsidRPr="005832A8" w:rsidRDefault="0045202C" w:rsidP="00CD47E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8A0F2D" w:rsidRPr="005832A8" w14:paraId="45DEC0E0" w14:textId="77777777" w:rsidTr="006B1AE5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3ADAD2E" w14:textId="3B06393D" w:rsidR="008A0F2D" w:rsidRPr="005832A8" w:rsidRDefault="008A0F2D" w:rsidP="008A0F2D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/>
                      <w:bCs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8D95F34" w14:textId="77777777" w:rsidR="008A0F2D" w:rsidRPr="005832A8" w:rsidRDefault="008A0F2D" w:rsidP="008A0F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262F27" w14:textId="78CEBF0F" w:rsidR="008A0F2D" w:rsidRPr="005832A8" w:rsidRDefault="008A0F2D" w:rsidP="008A0F2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832A8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EB95CE" w14:textId="77777777" w:rsidR="008A0F2D" w:rsidRPr="005832A8" w:rsidRDefault="008A0F2D" w:rsidP="008A0F2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5832A8" w:rsidRDefault="007D39E4" w:rsidP="00B404C0">
            <w:pPr>
              <w:jc w:val="left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5832A8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5832A8" w:rsidRDefault="00FD3964" w:rsidP="002976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0C64C7" w14:paraId="72ECB386" w14:textId="77777777" w:rsidTr="00C23C32">
        <w:tc>
          <w:tcPr>
            <w:tcW w:w="9062" w:type="dxa"/>
          </w:tcPr>
          <w:p w14:paraId="3A8E8CB0" w14:textId="1C198339" w:rsidR="008A20C1" w:rsidRPr="005832A8" w:rsidRDefault="008A20C1" w:rsidP="008A20C1">
            <w:pPr>
              <w:pStyle w:val="NormalWeb"/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</w:p>
          <w:p w14:paraId="15556311" w14:textId="5D09404D" w:rsidR="0072699B" w:rsidRPr="005832A8" w:rsidRDefault="0072699B" w:rsidP="0029761D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337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5832A8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Утврђивање </w:t>
            </w:r>
            <w:r w:rsidRPr="005832A8">
              <w:rPr>
                <w:b/>
                <w:sz w:val="22"/>
                <w:szCs w:val="22"/>
                <w:u w:val="single"/>
                <w:lang w:val="sr-Cyrl-RS"/>
              </w:rPr>
              <w:t xml:space="preserve">подобности за употребу </w:t>
            </w:r>
            <w:r w:rsidR="00617637" w:rsidRPr="005832A8">
              <w:rPr>
                <w:b/>
                <w:sz w:val="22"/>
                <w:szCs w:val="22"/>
                <w:u w:val="single"/>
                <w:lang w:val="sr-Cyrl-RS"/>
              </w:rPr>
              <w:t xml:space="preserve">објеката </w:t>
            </w:r>
            <w:r w:rsidRPr="005832A8">
              <w:rPr>
                <w:b/>
                <w:sz w:val="22"/>
                <w:szCs w:val="22"/>
                <w:u w:val="single"/>
                <w:lang w:val="sr-Cyrl-RS"/>
              </w:rPr>
              <w:t xml:space="preserve">који се сматрају рударским објектима, постројењима и уређајима </w:t>
            </w:r>
          </w:p>
          <w:p w14:paraId="3E6C2713" w14:textId="77777777" w:rsidR="0072699B" w:rsidRPr="005832A8" w:rsidRDefault="0072699B" w:rsidP="0072699B">
            <w:pPr>
              <w:pStyle w:val="NormalWeb"/>
              <w:spacing w:before="0" w:beforeAutospacing="0" w:after="0" w:afterAutospacing="0"/>
              <w:ind w:left="337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7EFE244B" w14:textId="746CE1BC" w:rsidR="00617637" w:rsidRPr="005832A8" w:rsidRDefault="0072699B" w:rsidP="0072699B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>Законом о заштити од пожара („Сл. гласник РС“, бр.</w:t>
            </w:r>
            <w:r w:rsidRPr="005832A8">
              <w:rPr>
                <w:sz w:val="22"/>
                <w:szCs w:val="22"/>
                <w:lang w:val="sr-Cyrl-RS"/>
              </w:rPr>
              <w:t xml:space="preserve"> </w:t>
            </w: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 xml:space="preserve">111/2009, 20/2015, 87/2018-др. закон, 87/2018, 87/2018-др. закон) </w:t>
            </w:r>
            <w:r w:rsidR="00617637" w:rsidRPr="005832A8">
              <w:rPr>
                <w:color w:val="000000" w:themeColor="text1"/>
                <w:sz w:val="22"/>
                <w:szCs w:val="22"/>
                <w:lang w:val="sr-Cyrl-RS"/>
              </w:rPr>
              <w:t>није било прописано да утврђивање подобности за употребу у погледу спроведености мера заштите од пожара предвиђених у техничкој документацији решењем објеката који се у смислу закона којим се уређује рударство сматрају рударским објектима, постројењима и уређајима, утврђује орган државне управе надлежан за заштиту од пожара.</w:t>
            </w: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3AB46195" w14:textId="77777777" w:rsidR="00617637" w:rsidRPr="005832A8" w:rsidRDefault="00617637" w:rsidP="0072699B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F537DBA" w14:textId="4FAB575F" w:rsidR="0072699B" w:rsidRPr="005832A8" w:rsidRDefault="0072699B" w:rsidP="0072699B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5832A8">
              <w:rPr>
                <w:sz w:val="22"/>
                <w:szCs w:val="22"/>
                <w:lang w:val="sr-Cyrl-RS"/>
              </w:rPr>
              <w:t xml:space="preserve">Сходно наведеном потребно је прописати да Министарство унутрашњих послова </w:t>
            </w:r>
            <w:r w:rsidR="00617637" w:rsidRPr="005832A8">
              <w:rPr>
                <w:sz w:val="22"/>
                <w:szCs w:val="22"/>
                <w:lang w:val="sr-Cyrl-RS"/>
              </w:rPr>
              <w:t>утврђује подобност за употребу</w:t>
            </w:r>
            <w:r w:rsidRPr="005832A8">
              <w:rPr>
                <w:sz w:val="22"/>
                <w:szCs w:val="22"/>
                <w:lang w:val="sr-Cyrl-RS"/>
              </w:rPr>
              <w:t xml:space="preserve"> када је реч о објектима који се сматрају рударским објектима, постројењима и уређајима.</w:t>
            </w:r>
          </w:p>
          <w:p w14:paraId="7B43BB3D" w14:textId="77777777" w:rsidR="00617637" w:rsidRPr="005832A8" w:rsidRDefault="00617637" w:rsidP="0072699B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188B8D5E" w14:textId="592EB9B7" w:rsidR="00617637" w:rsidRPr="005832A8" w:rsidRDefault="00617637" w:rsidP="00617637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потребна је измена Закона о заштити од пожара  </w:t>
            </w:r>
            <w:r w:rsidRPr="005832A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(„Сл. гласник РС“, бр.</w:t>
            </w:r>
            <w:r w:rsidRPr="005832A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5832A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 xml:space="preserve">111/2009, 20/2015, 87/2018-др. закон, 87/2018, 87/2018-др. закон). </w:t>
            </w:r>
          </w:p>
          <w:p w14:paraId="249BFD5C" w14:textId="77777777" w:rsidR="0072699B" w:rsidRPr="005832A8" w:rsidRDefault="0072699B" w:rsidP="0072699B">
            <w:pPr>
              <w:pStyle w:val="NormalWeb"/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0EF17893" w14:textId="77777777" w:rsidR="00A343F4" w:rsidRPr="005832A8" w:rsidRDefault="00A343F4" w:rsidP="0029761D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59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5832A8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Образац административног захтева</w:t>
            </w:r>
          </w:p>
          <w:p w14:paraId="2B43491F" w14:textId="77777777" w:rsidR="00A343F4" w:rsidRPr="005832A8" w:rsidRDefault="00A343F4" w:rsidP="00A343F4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3A8B58DF" w14:textId="469C85FD" w:rsidR="00FB7689" w:rsidRPr="005832A8" w:rsidRDefault="00FB7689" w:rsidP="00A343F4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Увођење обрасца захтева</w:t>
            </w:r>
            <w:r w:rsidRPr="005832A8">
              <w:rPr>
                <w:i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  <w:p w14:paraId="659056F6" w14:textId="77777777" w:rsidR="00175FAC" w:rsidRPr="005832A8" w:rsidRDefault="00175FAC" w:rsidP="00175FA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F085CE" w14:textId="668A1D73" w:rsidR="00175FAC" w:rsidRPr="005832A8" w:rsidRDefault="00175FAC" w:rsidP="00175FAC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541DF3A9" w14:textId="77777777" w:rsidR="006865D7" w:rsidRDefault="00780F23" w:rsidP="006865D7">
            <w:pPr>
              <w:pStyle w:val="ListParagraph"/>
              <w:numPr>
                <w:ilvl w:val="0"/>
                <w:numId w:val="3"/>
              </w:numPr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Увођење обрасца за подношење захтева, који ће садржати стандардне елементе обрасца захтева</w:t>
            </w:r>
            <w:r w:rsid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2B848EB7" w14:textId="77777777" w:rsidR="006865D7" w:rsidRPr="006865D7" w:rsidRDefault="006865D7" w:rsidP="00506368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РС, назив и седиште органа, назив организационе јединице, бр. телефона и електронска адреса организационе јединице која спроводи административни поступак;</w:t>
            </w:r>
          </w:p>
          <w:p w14:paraId="1763BD27" w14:textId="77777777" w:rsidR="006865D7" w:rsidRPr="006865D7" w:rsidRDefault="006865D7" w:rsidP="00506368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 xml:space="preserve">Шифру административног поступка или назив обрасца </w:t>
            </w:r>
            <w:r w:rsidRPr="006865D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- </w:t>
            </w: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може да стоји у горњем десном углу обрасца;</w:t>
            </w:r>
          </w:p>
          <w:p w14:paraId="685C3D42" w14:textId="77777777" w:rsidR="006865D7" w:rsidRPr="006865D7" w:rsidRDefault="006865D7" w:rsidP="00506368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 (управна ствар која је предмет поступка);</w:t>
            </w:r>
          </w:p>
          <w:p w14:paraId="35A700BE" w14:textId="77777777" w:rsidR="006865D7" w:rsidRPr="006865D7" w:rsidRDefault="006865D7" w:rsidP="00506368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информација о подносиоцу захтева (Назив, седиште, ПИБ, матични број, адреса електронске поште);</w:t>
            </w:r>
          </w:p>
          <w:p w14:paraId="62D444D9" w14:textId="33DB784F" w:rsidR="006865D7" w:rsidRPr="006865D7" w:rsidRDefault="006865D7" w:rsidP="00506368">
            <w:pPr>
              <w:numPr>
                <w:ilvl w:val="1"/>
                <w:numId w:val="3"/>
              </w:numPr>
              <w:shd w:val="clear" w:color="auto" w:fill="FFFFFF"/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поступак, укључујући и информације, потребне за прибављање података по службеној дужности</w:t>
            </w:r>
            <w:r w:rsidRPr="006865D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;</w:t>
            </w: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04623225" w14:textId="77777777" w:rsidR="006865D7" w:rsidRPr="006865D7" w:rsidRDefault="006865D7" w:rsidP="00506368">
            <w:pPr>
              <w:numPr>
                <w:ilvl w:val="1"/>
                <w:numId w:val="3"/>
              </w:numPr>
              <w:spacing w:before="100" w:beforeAutospacing="1" w:after="100" w:afterAutospacing="1" w:line="259" w:lineRule="auto"/>
              <w:ind w:left="743"/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потребној документацији: </w:t>
            </w:r>
          </w:p>
          <w:p w14:paraId="462A6BD7" w14:textId="77777777" w:rsidR="006865D7" w:rsidRPr="006865D7" w:rsidRDefault="006865D7" w:rsidP="00506368">
            <w:pPr>
              <w:numPr>
                <w:ilvl w:val="0"/>
                <w:numId w:val="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hAnsi="Times New Roman"/>
                <w:sz w:val="22"/>
                <w:szCs w:val="22"/>
                <w:lang w:val="sr-Cyrl-RS"/>
              </w:rPr>
              <w:t>таксативно набројана сва потребна документа</w:t>
            </w:r>
          </w:p>
          <w:p w14:paraId="6477EBFF" w14:textId="77777777" w:rsidR="006865D7" w:rsidRPr="006865D7" w:rsidRDefault="006865D7" w:rsidP="00506368">
            <w:pPr>
              <w:numPr>
                <w:ilvl w:val="0"/>
                <w:numId w:val="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форма докумената (оригинал, копија, оверена копија, копија уз оригинал на увид), </w:t>
            </w:r>
            <w:r w:rsidRPr="006865D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уколико се документација подноси у папиру</w:t>
            </w:r>
          </w:p>
          <w:p w14:paraId="67A58E1F" w14:textId="77777777" w:rsidR="006865D7" w:rsidRPr="006865D7" w:rsidRDefault="006865D7" w:rsidP="00506368">
            <w:pPr>
              <w:numPr>
                <w:ilvl w:val="0"/>
                <w:numId w:val="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hAnsi="Times New Roman"/>
                <w:sz w:val="22"/>
                <w:szCs w:val="22"/>
                <w:lang w:val="sr-Cyrl-RS"/>
              </w:rPr>
              <w:t>издавалац документа</w:t>
            </w:r>
          </w:p>
          <w:p w14:paraId="554A1819" w14:textId="77777777" w:rsidR="006865D7" w:rsidRPr="006865D7" w:rsidRDefault="006865D7" w:rsidP="00506368">
            <w:pPr>
              <w:numPr>
                <w:ilvl w:val="0"/>
                <w:numId w:val="4"/>
              </w:numPr>
              <w:tabs>
                <w:tab w:val="left" w:pos="300"/>
                <w:tab w:val="left" w:pos="1260"/>
              </w:tabs>
              <w:spacing w:before="100" w:beforeAutospacing="1" w:after="100" w:afterAutospacing="1" w:line="259" w:lineRule="auto"/>
              <w:ind w:left="743" w:firstLine="0"/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специфичности у вези документа, ако их има (нпр. број потребних примерака, </w:t>
            </w:r>
            <w:r w:rsidRPr="006865D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 xml:space="preserve">уколико се документација подноси у папиру и у више од једног примерка или нпр. </w:t>
            </w:r>
            <w:r w:rsidRPr="006865D7">
              <w:rPr>
                <w:rFonts w:ascii="Times New Roman" w:hAnsi="Times New Roman"/>
                <w:sz w:val="22"/>
                <w:szCs w:val="22"/>
                <w:lang w:val="sr-Cyrl-RS"/>
              </w:rPr>
              <w:tab/>
              <w:t>документ подносе само привредна друштва и сл.);</w:t>
            </w:r>
          </w:p>
          <w:p w14:paraId="168B52F2" w14:textId="77777777" w:rsidR="006865D7" w:rsidRPr="006865D7" w:rsidRDefault="006865D7" w:rsidP="00506368">
            <w:pPr>
              <w:numPr>
                <w:ilvl w:val="1"/>
                <w:numId w:val="3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79F9DBE9" w14:textId="77777777" w:rsidR="006865D7" w:rsidRPr="006865D7" w:rsidRDefault="006865D7" w:rsidP="00506368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ДА</w:t>
            </w:r>
          </w:p>
          <w:p w14:paraId="01767D39" w14:textId="77777777" w:rsidR="006865D7" w:rsidRPr="006865D7" w:rsidRDefault="006865D7" w:rsidP="00506368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39AEA5AF" w14:textId="77777777" w:rsidR="006865D7" w:rsidRPr="006865D7" w:rsidRDefault="006865D7" w:rsidP="00506368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______________________________________________________________________ _______________________________________________________________________</w:t>
            </w:r>
          </w:p>
          <w:p w14:paraId="7C170A55" w14:textId="77777777" w:rsidR="006865D7" w:rsidRPr="006865D7" w:rsidRDefault="006865D7" w:rsidP="00506368">
            <w:pPr>
              <w:shd w:val="clear" w:color="auto" w:fill="FFFFFF"/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одбацити.</w:t>
            </w:r>
          </w:p>
          <w:p w14:paraId="1AF4496E" w14:textId="77777777" w:rsidR="006865D7" w:rsidRPr="006865D7" w:rsidRDefault="006865D7" w:rsidP="00506368">
            <w:pPr>
              <w:numPr>
                <w:ilvl w:val="1"/>
                <w:numId w:val="3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захтева; </w:t>
            </w:r>
          </w:p>
          <w:p w14:paraId="28B1BFD4" w14:textId="77777777" w:rsidR="006865D7" w:rsidRPr="006865D7" w:rsidRDefault="006865D7" w:rsidP="00506368">
            <w:pPr>
              <w:numPr>
                <w:ilvl w:val="1"/>
                <w:numId w:val="3"/>
              </w:numPr>
              <w:ind w:left="743"/>
              <w:rPr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захтева.</w:t>
            </w:r>
          </w:p>
          <w:p w14:paraId="4618EAB4" w14:textId="77777777" w:rsidR="006865D7" w:rsidRPr="006865D7" w:rsidRDefault="006865D7" w:rsidP="00506368">
            <w:p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4F0C831" w14:textId="77777777" w:rsidR="006865D7" w:rsidRPr="006865D7" w:rsidRDefault="006865D7" w:rsidP="006865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43CE09B" w14:textId="77777777" w:rsidR="006865D7" w:rsidRPr="006865D7" w:rsidRDefault="006865D7" w:rsidP="006865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 образац захтева стоји и писмeна информација о:</w:t>
            </w:r>
          </w:p>
          <w:p w14:paraId="0E818E3A" w14:textId="77777777" w:rsidR="006865D7" w:rsidRPr="006865D7" w:rsidRDefault="006865D7" w:rsidP="006865D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B39FA79" w14:textId="77777777" w:rsidR="006865D7" w:rsidRPr="006865D7" w:rsidRDefault="006865D7" w:rsidP="00506368">
            <w:pPr>
              <w:numPr>
                <w:ilvl w:val="1"/>
                <w:numId w:val="3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Прописаном року за решавање предмета </w:t>
            </w:r>
          </w:p>
          <w:p w14:paraId="1A4ABEAA" w14:textId="77777777" w:rsidR="006865D7" w:rsidRPr="006865D7" w:rsidRDefault="006865D7" w:rsidP="00506368">
            <w:pPr>
              <w:numPr>
                <w:ilvl w:val="1"/>
                <w:numId w:val="3"/>
              </w:numPr>
              <w:ind w:left="7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Финансијским издацима:</w:t>
            </w:r>
          </w:p>
          <w:p w14:paraId="408136E8" w14:textId="77777777" w:rsidR="006865D7" w:rsidRPr="006865D7" w:rsidRDefault="006865D7" w:rsidP="006865D7">
            <w:pPr>
              <w:pStyle w:val="ListParagraph"/>
              <w:numPr>
                <w:ilvl w:val="0"/>
                <w:numId w:val="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Износ издатка</w:t>
            </w:r>
          </w:p>
          <w:p w14:paraId="38243022" w14:textId="77777777" w:rsidR="006865D7" w:rsidRPr="006865D7" w:rsidRDefault="006865D7" w:rsidP="006865D7">
            <w:pPr>
              <w:pStyle w:val="ListParagraph"/>
              <w:numPr>
                <w:ilvl w:val="0"/>
                <w:numId w:val="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Сврха уплате</w:t>
            </w:r>
          </w:p>
          <w:p w14:paraId="5F5757A0" w14:textId="77777777" w:rsidR="006865D7" w:rsidRPr="006865D7" w:rsidRDefault="006865D7" w:rsidP="006865D7">
            <w:pPr>
              <w:pStyle w:val="ListParagraph"/>
              <w:numPr>
                <w:ilvl w:val="0"/>
                <w:numId w:val="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Назив и адреса примаоца </w:t>
            </w:r>
          </w:p>
          <w:p w14:paraId="34C975B5" w14:textId="77777777" w:rsidR="006865D7" w:rsidRPr="006865D7" w:rsidRDefault="006865D7" w:rsidP="006865D7">
            <w:pPr>
              <w:pStyle w:val="ListParagraph"/>
              <w:numPr>
                <w:ilvl w:val="0"/>
                <w:numId w:val="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рачуна</w:t>
            </w:r>
          </w:p>
          <w:p w14:paraId="2FB57FC4" w14:textId="77777777" w:rsidR="006865D7" w:rsidRPr="006865D7" w:rsidRDefault="006865D7" w:rsidP="006865D7">
            <w:pPr>
              <w:pStyle w:val="ListParagraph"/>
              <w:numPr>
                <w:ilvl w:val="0"/>
                <w:numId w:val="4"/>
              </w:numPr>
              <w:ind w:left="1276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865D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Модел и позив на број</w:t>
            </w:r>
          </w:p>
          <w:p w14:paraId="19CBD99B" w14:textId="77777777" w:rsidR="006865D7" w:rsidRDefault="006865D7" w:rsidP="006865D7">
            <w:pPr>
              <w:pStyle w:val="ListParagraph"/>
              <w:spacing w:before="100" w:beforeAutospacing="1" w:afterAutospacing="1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13327A5" w14:textId="77777777" w:rsidR="00CC48FF" w:rsidRPr="005832A8" w:rsidRDefault="00CC48FF" w:rsidP="0029761D">
            <w:pPr>
              <w:pStyle w:val="ListParagraph"/>
              <w:numPr>
                <w:ilvl w:val="0"/>
                <w:numId w:val="3"/>
              </w:numPr>
              <w:spacing w:before="100" w:beforeAutospacing="1" w:afterAutospacing="1"/>
              <w:ind w:left="390" w:hanging="214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0284C275" w14:textId="77777777" w:rsidR="00CC48FF" w:rsidRPr="005832A8" w:rsidRDefault="00CC48FF" w:rsidP="00CC48FF">
            <w:pPr>
              <w:pStyle w:val="ListParagraph"/>
              <w:ind w:left="39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28F4F11" w14:textId="363C3E29" w:rsidR="00833F48" w:rsidRPr="005832A8" w:rsidRDefault="00833F48" w:rsidP="00833F48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 </w:t>
            </w:r>
            <w:r w:rsidRPr="005832A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</w:t>
            </w:r>
            <w:r w:rsidR="00CC48FF" w:rsidRPr="005832A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>потребна</w:t>
            </w:r>
            <w:r w:rsidRPr="005832A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измена прописа. </w:t>
            </w:r>
          </w:p>
          <w:p w14:paraId="4EB4912D" w14:textId="7F0888D0" w:rsidR="00175FAC" w:rsidRPr="005832A8" w:rsidRDefault="00175FAC" w:rsidP="00175FAC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62A7E2E8" w14:textId="5DB8B891" w:rsidR="008A0F2D" w:rsidRPr="005832A8" w:rsidRDefault="008A0F2D" w:rsidP="0029761D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5832A8">
              <w:rPr>
                <w:b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5200E383" w14:textId="77777777" w:rsidR="008A0F2D" w:rsidRPr="005832A8" w:rsidRDefault="008A0F2D" w:rsidP="008A0F2D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7B6CCA2D" w14:textId="77777777" w:rsidR="008A0F2D" w:rsidRPr="005832A8" w:rsidRDefault="008A0F2D" w:rsidP="008A0F2D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i/>
                <w:sz w:val="22"/>
                <w:szCs w:val="22"/>
                <w:lang w:val="sr-Cyrl-RS"/>
              </w:rPr>
            </w:pPr>
            <w:r w:rsidRPr="005832A8">
              <w:rPr>
                <w:b/>
                <w:i/>
                <w:sz w:val="22"/>
                <w:szCs w:val="22"/>
                <w:lang w:val="sr-Cyrl-RS"/>
              </w:rPr>
              <w:t>Елиминација документације</w:t>
            </w:r>
          </w:p>
          <w:p w14:paraId="179515FD" w14:textId="77777777" w:rsidR="008A0F2D" w:rsidRPr="005832A8" w:rsidRDefault="008A0F2D" w:rsidP="008A0F2D">
            <w:pPr>
              <w:pStyle w:val="NormalWeb"/>
              <w:spacing w:before="0" w:beforeAutospacing="0" w:after="0" w:afterAutospacing="0"/>
              <w:ind w:left="99"/>
              <w:jc w:val="both"/>
              <w:rPr>
                <w:i/>
                <w:sz w:val="22"/>
                <w:szCs w:val="22"/>
                <w:lang w:val="sr-Cyrl-RS"/>
              </w:rPr>
            </w:pPr>
          </w:p>
          <w:p w14:paraId="4D794547" w14:textId="77777777" w:rsidR="008A0F2D" w:rsidRPr="005832A8" w:rsidRDefault="008A0F2D" w:rsidP="0029761D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601"/>
              <w:rPr>
                <w:rFonts w:eastAsiaTheme="minorHAnsi"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Документ 1: Захтев за технички пријем објеката односно технички пријем инсталација и уређаја</w:t>
            </w:r>
          </w:p>
          <w:p w14:paraId="4063A1BD" w14:textId="77777777" w:rsidR="008A0F2D" w:rsidRPr="005832A8" w:rsidRDefault="008A0F2D" w:rsidP="008A0F2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832A8">
              <w:rPr>
                <w:sz w:val="22"/>
                <w:szCs w:val="22"/>
                <w:lang w:val="sr-Cyrl-RS"/>
              </w:rPr>
              <w:lastRenderedPageBreak/>
              <w:t xml:space="preserve">Како се захтев подноси у слободној форми, те како је дата препорука да се за захтев уведе стандардна форма обрасца (видети тачку 3.1), то се предлаже елиминација документа захтева који у слободној форми сачињава подносилац. </w:t>
            </w:r>
          </w:p>
          <w:p w14:paraId="4940AD8C" w14:textId="77777777" w:rsidR="008A0F2D" w:rsidRPr="005832A8" w:rsidRDefault="008A0F2D" w:rsidP="008A0F2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5832A8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5832A8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514E9E30" w14:textId="77777777" w:rsidR="008A0F2D" w:rsidRPr="005832A8" w:rsidRDefault="008A0F2D" w:rsidP="008A0F2D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50177878" w14:textId="5B8A4534" w:rsidR="008A0F2D" w:rsidRPr="005832A8" w:rsidRDefault="008A0F2D" w:rsidP="008A0F2D">
            <w:pPr>
              <w:pStyle w:val="NormalWeb"/>
              <w:spacing w:before="0" w:beforeAutospacing="0" w:after="0" w:afterAutospacing="0"/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докумената</w:t>
            </w:r>
            <w:r w:rsidR="00961C84" w:rsidRPr="005832A8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2F75760D" w14:textId="3EBC554A" w:rsidR="008A0F2D" w:rsidRPr="005832A8" w:rsidRDefault="008A0F2D" w:rsidP="008A0F2D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5832A8">
              <w:rPr>
                <w:rFonts w:eastAsia="Calibri"/>
                <w:sz w:val="22"/>
                <w:szCs w:val="22"/>
                <w:lang w:val="sr-Cyrl-RS"/>
              </w:rPr>
              <w:t>У обрасцу е пописа наведено је да се сва документација у поступку доставља у оригиналу. Како се ради о документацији која је претежно стручна и којом се доказује спроведеност мера заштите од пожара, то достављање оригинала документације која у зависности од врсте објеката може бити обимна и чије прибављање изискује значајне фина</w:t>
            </w:r>
            <w:r w:rsidR="00E70F4D" w:rsidRPr="005832A8">
              <w:rPr>
                <w:rFonts w:eastAsia="Calibri"/>
                <w:sz w:val="22"/>
                <w:szCs w:val="22"/>
                <w:lang w:val="sr-Cyrl-RS"/>
              </w:rPr>
              <w:t>н</w:t>
            </w:r>
            <w:r w:rsidRPr="005832A8">
              <w:rPr>
                <w:rFonts w:eastAsia="Calibri"/>
                <w:sz w:val="22"/>
                <w:szCs w:val="22"/>
                <w:lang w:val="sr-Cyrl-RS"/>
              </w:rPr>
              <w:t xml:space="preserve">сијске издатке и време, предлаже се подношење следећих докумената у копији, уз оригинал на увид, што значајно смањује трошкове привредним субјектима: </w:t>
            </w:r>
          </w:p>
          <w:p w14:paraId="483E9E20" w14:textId="77777777" w:rsidR="008A0F2D" w:rsidRPr="005832A8" w:rsidRDefault="008A0F2D" w:rsidP="00AA4546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59" w:hanging="412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>Докази којима се потврђује да је објекат изграђен у складу са техничком документацијом на коју је дата сагласност</w:t>
            </w:r>
          </w:p>
          <w:p w14:paraId="2544FD74" w14:textId="77777777" w:rsidR="008A0F2D" w:rsidRPr="005832A8" w:rsidRDefault="008A0F2D" w:rsidP="002976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59" w:hanging="412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 xml:space="preserve">Докази о карактеристикама конструкција и елемената конструкција са посебним карактеристикама према пожару и експлозији </w:t>
            </w:r>
          </w:p>
          <w:p w14:paraId="62BC1E16" w14:textId="77777777" w:rsidR="008A0F2D" w:rsidRPr="005832A8" w:rsidRDefault="008A0F2D" w:rsidP="002976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59" w:hanging="412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>Докази о карактеристикама опреме, уређаја и инсталација са посебним карактеристикама према пожару и експлозији</w:t>
            </w:r>
          </w:p>
          <w:p w14:paraId="65DB0EC0" w14:textId="77777777" w:rsidR="008A0F2D" w:rsidRPr="005832A8" w:rsidRDefault="008A0F2D" w:rsidP="002976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59" w:hanging="412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>Докази о карактеристикама материјала за ентеријер и инсталација за које се постављају посебни захтеви у погледу карактеристика према пожару, материјалима који се користе или складиште у технолошком процесу</w:t>
            </w:r>
          </w:p>
          <w:p w14:paraId="1FD1D702" w14:textId="77777777" w:rsidR="008A0F2D" w:rsidRPr="005832A8" w:rsidRDefault="008A0F2D" w:rsidP="002976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59" w:hanging="412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 xml:space="preserve">Докази о извршеним мерењима и прегледу изведених машинских, водоводних и електричних инсталација и уређаја </w:t>
            </w:r>
          </w:p>
          <w:p w14:paraId="503239D9" w14:textId="77777777" w:rsidR="008A0F2D" w:rsidRPr="005832A8" w:rsidRDefault="008A0F2D" w:rsidP="002976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59" w:hanging="412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>Докази о исправном функционисању и деловању изведених посебних система и мера заштите од пожара и контролисању ових система,инсталација хидрантске мреже и мобилних уређаја за гашење пожара</w:t>
            </w:r>
          </w:p>
          <w:p w14:paraId="31E216AB" w14:textId="77777777" w:rsidR="008A0F2D" w:rsidRPr="005832A8" w:rsidRDefault="008A0F2D" w:rsidP="002976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59" w:hanging="412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>Други докази утврђени законом, техничким прописима, стандардима и упутствима произвођача, којима се потврђује испуњеност захтева заштите од пожара и екслпозија</w:t>
            </w:r>
          </w:p>
          <w:p w14:paraId="498C79FC" w14:textId="1D41B0A5" w:rsidR="008A0F2D" w:rsidRPr="005832A8" w:rsidRDefault="008A0F2D" w:rsidP="0029761D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59" w:hanging="412"/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5832A8">
              <w:rPr>
                <w:color w:val="000000" w:themeColor="text1"/>
                <w:sz w:val="22"/>
                <w:szCs w:val="22"/>
              </w:rPr>
              <w:t>Пуномоћје</w:t>
            </w:r>
            <w:proofErr w:type="spellEnd"/>
            <w:r w:rsidRPr="005832A8">
              <w:rPr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5832A8">
              <w:rPr>
                <w:color w:val="000000" w:themeColor="text1"/>
                <w:sz w:val="22"/>
                <w:szCs w:val="22"/>
              </w:rPr>
              <w:t>овлашћење</w:t>
            </w:r>
            <w:proofErr w:type="spellEnd"/>
            <w:r w:rsidR="00CB5250" w:rsidRPr="005832A8">
              <w:rPr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447238E1" w14:textId="77777777" w:rsidR="008A0F2D" w:rsidRPr="005832A8" w:rsidRDefault="008A0F2D" w:rsidP="008A0F2D">
            <w:pPr>
              <w:pStyle w:val="NormalWeb"/>
              <w:spacing w:before="0" w:beforeAutospacing="0" w:after="0" w:afterAutospacing="0"/>
              <w:ind w:left="459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6CFCEF7F" w14:textId="4A203EB6" w:rsidR="008A0F2D" w:rsidRPr="005832A8" w:rsidRDefault="008A0F2D" w:rsidP="008A0F2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color w:val="000000" w:themeColor="text1"/>
                <w:sz w:val="22"/>
                <w:szCs w:val="22"/>
                <w:lang w:val="sr-Cyrl-RS"/>
              </w:rPr>
              <w:t xml:space="preserve">Достављање документације у форми копије уз оригинал на увид примењиваће се до успостављања дигитализације поступка, када ће се подношење захтева и достављање документације уз захтев спроводити електронским путем (уколико надлежни органи прихвате предлог за дигитализацију овог поступка). </w:t>
            </w:r>
          </w:p>
          <w:p w14:paraId="3E7CBA39" w14:textId="77777777" w:rsidR="008A0F2D" w:rsidRPr="005832A8" w:rsidRDefault="008A0F2D" w:rsidP="008A0F2D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F54CBF8" w14:textId="13D703B9" w:rsidR="008A0F2D" w:rsidRPr="005832A8" w:rsidRDefault="008A0F2D" w:rsidP="0029761D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both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b/>
                <w:color w:val="000000" w:themeColor="text1"/>
                <w:sz w:val="22"/>
                <w:szCs w:val="22"/>
                <w:lang w:val="sr-Cyrl-RS"/>
              </w:rPr>
              <w:t>Документа 2 и 3: Доказ о уплати републичке административне таксе за захтев и доказ о уплати републичке административне таксе за решење из области заштите од пожара које се доноси по захтеву за технички пријем објеката према бруто површини односно технички пријем инсталација и уређаја</w:t>
            </w:r>
          </w:p>
          <w:p w14:paraId="2801D19C" w14:textId="29992EC7" w:rsidR="00A57C15" w:rsidRPr="005832A8" w:rsidRDefault="00A57C15" w:rsidP="00A57C1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6C0049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68D3184C" w14:textId="235AB7B2" w:rsidR="00A57C15" w:rsidRPr="005832A8" w:rsidRDefault="00A57C15" w:rsidP="00A57C1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5832A8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</w:t>
            </w:r>
            <w:r w:rsidR="003C28DC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доказ о уплати таксе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2B2AE272" w14:textId="77777777" w:rsidR="008A0F2D" w:rsidRPr="005832A8" w:rsidRDefault="008A0F2D" w:rsidP="008A0F2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A850064" w14:textId="77777777" w:rsidR="008A0F2D" w:rsidRPr="005832A8" w:rsidRDefault="008A0F2D" w:rsidP="008A0F2D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2CF2013B" w14:textId="43F7ED6C" w:rsidR="00780F23" w:rsidRPr="005832A8" w:rsidRDefault="008A0F2D" w:rsidP="0029761D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5832A8">
              <w:rPr>
                <w:b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5B25FB50" w14:textId="77777777" w:rsidR="00780F23" w:rsidRPr="005832A8" w:rsidRDefault="00780F23" w:rsidP="00780F23">
            <w:pPr>
              <w:pStyle w:val="NormalWeb"/>
              <w:spacing w:before="0" w:beforeAutospacing="0" w:after="0" w:afterAutospacing="0"/>
              <w:ind w:left="99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BA4D88E" w14:textId="77777777" w:rsidR="008A0F2D" w:rsidRPr="005832A8" w:rsidRDefault="008A0F2D" w:rsidP="008A0F2D">
            <w:pPr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lastRenderedPageBreak/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  <w:r w:rsidRPr="005832A8"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  <w:t xml:space="preserve"> </w:t>
            </w:r>
          </w:p>
          <w:p w14:paraId="0E14A2CB" w14:textId="77777777" w:rsidR="008A0F2D" w:rsidRPr="005832A8" w:rsidRDefault="008A0F2D" w:rsidP="008A0F2D">
            <w:pPr>
              <w:rPr>
                <w:rFonts w:ascii="Times New Roman" w:eastAsia="Times New Roman" w:hAnsi="Times New Roman"/>
                <w:color w:val="00B050"/>
                <w:sz w:val="22"/>
                <w:szCs w:val="22"/>
                <w:lang w:val="sr-Cyrl-RS"/>
              </w:rPr>
            </w:pPr>
          </w:p>
          <w:p w14:paraId="48B60C1B" w14:textId="77777777" w:rsidR="008A0F2D" w:rsidRPr="005832A8" w:rsidRDefault="008A0F2D" w:rsidP="008A0F2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Потребно је обезбедити техничке предуслове за спровођење ове препоруке. </w:t>
            </w:r>
          </w:p>
          <w:p w14:paraId="0AFB30CB" w14:textId="77777777" w:rsidR="008A0F2D" w:rsidRPr="005832A8" w:rsidRDefault="008A0F2D" w:rsidP="008A0F2D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5832A8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5832A8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5832A8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DEC725F" w14:textId="24FB95A0" w:rsidR="008A0F2D" w:rsidRPr="005832A8" w:rsidRDefault="008A0F2D" w:rsidP="008A0F2D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0C64C7" w14:paraId="675008AD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7DB0162F" w14:textId="77777777" w:rsidR="00275E2A" w:rsidRPr="005832A8" w:rsidRDefault="00275E2A" w:rsidP="002976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5832A8">
              <w:rPr>
                <w:b/>
                <w:sz w:val="22"/>
                <w:szCs w:val="22"/>
                <w:lang w:val="sr-Cyrl-RS"/>
              </w:rPr>
              <w:t>У</w:t>
            </w:r>
            <w:r w:rsidRPr="005832A8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5832A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832A8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5832A8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32540" w:rsidRPr="000C64C7" w14:paraId="243310FD" w14:textId="77777777" w:rsidTr="00275E2A">
        <w:tc>
          <w:tcPr>
            <w:tcW w:w="9062" w:type="dxa"/>
          </w:tcPr>
          <w:p w14:paraId="2125AF8D" w14:textId="77777777" w:rsidR="00290D83" w:rsidRPr="005832A8" w:rsidRDefault="00290D83" w:rsidP="007C3A94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</w:t>
            </w:r>
          </w:p>
          <w:p w14:paraId="79CDED14" w14:textId="77777777" w:rsidR="00B85C0B" w:rsidRPr="005832A8" w:rsidRDefault="00863EFB" w:rsidP="00B85C0B">
            <w:pPr>
              <w:spacing w:before="120" w:after="120"/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НАЦРТ </w:t>
            </w:r>
          </w:p>
          <w:p w14:paraId="38764BCD" w14:textId="6C0D073B" w:rsidR="007C3A94" w:rsidRPr="005832A8" w:rsidRDefault="00863EFB" w:rsidP="00B85C0B">
            <w:pPr>
              <w:spacing w:before="120"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ИЗМЕНАМА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ДОПУНАМА</w:t>
            </w:r>
            <w:r w:rsidR="00B85C0B"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ЗАШТИТИ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ОД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ПОЖАРА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</w:p>
          <w:p w14:paraId="2D46D117" w14:textId="77777777" w:rsidR="007C3A94" w:rsidRPr="005832A8" w:rsidRDefault="007C3A94" w:rsidP="00B85C0B">
            <w:pPr>
              <w:spacing w:before="120" w:after="120"/>
              <w:ind w:firstLine="708"/>
              <w:rPr>
                <w:rFonts w:ascii="Times New Roman" w:hAnsi="Times New Roman"/>
                <w:color w:val="00B0F0"/>
                <w:sz w:val="22"/>
                <w:szCs w:val="22"/>
                <w:lang w:val="sr-Latn-RS"/>
              </w:rPr>
            </w:pPr>
          </w:p>
          <w:p w14:paraId="545F8454" w14:textId="5D75182F" w:rsidR="00290D83" w:rsidRPr="005832A8" w:rsidRDefault="00290D83" w:rsidP="00290D83">
            <w:pPr>
              <w:spacing w:before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B85C0B"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1.</w:t>
            </w:r>
          </w:p>
          <w:p w14:paraId="10D01C20" w14:textId="0D10671C" w:rsidR="007C3A94" w:rsidRPr="005832A8" w:rsidRDefault="007C3A94" w:rsidP="00863EFB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="00863EFB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Закону о заштити од пожара („Сл. гласник РС“, бр. 111/2009, 20/2015, 87/2018-др. закон, 87/2018, 87/2018-др. закон) у 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члану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36. </w:t>
            </w:r>
            <w:r w:rsidR="00863EFB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после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става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6.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додаје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се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нови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став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7.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који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гласи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>:</w:t>
            </w:r>
          </w:p>
          <w:p w14:paraId="1AD3B704" w14:textId="77777777" w:rsidR="007C3A94" w:rsidRPr="005832A8" w:rsidRDefault="007C3A94" w:rsidP="007C3A94">
            <w:pPr>
              <w:rPr>
                <w:rFonts w:ascii="Times New Roman" w:hAnsi="Times New Roman"/>
                <w:sz w:val="22"/>
                <w:szCs w:val="22"/>
                <w:lang w:val="sr-Latn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>„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Када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су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предмет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техничког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прегледа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објекти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члана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33.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34. </w:t>
            </w:r>
            <w:proofErr w:type="spellStart"/>
            <w:proofErr w:type="gramStart"/>
            <w:r w:rsidRPr="005832A8">
              <w:rPr>
                <w:rFonts w:ascii="Times New Roman" w:hAnsi="Times New Roman"/>
                <w:sz w:val="22"/>
                <w:szCs w:val="22"/>
              </w:rPr>
              <w:t>овог</w:t>
            </w:r>
            <w:proofErr w:type="spellEnd"/>
            <w:proofErr w:type="gram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закона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који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смислу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закона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којим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уређује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рударство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сматрају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рударским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објектима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постројењима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уређајима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подобност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објеката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употребу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погледу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спроведености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мера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заштите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пожара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предвиђених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техничкој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решењем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утврђује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орган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државне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управе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надлежан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за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заштиту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од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proofErr w:type="spellStart"/>
            <w:r w:rsidRPr="005832A8">
              <w:rPr>
                <w:rFonts w:ascii="Times New Roman" w:hAnsi="Times New Roman"/>
                <w:sz w:val="22"/>
                <w:szCs w:val="22"/>
              </w:rPr>
              <w:t>пожара</w:t>
            </w:r>
            <w:proofErr w:type="spellEnd"/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>.“</w:t>
            </w:r>
          </w:p>
          <w:p w14:paraId="26E20B49" w14:textId="77777777" w:rsidR="00863EFB" w:rsidRPr="005832A8" w:rsidRDefault="00863EFB" w:rsidP="007C3A94">
            <w:pPr>
              <w:rPr>
                <w:rFonts w:ascii="Times New Roman" w:hAnsi="Times New Roman"/>
                <w:color w:val="00B0F0"/>
                <w:sz w:val="22"/>
                <w:szCs w:val="22"/>
                <w:lang w:val="sr-Latn-RS"/>
              </w:rPr>
            </w:pPr>
          </w:p>
          <w:p w14:paraId="48D7A88A" w14:textId="101CE11C" w:rsidR="00863EFB" w:rsidRPr="005832A8" w:rsidRDefault="00863EFB" w:rsidP="007C3A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Досад</w:t>
            </w:r>
            <w:r w:rsidR="00521B68"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а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шњи став 7. постаје став 8. </w:t>
            </w:r>
          </w:p>
          <w:p w14:paraId="67824770" w14:textId="77777777" w:rsidR="00290D83" w:rsidRPr="005832A8" w:rsidRDefault="00290D83" w:rsidP="007C3A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81B806A" w14:textId="23EECBE5" w:rsidR="00290D83" w:rsidRPr="005832A8" w:rsidRDefault="00290D83" w:rsidP="00290D83">
            <w:pPr>
              <w:spacing w:before="12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Члан </w:t>
            </w:r>
            <w:r w:rsidR="00B85C0B"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2.</w:t>
            </w:r>
          </w:p>
          <w:p w14:paraId="621A2C63" w14:textId="77777777" w:rsidR="00290D83" w:rsidRPr="005832A8" w:rsidRDefault="00290D83" w:rsidP="00290D83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Овај закон ступа на снагу осмог дана од дана објављивања у „Службеном гласнику Републике Србије”. </w:t>
            </w:r>
          </w:p>
          <w:p w14:paraId="694F59C0" w14:textId="77777777" w:rsidR="006F4A5C" w:rsidRPr="005832A8" w:rsidRDefault="006F4A5C" w:rsidP="001A6472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632540" w:rsidRPr="000C64C7" w14:paraId="1251D6FF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1F8583" w14:textId="77777777" w:rsidR="00632540" w:rsidRPr="005832A8" w:rsidRDefault="00632540" w:rsidP="002976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32540" w:rsidRPr="000C64C7" w14:paraId="585359C0" w14:textId="77777777" w:rsidTr="000B54D7">
        <w:trPr>
          <w:trHeight w:val="708"/>
        </w:trPr>
        <w:tc>
          <w:tcPr>
            <w:tcW w:w="9062" w:type="dxa"/>
          </w:tcPr>
          <w:p w14:paraId="68B1B765" w14:textId="77777777" w:rsidR="003651DB" w:rsidRPr="005832A8" w:rsidRDefault="003651DB" w:rsidP="003651DB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</w:p>
          <w:p w14:paraId="64ACB20E" w14:textId="77777777" w:rsidR="00B37E3D" w:rsidRPr="005832A8" w:rsidRDefault="00B37E3D" w:rsidP="00B37E3D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>1</w:t>
            </w:r>
          </w:p>
          <w:p w14:paraId="5037B25B" w14:textId="77777777" w:rsidR="00B37E3D" w:rsidRPr="005832A8" w:rsidRDefault="00B37E3D" w:rsidP="00B37E3D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49E677DB" w14:textId="77777777" w:rsidR="00B37E3D" w:rsidRPr="005832A8" w:rsidRDefault="00B37E3D" w:rsidP="00B37E3D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5832A8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sr-Cyrl-RS"/>
              </w:rPr>
              <w:t>ПРЕГЛЕД ОДРЕДБИ</w:t>
            </w:r>
            <w:r w:rsidRPr="005832A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ЗАКОНА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ИЗМЕНАМА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И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ДОПУНАМА</w:t>
            </w:r>
          </w:p>
          <w:p w14:paraId="7C750E38" w14:textId="2990F3BD" w:rsidR="00B37E3D" w:rsidRPr="005832A8" w:rsidRDefault="00B37E3D" w:rsidP="00B37E3D">
            <w:pPr>
              <w:spacing w:after="12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</w:pP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</w:rPr>
              <w:t>ЗАКОНА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</w:rPr>
              <w:t>О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</w:rPr>
              <w:t>ЗАШТИТИ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</w:rPr>
              <w:t>ОД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eastAsia="Times New Roman" w:hAnsi="Times New Roman"/>
                <w:b/>
                <w:sz w:val="22"/>
                <w:szCs w:val="22"/>
              </w:rPr>
              <w:t>ПОЖАРА</w:t>
            </w:r>
          </w:p>
          <w:p w14:paraId="2F02BB5F" w14:textId="31AF62B8" w:rsidR="0072699B" w:rsidRPr="005832A8" w:rsidRDefault="0072699B" w:rsidP="00B37E3D">
            <w:pPr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Подобност објекта за употребу</w:t>
            </w:r>
          </w:p>
          <w:p w14:paraId="67F986F0" w14:textId="770C0D7E" w:rsidR="0072699B" w:rsidRPr="005832A8" w:rsidRDefault="0072699B" w:rsidP="0072699B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/>
              </w:rPr>
              <w:t>Члан 36.</w:t>
            </w:r>
          </w:p>
          <w:p w14:paraId="6ABA9FFE" w14:textId="417E831A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Када је предмет техничког прегледа у смислу закона којим се уређује изградња објекат из члана 34. овог закона, члан комисије за технички преглед који утврђује подобност објекта за употребу у погледу спроведености мера заштите од пожара предвиђених у техничкој документацији је лице са лиценцом запослено у органу државне управе надлежном за послове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lastRenderedPageBreak/>
              <w:t>заштите од пожара овлашћено за доношење решења у делокругу рада. За потребе овог лица техничке послове обављају стручне особе запослене у органу државне управе надлежном за послове заштите од пожара.</w:t>
            </w:r>
          </w:p>
          <w:p w14:paraId="1498C850" w14:textId="09C38F90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Одредбе става 1. овог члана примењују се и на поједине објекте из члана 33. и то:</w:t>
            </w:r>
          </w:p>
          <w:p w14:paraId="44497443" w14:textId="7DC09E24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1) стамбене, стамбено-пословне и пословне објекте, а који спадају у високе објекте у складу са посебним прописом;</w:t>
            </w:r>
          </w:p>
          <w:p w14:paraId="50FE07F4" w14:textId="7E114EFD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2) зграде за становање заједница, хотеле, мотеле, ресторане и објекте за трговину на велико и мало, површине преко 2.000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²;</w:t>
            </w:r>
          </w:p>
          <w:p w14:paraId="3C83FEC5" w14:textId="479ADC53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3) ноћне клубове и сличне угоститељске објекте;</w:t>
            </w:r>
          </w:p>
          <w:p w14:paraId="2ED1B152" w14:textId="65328355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4) друге објекте јавне намене површине преко 500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²;</w:t>
            </w:r>
          </w:p>
          <w:p w14:paraId="3D8C63E4" w14:textId="3DE0C8F4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5) велике самосталне гараже;</w:t>
            </w:r>
          </w:p>
          <w:p w14:paraId="4DE0F825" w14:textId="126CB070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6) објекте у којима се производе, прерађују и складиште хемикалије које могу изазвати пожар или експлозију или угрозити здравље и безбедност људи и материјалних добара;</w:t>
            </w:r>
          </w:p>
          <w:p w14:paraId="4A9C86DF" w14:textId="5AB0D658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7) објекте у чијим се погонима производе, прерађују или обрађују чврсте запаљиве материје, при чему настају експлозивне смеше гасова, пара и прашине;</w:t>
            </w:r>
          </w:p>
          <w:p w14:paraId="71EEF446" w14:textId="3CE72C38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8) станице за снабдевање горивом моторних возила или пловила на сопствени погон, складишног капацитета до 500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³ запаљивих течности;</w:t>
            </w:r>
          </w:p>
          <w:p w14:paraId="771E0468" w14:textId="6795CA6B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9) индустријске објекте површине преко 3.000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² и складишне објекте површине преко 1.500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², као и сва високорегална складишта;</w:t>
            </w:r>
          </w:p>
          <w:p w14:paraId="559C0809" w14:textId="648D0B20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10) електроенергетска постројења називног напона од 35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kV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 и трафо-станице на отвореном снаге преко 10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MVA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;</w:t>
            </w:r>
          </w:p>
          <w:p w14:paraId="5DED1DA8" w14:textId="5CDBC4B9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11) нафтоводе, продуктоводе и гасоводе који нису обухваћени чланом 34</w:t>
            </w:r>
            <w:r w:rsidR="001301B0"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. став 1. тачка 1) овог закона;</w:t>
            </w:r>
          </w:p>
          <w:p w14:paraId="6C978E72" w14:textId="59802847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12) објекте за складиштење експлозивних материја до 1.000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kg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;</w:t>
            </w:r>
          </w:p>
          <w:p w14:paraId="0D409225" w14:textId="2D5F8720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13) слободностојеће котларнице снаге преко 300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kW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;</w:t>
            </w:r>
          </w:p>
          <w:p w14:paraId="01334A1F" w14:textId="6B533DB3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14) објекте базне и прерађивачке хемијске индустрије, црне и обојене металургије, објекте за прераду каучука, објекте за производњу целулозе и папира, објекте за прераду неметаличних минералних сировина и објекте за производњу биодизела;</w:t>
            </w:r>
          </w:p>
          <w:p w14:paraId="27AF2EFA" w14:textId="18BFA92C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15) објекте казнено-поправних установа;</w:t>
            </w:r>
          </w:p>
          <w:p w14:paraId="06A9EAA4" w14:textId="558E9900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16) стадиони од 1.000 до 20.000 гледалаца;</w:t>
            </w:r>
          </w:p>
          <w:p w14:paraId="3F9B4EF0" w14:textId="747CE2CE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 xml:space="preserve">17) трафостанице напона од 35 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kV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;</w:t>
            </w:r>
          </w:p>
          <w:p w14:paraId="4430159B" w14:textId="43928B4B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18) културна добра од изузетног значаја и објекте у њиховој заштићеној околини и културна добра уписана у Листу светске културне баштине (осим претварања заједничких просторија у стан односно пословни простор у заштићеној околини културних добара од изузетног значаја и културних добара уписаних у Листу светске културне баштине);</w:t>
            </w:r>
          </w:p>
          <w:p w14:paraId="03B9B753" w14:textId="7B5E4AD9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19) постројења за третман неопасног отпада, спаљивањем или хемијским поступцима, одређена посебним прописима;</w:t>
            </w:r>
          </w:p>
          <w:p w14:paraId="06BAA0BB" w14:textId="6C221476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20) постројења за третман опасног отпада спаљивањем, термичким и/или физичким, физичко-хемијским, хемијским поступцима, као и централна складишта и/или депонија за одлагање опасног отпада и регионалних депонија односно депоније за одлагање опасног отпада, одређена посебним прописима;</w:t>
            </w:r>
          </w:p>
          <w:p w14:paraId="40B4D48A" w14:textId="7E08530B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21) пристаништа и луке;</w:t>
            </w:r>
          </w:p>
          <w:p w14:paraId="744A8B38" w14:textId="20A788A0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lastRenderedPageBreak/>
              <w:t>22) објекте за призводњу енергије из биогаса и биомасе и електране са комбинованом производњом, појединачне снаге до 10 М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W</w:t>
            </w: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.</w:t>
            </w:r>
          </w:p>
          <w:p w14:paraId="6ACBE26B" w14:textId="356117BF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Лице из става 1. овог члана утврђује подобност објекта за употребу у погледу спроведености мера заштите од пожара решењем из става 1. у року од 15 дана од дана достављања захтева од стране инвеститора.</w:t>
            </w:r>
          </w:p>
          <w:p w14:paraId="2ABA2579" w14:textId="5F38FEED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Када је предмет техничког прегледа објекат који није обухваћен ст. 1. и 2. овог члана, члан комисије за технички преглед који утврђује подобност објекта за употребу у погледу спроведености мера заштите од пожара предвиђених у техничкој документацији је лице које поседује одговарајућу лиценцу према прописима из заштите од пожара.</w:t>
            </w:r>
          </w:p>
          <w:p w14:paraId="423C5D83" w14:textId="40AC2733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Објекат је подобан за употребу у погледу спроведености мера заштите од пожара ако је:</w:t>
            </w:r>
          </w:p>
          <w:p w14:paraId="20DC3A2A" w14:textId="03461AD2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1) изграђен у складу с техничком документацијом на коју је дата сагласност;</w:t>
            </w:r>
          </w:p>
          <w:p w14:paraId="3BB0335A" w14:textId="7336A3D6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2) обезбеђен доказ о карактеристикама конструкција као и елементима конструкција који треба да буду отпорни према пожару, доказ о карактеристикама опреме, уређаја и инсталација са посебним карактеристикама према пожару и експлозији, као и доказ о карактеристикама материјала за ентеријер и инсталације за које се постављају посебни захтеви у погледу карактеристика према пожару, материјалима који се користе или складиште у технолошком процесу;</w:t>
            </w:r>
          </w:p>
          <w:p w14:paraId="71AED238" w14:textId="14F4366C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3) обезбеђен доказ о исправном функционисању и деловању изведених инсталација и уређаја за аутоматско откривање и дојаву пожара, гашење пожара и детекцију експлозивних и запаљивих гасова, инсталација у зонама опасности од експлозије, и инсталација за одвођење дима и топлоте;</w:t>
            </w:r>
          </w:p>
          <w:p w14:paraId="5AC395F8" w14:textId="48B1AD92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4) обезбеђен доказ о исправном функционисању и деловању изведених инсталација хидрантске мреже за гашење пожара, као и мобилних уређаја за гашење пожара;</w:t>
            </w:r>
          </w:p>
          <w:p w14:paraId="1C5D2D07" w14:textId="74878F0B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5) обезбеђен доказ о извршеним мерењима и прегледу уграђених машинских, водоводних и електричних инсталација.</w:t>
            </w:r>
          </w:p>
          <w:p w14:paraId="3D952888" w14:textId="5BDFBB62" w:rsidR="0072699B" w:rsidRPr="005832A8" w:rsidRDefault="0072699B" w:rsidP="0072699B">
            <w:pPr>
              <w:spacing w:after="120"/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Доказ из става 5. тачка 3) овог члана издаје овлашћено правно лице – извођач радова са одговарајућим овлашћењем за извођење посебних система и мера заштите од пожара.</w:t>
            </w:r>
          </w:p>
          <w:p w14:paraId="54F57047" w14:textId="75D9280A" w:rsidR="00863EFB" w:rsidRPr="005832A8" w:rsidRDefault="00863EFB" w:rsidP="0072699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КАДА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СУ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ПРЕДМЕТ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ТЕХНИЧКОГ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ПРЕГЛЕДА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ОБЈЕКТИ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ИЗ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ЧЛАНА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33.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34.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ОВОГ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ЗАКОНА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КОЈИ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СЕ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СМИСЛУ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ЗАКОНА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КОЈИМ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СЕ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УРЕЂУЈЕ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РУДАРСТВО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СМАТРАЈУ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РУДАРСКИМ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ОБЈЕКТИМА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ПОСТРОЈЕЊИМА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УРЕЂАЈИМА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,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ПОДОБНОСТ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ОБЈЕКАТА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ЗА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УПОТРЕБУ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ПОГЛЕДУ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СПРОВЕДЕНОСТИ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МЕРА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ЗАШТИТЕ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ОД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ПОЖАРА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ПРЕДВИЂЕНИХ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ТЕХНИЧКОЈ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ДОКУМЕНТАЦИЈИ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РЕШЕЊЕМ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УТВРЂУЈЕ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ОРГАН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ДРЖАВНЕ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УПРАВЕ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НАДЛЕЖАН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ЗА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ЗАШТИТУ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ОД</w:t>
            </w:r>
            <w:r w:rsidRPr="005832A8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ПОЖАРА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E40ABB8" w14:textId="5FEDF00E" w:rsidR="0072699B" w:rsidRPr="005832A8" w:rsidRDefault="0072699B" w:rsidP="0072699B">
            <w:pPr>
              <w:spacing w:after="120"/>
              <w:rPr>
                <w:rFonts w:ascii="Times New Roman" w:hAnsi="Times New Roman"/>
                <w:color w:val="000000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bCs/>
                <w:color w:val="000000"/>
                <w:sz w:val="22"/>
                <w:szCs w:val="22"/>
                <w:lang w:val="sr-Cyrl-RS"/>
              </w:rPr>
              <w:t>Доказ из става 5. тачка 4) овог члана издаје овлашћено правно лице из члана 44. овог закона.</w:t>
            </w:r>
          </w:p>
          <w:p w14:paraId="28DA4344" w14:textId="160B7591" w:rsidR="00632540" w:rsidRPr="005832A8" w:rsidRDefault="0072699B" w:rsidP="002A202F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832A8" w:rsidDel="0072699B">
              <w:rPr>
                <w:b/>
                <w:color w:val="000000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32540" w:rsidRPr="005832A8" w14:paraId="6F69BD61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10A6F09F" w14:textId="77777777" w:rsidR="00632540" w:rsidRPr="005832A8" w:rsidRDefault="00632540" w:rsidP="0029761D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32A8">
              <w:rPr>
                <w:b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632540" w:rsidRPr="005832A8" w14:paraId="162E5FCE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4981479A" w14:textId="3A634BFB" w:rsidR="00275B6B" w:rsidRPr="005832A8" w:rsidRDefault="00275B6B" w:rsidP="00275B6B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79.099.158,76 РСД. Усвајање и примена препорука ће донети привредним субјектима годишње директне уштеде од 331.557,5 РСД или 2.726,13 ЕУР. Ове уштеде износе 0.42% укупних директних трошкова привредних субјеката у поступку.</w:t>
            </w:r>
          </w:p>
          <w:p w14:paraId="555EEE17" w14:textId="29B4881D" w:rsidR="00275B6B" w:rsidRPr="005832A8" w:rsidRDefault="00275B6B" w:rsidP="00275B6B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 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истоветности поступања, транспарентности поступка,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 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 за привредне субјекте.</w:t>
            </w:r>
            <w:r w:rsidRPr="005832A8">
              <w:rPr>
                <w:rFonts w:ascii="Times New Roman" w:hAnsi="Times New Roman"/>
                <w:sz w:val="22"/>
                <w:szCs w:val="22"/>
              </w:rPr>
              <w:t> </w:t>
            </w:r>
            <w:r w:rsidRPr="005832A8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  <w:p w14:paraId="4693263A" w14:textId="205DAEE1" w:rsidR="00A94C1B" w:rsidRPr="005832A8" w:rsidRDefault="00A94C1B" w:rsidP="00C355DD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5586F75C" w14:textId="00F88E36" w:rsidR="003E3C16" w:rsidRPr="005832A8" w:rsidRDefault="003E3C16" w:rsidP="00855E4D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5832A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B1A67" w14:textId="77777777" w:rsidR="009B1A20" w:rsidRDefault="009B1A20" w:rsidP="002A202F">
      <w:r>
        <w:separator/>
      </w:r>
    </w:p>
  </w:endnote>
  <w:endnote w:type="continuationSeparator" w:id="0">
    <w:p w14:paraId="66FC7D8A" w14:textId="77777777" w:rsidR="009B1A20" w:rsidRDefault="009B1A2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4B6DD1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737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1B62A" w14:textId="77777777" w:rsidR="009B1A20" w:rsidRDefault="009B1A20" w:rsidP="002A202F">
      <w:r>
        <w:separator/>
      </w:r>
    </w:p>
  </w:footnote>
  <w:footnote w:type="continuationSeparator" w:id="0">
    <w:p w14:paraId="3B3378E2" w14:textId="77777777" w:rsidR="009B1A20" w:rsidRDefault="009B1A2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E2B08"/>
    <w:multiLevelType w:val="hybridMultilevel"/>
    <w:tmpl w:val="F5FA134A"/>
    <w:lvl w:ilvl="0" w:tplc="08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3FD34455"/>
    <w:multiLevelType w:val="hybridMultilevel"/>
    <w:tmpl w:val="9EE061E4"/>
    <w:lvl w:ilvl="0" w:tplc="F1D65CD6">
      <w:start w:val="1"/>
      <w:numFmt w:val="decimal"/>
      <w:lvlText w:val="%1."/>
      <w:lvlJc w:val="left"/>
      <w:pPr>
        <w:ind w:left="1406" w:hanging="696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D4F7B"/>
    <w:multiLevelType w:val="hybridMultilevel"/>
    <w:tmpl w:val="B69C2E16"/>
    <w:lvl w:ilvl="0" w:tplc="04090001">
      <w:start w:val="1"/>
      <w:numFmt w:val="bullet"/>
      <w:lvlText w:val=""/>
      <w:lvlJc w:val="left"/>
      <w:pPr>
        <w:ind w:left="33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</w:abstractNum>
  <w:abstractNum w:abstractNumId="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7EDF7D7E"/>
    <w:multiLevelType w:val="hybridMultilevel"/>
    <w:tmpl w:val="5756DB66"/>
    <w:lvl w:ilvl="0" w:tplc="7CFC5B80">
      <w:start w:val="1"/>
      <w:numFmt w:val="decimal"/>
      <w:lvlText w:val="%1."/>
      <w:lvlJc w:val="left"/>
      <w:pPr>
        <w:ind w:left="77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306"/>
    <w:rsid w:val="000203FA"/>
    <w:rsid w:val="000204CE"/>
    <w:rsid w:val="00023423"/>
    <w:rsid w:val="00023EF9"/>
    <w:rsid w:val="00024083"/>
    <w:rsid w:val="00026C2F"/>
    <w:rsid w:val="00027945"/>
    <w:rsid w:val="00034CDF"/>
    <w:rsid w:val="00036812"/>
    <w:rsid w:val="00044F35"/>
    <w:rsid w:val="00044F63"/>
    <w:rsid w:val="000453AC"/>
    <w:rsid w:val="00050616"/>
    <w:rsid w:val="0005325C"/>
    <w:rsid w:val="00061070"/>
    <w:rsid w:val="00075881"/>
    <w:rsid w:val="00077151"/>
    <w:rsid w:val="00081447"/>
    <w:rsid w:val="00083993"/>
    <w:rsid w:val="00092B84"/>
    <w:rsid w:val="0009542A"/>
    <w:rsid w:val="000977D7"/>
    <w:rsid w:val="000A53F3"/>
    <w:rsid w:val="000A5CDC"/>
    <w:rsid w:val="000B54D7"/>
    <w:rsid w:val="000C0A1C"/>
    <w:rsid w:val="000C64C7"/>
    <w:rsid w:val="000D5029"/>
    <w:rsid w:val="000E2036"/>
    <w:rsid w:val="000E6DB4"/>
    <w:rsid w:val="000F5E72"/>
    <w:rsid w:val="001025DB"/>
    <w:rsid w:val="00114003"/>
    <w:rsid w:val="001156BA"/>
    <w:rsid w:val="00117DEF"/>
    <w:rsid w:val="00122F11"/>
    <w:rsid w:val="001301B0"/>
    <w:rsid w:val="00147B73"/>
    <w:rsid w:val="0015182D"/>
    <w:rsid w:val="00161847"/>
    <w:rsid w:val="0016592E"/>
    <w:rsid w:val="00166E04"/>
    <w:rsid w:val="00170CA7"/>
    <w:rsid w:val="001757F6"/>
    <w:rsid w:val="00175FAC"/>
    <w:rsid w:val="001969BA"/>
    <w:rsid w:val="001A023F"/>
    <w:rsid w:val="001A224F"/>
    <w:rsid w:val="001A3FAC"/>
    <w:rsid w:val="001A6472"/>
    <w:rsid w:val="001C5DDE"/>
    <w:rsid w:val="001D0EDE"/>
    <w:rsid w:val="001D20E2"/>
    <w:rsid w:val="001E38DE"/>
    <w:rsid w:val="001E6974"/>
    <w:rsid w:val="001F7B31"/>
    <w:rsid w:val="00200363"/>
    <w:rsid w:val="0020601F"/>
    <w:rsid w:val="00206529"/>
    <w:rsid w:val="0021261F"/>
    <w:rsid w:val="00212DA5"/>
    <w:rsid w:val="0021347C"/>
    <w:rsid w:val="00217273"/>
    <w:rsid w:val="00225D24"/>
    <w:rsid w:val="00226012"/>
    <w:rsid w:val="002323AC"/>
    <w:rsid w:val="00243C84"/>
    <w:rsid w:val="00257FCB"/>
    <w:rsid w:val="00261404"/>
    <w:rsid w:val="00275B6B"/>
    <w:rsid w:val="00275E2A"/>
    <w:rsid w:val="00276EAE"/>
    <w:rsid w:val="00282B85"/>
    <w:rsid w:val="00285980"/>
    <w:rsid w:val="00287367"/>
    <w:rsid w:val="002906C9"/>
    <w:rsid w:val="00290D83"/>
    <w:rsid w:val="00296938"/>
    <w:rsid w:val="0029761D"/>
    <w:rsid w:val="002A202F"/>
    <w:rsid w:val="002A250C"/>
    <w:rsid w:val="002B155B"/>
    <w:rsid w:val="002B19B4"/>
    <w:rsid w:val="002B1A7A"/>
    <w:rsid w:val="002B2971"/>
    <w:rsid w:val="002B7102"/>
    <w:rsid w:val="002D4078"/>
    <w:rsid w:val="002E60A4"/>
    <w:rsid w:val="002F0AE9"/>
    <w:rsid w:val="002F1BEC"/>
    <w:rsid w:val="002F4757"/>
    <w:rsid w:val="002F7128"/>
    <w:rsid w:val="00311B94"/>
    <w:rsid w:val="00315A74"/>
    <w:rsid w:val="00322199"/>
    <w:rsid w:val="003223C7"/>
    <w:rsid w:val="003233F1"/>
    <w:rsid w:val="00326555"/>
    <w:rsid w:val="003268E0"/>
    <w:rsid w:val="00330483"/>
    <w:rsid w:val="00335066"/>
    <w:rsid w:val="003410E0"/>
    <w:rsid w:val="003435AA"/>
    <w:rsid w:val="0034362D"/>
    <w:rsid w:val="003472C3"/>
    <w:rsid w:val="00350EAD"/>
    <w:rsid w:val="003531EF"/>
    <w:rsid w:val="003651DB"/>
    <w:rsid w:val="00371058"/>
    <w:rsid w:val="003715A0"/>
    <w:rsid w:val="0037171F"/>
    <w:rsid w:val="00376FD1"/>
    <w:rsid w:val="00383EE2"/>
    <w:rsid w:val="0039002C"/>
    <w:rsid w:val="003B2E07"/>
    <w:rsid w:val="003B44DB"/>
    <w:rsid w:val="003B4BC9"/>
    <w:rsid w:val="003B6298"/>
    <w:rsid w:val="003C28DC"/>
    <w:rsid w:val="003D5027"/>
    <w:rsid w:val="003E2EB1"/>
    <w:rsid w:val="003E3C16"/>
    <w:rsid w:val="003E5543"/>
    <w:rsid w:val="003E6B1F"/>
    <w:rsid w:val="003F5BBD"/>
    <w:rsid w:val="004005B4"/>
    <w:rsid w:val="00407D96"/>
    <w:rsid w:val="004122C7"/>
    <w:rsid w:val="00424759"/>
    <w:rsid w:val="00431573"/>
    <w:rsid w:val="00432495"/>
    <w:rsid w:val="00444DA7"/>
    <w:rsid w:val="00446D09"/>
    <w:rsid w:val="0045202C"/>
    <w:rsid w:val="004531C4"/>
    <w:rsid w:val="00457882"/>
    <w:rsid w:val="00463CC7"/>
    <w:rsid w:val="00465A72"/>
    <w:rsid w:val="00476AF7"/>
    <w:rsid w:val="004809C4"/>
    <w:rsid w:val="00482AA6"/>
    <w:rsid w:val="0048433C"/>
    <w:rsid w:val="004847B1"/>
    <w:rsid w:val="00485AE3"/>
    <w:rsid w:val="00492D22"/>
    <w:rsid w:val="0049545B"/>
    <w:rsid w:val="004A0117"/>
    <w:rsid w:val="004A1103"/>
    <w:rsid w:val="004C1E43"/>
    <w:rsid w:val="004C2D1D"/>
    <w:rsid w:val="004D0812"/>
    <w:rsid w:val="004D3BD0"/>
    <w:rsid w:val="004D45B1"/>
    <w:rsid w:val="004D68A7"/>
    <w:rsid w:val="004E29D1"/>
    <w:rsid w:val="004E5F7C"/>
    <w:rsid w:val="004F7A1D"/>
    <w:rsid w:val="00500566"/>
    <w:rsid w:val="00506368"/>
    <w:rsid w:val="005073A3"/>
    <w:rsid w:val="00513BFE"/>
    <w:rsid w:val="00521B68"/>
    <w:rsid w:val="00523608"/>
    <w:rsid w:val="0052471F"/>
    <w:rsid w:val="00525C0A"/>
    <w:rsid w:val="00535608"/>
    <w:rsid w:val="00536712"/>
    <w:rsid w:val="005460B7"/>
    <w:rsid w:val="00553C68"/>
    <w:rsid w:val="00556688"/>
    <w:rsid w:val="0056162B"/>
    <w:rsid w:val="00564C4A"/>
    <w:rsid w:val="0056707B"/>
    <w:rsid w:val="0058128B"/>
    <w:rsid w:val="00581A9D"/>
    <w:rsid w:val="005832A8"/>
    <w:rsid w:val="00585A32"/>
    <w:rsid w:val="005A2503"/>
    <w:rsid w:val="005A42F3"/>
    <w:rsid w:val="005B4F04"/>
    <w:rsid w:val="005B7CB9"/>
    <w:rsid w:val="005B7CFD"/>
    <w:rsid w:val="005D0023"/>
    <w:rsid w:val="005D1FF9"/>
    <w:rsid w:val="005E17EB"/>
    <w:rsid w:val="005E21C4"/>
    <w:rsid w:val="005E4EF3"/>
    <w:rsid w:val="005F088E"/>
    <w:rsid w:val="005F2BAE"/>
    <w:rsid w:val="005F33F7"/>
    <w:rsid w:val="005F39CB"/>
    <w:rsid w:val="005F4D59"/>
    <w:rsid w:val="005F7378"/>
    <w:rsid w:val="0060001C"/>
    <w:rsid w:val="00600D31"/>
    <w:rsid w:val="0060786A"/>
    <w:rsid w:val="006114A7"/>
    <w:rsid w:val="006132C6"/>
    <w:rsid w:val="00617637"/>
    <w:rsid w:val="006204F9"/>
    <w:rsid w:val="00621751"/>
    <w:rsid w:val="006237FE"/>
    <w:rsid w:val="0062526F"/>
    <w:rsid w:val="00627AF7"/>
    <w:rsid w:val="00630EF1"/>
    <w:rsid w:val="00632540"/>
    <w:rsid w:val="00633EFC"/>
    <w:rsid w:val="00633F73"/>
    <w:rsid w:val="00635454"/>
    <w:rsid w:val="00642DAF"/>
    <w:rsid w:val="00645199"/>
    <w:rsid w:val="00645850"/>
    <w:rsid w:val="00656133"/>
    <w:rsid w:val="00656F9C"/>
    <w:rsid w:val="00657530"/>
    <w:rsid w:val="00664303"/>
    <w:rsid w:val="006671DE"/>
    <w:rsid w:val="0067148E"/>
    <w:rsid w:val="006865D7"/>
    <w:rsid w:val="00692071"/>
    <w:rsid w:val="00694B28"/>
    <w:rsid w:val="006A0EC7"/>
    <w:rsid w:val="006A3AEF"/>
    <w:rsid w:val="006B1AE5"/>
    <w:rsid w:val="006C0049"/>
    <w:rsid w:val="006C5349"/>
    <w:rsid w:val="006C5F2A"/>
    <w:rsid w:val="006C662C"/>
    <w:rsid w:val="006F4A5C"/>
    <w:rsid w:val="00701461"/>
    <w:rsid w:val="00715F5C"/>
    <w:rsid w:val="007177AE"/>
    <w:rsid w:val="0072699B"/>
    <w:rsid w:val="007278C1"/>
    <w:rsid w:val="00733493"/>
    <w:rsid w:val="0073667C"/>
    <w:rsid w:val="00737F1D"/>
    <w:rsid w:val="007426B9"/>
    <w:rsid w:val="00745BB8"/>
    <w:rsid w:val="00753BD4"/>
    <w:rsid w:val="00765915"/>
    <w:rsid w:val="00770DF8"/>
    <w:rsid w:val="00780F23"/>
    <w:rsid w:val="007823AA"/>
    <w:rsid w:val="00782816"/>
    <w:rsid w:val="007831C7"/>
    <w:rsid w:val="00785A46"/>
    <w:rsid w:val="007861E3"/>
    <w:rsid w:val="00787C0B"/>
    <w:rsid w:val="007917BF"/>
    <w:rsid w:val="00793602"/>
    <w:rsid w:val="007940D6"/>
    <w:rsid w:val="007B0E25"/>
    <w:rsid w:val="007B1740"/>
    <w:rsid w:val="007B44FB"/>
    <w:rsid w:val="007B4E6C"/>
    <w:rsid w:val="007B501C"/>
    <w:rsid w:val="007C3A94"/>
    <w:rsid w:val="007C61B5"/>
    <w:rsid w:val="007D1CBF"/>
    <w:rsid w:val="007D3889"/>
    <w:rsid w:val="007D39E4"/>
    <w:rsid w:val="007D3F4E"/>
    <w:rsid w:val="007D43A7"/>
    <w:rsid w:val="007D6349"/>
    <w:rsid w:val="007D7452"/>
    <w:rsid w:val="007E1695"/>
    <w:rsid w:val="007F204C"/>
    <w:rsid w:val="00804060"/>
    <w:rsid w:val="008166C9"/>
    <w:rsid w:val="00823247"/>
    <w:rsid w:val="00824E43"/>
    <w:rsid w:val="00833D8C"/>
    <w:rsid w:val="00833F48"/>
    <w:rsid w:val="00834C9A"/>
    <w:rsid w:val="00841ACC"/>
    <w:rsid w:val="00843E2C"/>
    <w:rsid w:val="0084708C"/>
    <w:rsid w:val="00852739"/>
    <w:rsid w:val="008530D5"/>
    <w:rsid w:val="00853B9E"/>
    <w:rsid w:val="00855E4D"/>
    <w:rsid w:val="008629CC"/>
    <w:rsid w:val="00863EFB"/>
    <w:rsid w:val="00865EBB"/>
    <w:rsid w:val="0087652B"/>
    <w:rsid w:val="00883A00"/>
    <w:rsid w:val="00884804"/>
    <w:rsid w:val="00886C36"/>
    <w:rsid w:val="00897CBA"/>
    <w:rsid w:val="008A0F2D"/>
    <w:rsid w:val="008A20C1"/>
    <w:rsid w:val="008A6AC8"/>
    <w:rsid w:val="008A7D05"/>
    <w:rsid w:val="008B5A85"/>
    <w:rsid w:val="008B7328"/>
    <w:rsid w:val="008C3AF6"/>
    <w:rsid w:val="008C5591"/>
    <w:rsid w:val="008D007C"/>
    <w:rsid w:val="008D04A6"/>
    <w:rsid w:val="008D28B8"/>
    <w:rsid w:val="008D4C1A"/>
    <w:rsid w:val="008D58B6"/>
    <w:rsid w:val="008F0867"/>
    <w:rsid w:val="008F172F"/>
    <w:rsid w:val="008F2044"/>
    <w:rsid w:val="008F2101"/>
    <w:rsid w:val="008F2BE1"/>
    <w:rsid w:val="008F3306"/>
    <w:rsid w:val="008F4DD1"/>
    <w:rsid w:val="008F68D4"/>
    <w:rsid w:val="009056DB"/>
    <w:rsid w:val="00906570"/>
    <w:rsid w:val="00915EE6"/>
    <w:rsid w:val="009211C5"/>
    <w:rsid w:val="009223DF"/>
    <w:rsid w:val="00924D16"/>
    <w:rsid w:val="00936154"/>
    <w:rsid w:val="00937BD3"/>
    <w:rsid w:val="0094145A"/>
    <w:rsid w:val="00947592"/>
    <w:rsid w:val="00950280"/>
    <w:rsid w:val="00954727"/>
    <w:rsid w:val="00960FEF"/>
    <w:rsid w:val="00961C84"/>
    <w:rsid w:val="00970CA2"/>
    <w:rsid w:val="00991A18"/>
    <w:rsid w:val="00994A16"/>
    <w:rsid w:val="009A30D3"/>
    <w:rsid w:val="009A4E5A"/>
    <w:rsid w:val="009A5857"/>
    <w:rsid w:val="009B1A20"/>
    <w:rsid w:val="009C15EA"/>
    <w:rsid w:val="009D03A7"/>
    <w:rsid w:val="009D65A1"/>
    <w:rsid w:val="009E0479"/>
    <w:rsid w:val="009E0A6E"/>
    <w:rsid w:val="009E7DBF"/>
    <w:rsid w:val="009F1A65"/>
    <w:rsid w:val="009F690F"/>
    <w:rsid w:val="00A0102E"/>
    <w:rsid w:val="00A12960"/>
    <w:rsid w:val="00A1570D"/>
    <w:rsid w:val="00A22386"/>
    <w:rsid w:val="00A343F4"/>
    <w:rsid w:val="00A401E6"/>
    <w:rsid w:val="00A44A18"/>
    <w:rsid w:val="00A53C33"/>
    <w:rsid w:val="00A56B75"/>
    <w:rsid w:val="00A57C15"/>
    <w:rsid w:val="00A71C04"/>
    <w:rsid w:val="00A72087"/>
    <w:rsid w:val="00A75091"/>
    <w:rsid w:val="00A827AF"/>
    <w:rsid w:val="00A94C1B"/>
    <w:rsid w:val="00AA0017"/>
    <w:rsid w:val="00AA425A"/>
    <w:rsid w:val="00AA4546"/>
    <w:rsid w:val="00AA45B2"/>
    <w:rsid w:val="00AA4BC5"/>
    <w:rsid w:val="00AB09B3"/>
    <w:rsid w:val="00AB4F6C"/>
    <w:rsid w:val="00AB5517"/>
    <w:rsid w:val="00AC02D1"/>
    <w:rsid w:val="00AC3FE0"/>
    <w:rsid w:val="00AE04E6"/>
    <w:rsid w:val="00AE1A12"/>
    <w:rsid w:val="00AE7CA3"/>
    <w:rsid w:val="00B05E86"/>
    <w:rsid w:val="00B06019"/>
    <w:rsid w:val="00B07409"/>
    <w:rsid w:val="00B1006E"/>
    <w:rsid w:val="00B1093C"/>
    <w:rsid w:val="00B14A75"/>
    <w:rsid w:val="00B178FB"/>
    <w:rsid w:val="00B20741"/>
    <w:rsid w:val="00B37E3D"/>
    <w:rsid w:val="00B404C0"/>
    <w:rsid w:val="00B44B56"/>
    <w:rsid w:val="00B452AB"/>
    <w:rsid w:val="00B5252A"/>
    <w:rsid w:val="00B5330D"/>
    <w:rsid w:val="00B5587D"/>
    <w:rsid w:val="00B61BC8"/>
    <w:rsid w:val="00B62EF0"/>
    <w:rsid w:val="00B63DB1"/>
    <w:rsid w:val="00B67138"/>
    <w:rsid w:val="00B6715C"/>
    <w:rsid w:val="00B75414"/>
    <w:rsid w:val="00B81CFE"/>
    <w:rsid w:val="00B83E37"/>
    <w:rsid w:val="00B85C0B"/>
    <w:rsid w:val="00B874E2"/>
    <w:rsid w:val="00B903AE"/>
    <w:rsid w:val="00B9157F"/>
    <w:rsid w:val="00B95225"/>
    <w:rsid w:val="00BA1887"/>
    <w:rsid w:val="00BA1C1A"/>
    <w:rsid w:val="00BA1DEC"/>
    <w:rsid w:val="00BA55D3"/>
    <w:rsid w:val="00BA57F8"/>
    <w:rsid w:val="00BA6759"/>
    <w:rsid w:val="00BA7204"/>
    <w:rsid w:val="00BD7188"/>
    <w:rsid w:val="00BE1C9F"/>
    <w:rsid w:val="00BF0CE2"/>
    <w:rsid w:val="00C00776"/>
    <w:rsid w:val="00C0111F"/>
    <w:rsid w:val="00C0295C"/>
    <w:rsid w:val="00C03C06"/>
    <w:rsid w:val="00C04F74"/>
    <w:rsid w:val="00C121EC"/>
    <w:rsid w:val="00C12C65"/>
    <w:rsid w:val="00C13952"/>
    <w:rsid w:val="00C15CD9"/>
    <w:rsid w:val="00C26FB3"/>
    <w:rsid w:val="00C355DD"/>
    <w:rsid w:val="00C36FB4"/>
    <w:rsid w:val="00C42844"/>
    <w:rsid w:val="00C42B27"/>
    <w:rsid w:val="00C445E2"/>
    <w:rsid w:val="00C7129D"/>
    <w:rsid w:val="00C72128"/>
    <w:rsid w:val="00C748D1"/>
    <w:rsid w:val="00C82093"/>
    <w:rsid w:val="00C85ED1"/>
    <w:rsid w:val="00C91014"/>
    <w:rsid w:val="00CB1A4E"/>
    <w:rsid w:val="00CB5250"/>
    <w:rsid w:val="00CC29F6"/>
    <w:rsid w:val="00CC48FF"/>
    <w:rsid w:val="00CD2287"/>
    <w:rsid w:val="00CD47EC"/>
    <w:rsid w:val="00CD5BBB"/>
    <w:rsid w:val="00CE0685"/>
    <w:rsid w:val="00CF2AA0"/>
    <w:rsid w:val="00D217BF"/>
    <w:rsid w:val="00D31871"/>
    <w:rsid w:val="00D36121"/>
    <w:rsid w:val="00D44B19"/>
    <w:rsid w:val="00D55F4C"/>
    <w:rsid w:val="00D57295"/>
    <w:rsid w:val="00D6595F"/>
    <w:rsid w:val="00D71A56"/>
    <w:rsid w:val="00D73628"/>
    <w:rsid w:val="00D73918"/>
    <w:rsid w:val="00D967D7"/>
    <w:rsid w:val="00DA1234"/>
    <w:rsid w:val="00DA125D"/>
    <w:rsid w:val="00DA78C2"/>
    <w:rsid w:val="00DA7D79"/>
    <w:rsid w:val="00DC0F2A"/>
    <w:rsid w:val="00DC2063"/>
    <w:rsid w:val="00DC4BC2"/>
    <w:rsid w:val="00DD42C1"/>
    <w:rsid w:val="00DE057D"/>
    <w:rsid w:val="00DE4C41"/>
    <w:rsid w:val="00DE61B0"/>
    <w:rsid w:val="00DF14F7"/>
    <w:rsid w:val="00E0020F"/>
    <w:rsid w:val="00E118C7"/>
    <w:rsid w:val="00E11E6B"/>
    <w:rsid w:val="00E11F80"/>
    <w:rsid w:val="00E1425F"/>
    <w:rsid w:val="00E1427B"/>
    <w:rsid w:val="00E14E0D"/>
    <w:rsid w:val="00E154AF"/>
    <w:rsid w:val="00E22B8B"/>
    <w:rsid w:val="00E37E96"/>
    <w:rsid w:val="00E40DF0"/>
    <w:rsid w:val="00E4267B"/>
    <w:rsid w:val="00E43D8C"/>
    <w:rsid w:val="00E47DAC"/>
    <w:rsid w:val="00E5741A"/>
    <w:rsid w:val="00E57D83"/>
    <w:rsid w:val="00E62BE9"/>
    <w:rsid w:val="00E63C8A"/>
    <w:rsid w:val="00E70BF6"/>
    <w:rsid w:val="00E70F4D"/>
    <w:rsid w:val="00E800D7"/>
    <w:rsid w:val="00E91F60"/>
    <w:rsid w:val="00E92AE4"/>
    <w:rsid w:val="00EB24FE"/>
    <w:rsid w:val="00EC67D0"/>
    <w:rsid w:val="00EE0AC9"/>
    <w:rsid w:val="00EE5584"/>
    <w:rsid w:val="00EF0251"/>
    <w:rsid w:val="00EF184B"/>
    <w:rsid w:val="00F0745C"/>
    <w:rsid w:val="00F11C98"/>
    <w:rsid w:val="00F12E47"/>
    <w:rsid w:val="00F1459D"/>
    <w:rsid w:val="00F223B2"/>
    <w:rsid w:val="00F2625A"/>
    <w:rsid w:val="00F27C6B"/>
    <w:rsid w:val="00F35C33"/>
    <w:rsid w:val="00F514CE"/>
    <w:rsid w:val="00F51F6D"/>
    <w:rsid w:val="00F53241"/>
    <w:rsid w:val="00F610A1"/>
    <w:rsid w:val="00F67152"/>
    <w:rsid w:val="00F67790"/>
    <w:rsid w:val="00F735A5"/>
    <w:rsid w:val="00F76911"/>
    <w:rsid w:val="00F84E92"/>
    <w:rsid w:val="00F853BB"/>
    <w:rsid w:val="00F85509"/>
    <w:rsid w:val="00F96CCC"/>
    <w:rsid w:val="00FB1A1B"/>
    <w:rsid w:val="00FB5C14"/>
    <w:rsid w:val="00FB645B"/>
    <w:rsid w:val="00FB7689"/>
    <w:rsid w:val="00FB7A52"/>
    <w:rsid w:val="00FC09D6"/>
    <w:rsid w:val="00FC1C35"/>
    <w:rsid w:val="00FC282A"/>
    <w:rsid w:val="00FC34EC"/>
    <w:rsid w:val="00FC3F69"/>
    <w:rsid w:val="00FC5312"/>
    <w:rsid w:val="00FD3964"/>
    <w:rsid w:val="00FF323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33EFC"/>
    <w:rPr>
      <w:vertAlign w:val="superscript"/>
    </w:rPr>
  </w:style>
  <w:style w:type="paragraph" w:styleId="Revision">
    <w:name w:val="Revision"/>
    <w:hidden/>
    <w:uiPriority w:val="99"/>
    <w:semiHidden/>
    <w:rsid w:val="007917B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011AE-CC42-4C90-980A-E6256135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2532</Words>
  <Characters>14434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3</cp:revision>
  <cp:lastPrinted>2018-09-05T12:48:00Z</cp:lastPrinted>
  <dcterms:created xsi:type="dcterms:W3CDTF">2019-05-23T09:27:00Z</dcterms:created>
  <dcterms:modified xsi:type="dcterms:W3CDTF">2019-07-16T12:30:00Z</dcterms:modified>
</cp:coreProperties>
</file>