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1727F" w14:textId="6EA45DAC" w:rsidR="003709E8" w:rsidRPr="00CB56AC" w:rsidRDefault="000056EA" w:rsidP="00CB56AC">
      <w:pPr>
        <w:jc w:val="center"/>
        <w:rPr>
          <w:rFonts w:ascii="Times New Roman" w:hAnsi="Times New Roman" w:cs="Times New Roman"/>
          <w:b/>
          <w:lang w:val="sr-Cyrl-RS"/>
        </w:rPr>
      </w:pPr>
      <w:r w:rsidRPr="000056EA">
        <w:rPr>
          <w:rFonts w:ascii="Times New Roman" w:hAnsi="Times New Roman" w:cs="Times New Roman"/>
          <w:b/>
          <w:lang w:val="sr-Cyrl-RS"/>
        </w:rPr>
        <w:t>ПОЈЕДНОСТАВЉЕЊЕ ПОСТУПКА ИЗДАВАЊА УВЕРЕЊА О ПОЛОЖЕНОМ СТРУЧНОМ ИСПИТУ ЗА ВРШЕЊЕ ПОСЛОВА ПРИВАТНОГ ОБЕЗБЕЂЕЊА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764797" w:rsidRPr="00DF3FAD" w14:paraId="5621E006" w14:textId="77777777" w:rsidTr="00AA729D">
        <w:trPr>
          <w:trHeight w:val="888"/>
        </w:trPr>
        <w:tc>
          <w:tcPr>
            <w:tcW w:w="2267" w:type="dxa"/>
            <w:shd w:val="clear" w:color="auto" w:fill="DBE5F1" w:themeFill="accent1" w:themeFillTint="33"/>
          </w:tcPr>
          <w:p w14:paraId="26F28976" w14:textId="02F10C8F" w:rsidR="00764797" w:rsidRPr="00DF3FAD" w:rsidRDefault="00764797" w:rsidP="003143DA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971BAB" w:rsidRPr="00DF3FA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795" w:type="dxa"/>
          </w:tcPr>
          <w:p w14:paraId="41904132" w14:textId="77777777" w:rsidR="00764797" w:rsidRPr="00ED7925" w:rsidRDefault="00F4635B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ED792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Уверење о положеном стручном испиту за вршење послова приватног обезбеђења</w:t>
            </w:r>
          </w:p>
        </w:tc>
      </w:tr>
      <w:tr w:rsidR="00764797" w:rsidRPr="00DF3FAD" w14:paraId="6C9B13EB" w14:textId="77777777" w:rsidTr="00AA729D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6C9C1D3E" w14:textId="77777777" w:rsidR="00764797" w:rsidRPr="00DF3FAD" w:rsidRDefault="00764797" w:rsidP="003143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3C1AD646" w14:textId="77777777" w:rsidR="00764797" w:rsidRPr="00DF3FAD" w:rsidRDefault="00764797" w:rsidP="003143D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03.00.00</w:t>
            </w:r>
            <w:r w:rsidR="00F4635B"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13</w:t>
            </w:r>
          </w:p>
        </w:tc>
      </w:tr>
      <w:tr w:rsidR="00764797" w:rsidRPr="00DF3FAD" w14:paraId="7C504A62" w14:textId="77777777" w:rsidTr="00AA729D">
        <w:tc>
          <w:tcPr>
            <w:tcW w:w="2267" w:type="dxa"/>
            <w:shd w:val="clear" w:color="auto" w:fill="DBE5F1" w:themeFill="accent1" w:themeFillTint="33"/>
          </w:tcPr>
          <w:p w14:paraId="14580C12" w14:textId="77777777" w:rsidR="00764797" w:rsidRPr="00DF3FAD" w:rsidRDefault="00764797" w:rsidP="003143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10D3BF05" w14:textId="77777777" w:rsidR="00764797" w:rsidRPr="00DF3FAD" w:rsidRDefault="00764797" w:rsidP="003143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2653EA4D" w14:textId="77777777" w:rsidR="00764797" w:rsidRPr="00DF3FAD" w:rsidRDefault="00764797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764797" w:rsidRPr="00DF3FAD" w14:paraId="1EFA3476" w14:textId="77777777" w:rsidTr="00AA729D">
        <w:tc>
          <w:tcPr>
            <w:tcW w:w="2267" w:type="dxa"/>
            <w:shd w:val="clear" w:color="auto" w:fill="DBE5F1" w:themeFill="accent1" w:themeFillTint="33"/>
          </w:tcPr>
          <w:p w14:paraId="2F429D92" w14:textId="77777777" w:rsidR="00764797" w:rsidRPr="00DF3FAD" w:rsidRDefault="00764797" w:rsidP="003143D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795" w:type="dxa"/>
          </w:tcPr>
          <w:p w14:paraId="67B4E08D" w14:textId="77777777" w:rsidR="00AA5B77" w:rsidRPr="00AA5B77" w:rsidRDefault="00AA5B77" w:rsidP="003143DA">
            <w:pPr>
              <w:pStyle w:val="ListParagraph"/>
              <w:numPr>
                <w:ilvl w:val="0"/>
                <w:numId w:val="9"/>
              </w:numPr>
              <w:ind w:left="253" w:hanging="18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A5B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приватном обезбеђењу: („Сл. гласник РС“, бр. 104/2013-8, 42/2015, 87/18) </w:t>
            </w:r>
          </w:p>
          <w:p w14:paraId="069F0E74" w14:textId="76CE6991" w:rsidR="003B59C9" w:rsidRPr="00DF3FAD" w:rsidRDefault="003B59C9" w:rsidP="003143DA">
            <w:pPr>
              <w:pStyle w:val="ListParagraph"/>
              <w:numPr>
                <w:ilvl w:val="0"/>
                <w:numId w:val="9"/>
              </w:numPr>
              <w:ind w:left="253" w:hanging="18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DF3FA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начину полагања стручног испита за вршење послова приватног обезбеђења, висини трошкова организовања спровођења испита и садржини и начину вођења евиденција („ Сл. гласник РС“, бр. 28/2015) </w:t>
            </w:r>
          </w:p>
        </w:tc>
      </w:tr>
      <w:tr w:rsidR="00764797" w:rsidRPr="00DF3FAD" w14:paraId="438A7DB0" w14:textId="77777777" w:rsidTr="00AA729D">
        <w:tc>
          <w:tcPr>
            <w:tcW w:w="2267" w:type="dxa"/>
            <w:shd w:val="clear" w:color="auto" w:fill="DBE5F1" w:themeFill="accent1" w:themeFillTint="33"/>
            <w:vAlign w:val="center"/>
          </w:tcPr>
          <w:p w14:paraId="7FBB4ECE" w14:textId="42F19478" w:rsidR="00764797" w:rsidRPr="00DF3FAD" w:rsidRDefault="00764797" w:rsidP="003143DA">
            <w:pPr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F3FA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променити/донети</w:t>
            </w:r>
            <w:r w:rsidR="00971BAB" w:rsidRPr="00DF3FA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DF3FAD">
              <w:rPr>
                <w:rFonts w:ascii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4FCB4107" w14:textId="237A2CB3" w:rsidR="00764797" w:rsidRPr="00DF3FAD" w:rsidRDefault="001C4FF2" w:rsidP="003143DA">
            <w:pPr>
              <w:pStyle w:val="ListParagraph"/>
              <w:numPr>
                <w:ilvl w:val="0"/>
                <w:numId w:val="25"/>
              </w:numPr>
              <w:tabs>
                <w:tab w:val="left" w:pos="143"/>
              </w:tabs>
              <w:spacing w:before="120" w:after="120"/>
              <w:ind w:left="343" w:hanging="27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Донети нови правилник којим ће се ближе одредити услови </w:t>
            </w:r>
            <w:r w:rsidR="003B59C9" w:rsidRPr="00DF3FAD">
              <w:rPr>
                <w:rFonts w:ascii="Times New Roman" w:hAnsi="Times New Roman"/>
                <w:sz w:val="22"/>
                <w:szCs w:val="22"/>
                <w:lang w:val="sr-Cyrl-RS"/>
              </w:rPr>
              <w:t>о начину полагања стручног испита за вршење послова приватног обезбеђења, висини трошкова организовања и спровођења испита и садржини и начину вођења евиденција</w:t>
            </w:r>
          </w:p>
        </w:tc>
      </w:tr>
      <w:tr w:rsidR="004C2D94" w:rsidRPr="00DF3FAD" w14:paraId="54C60FA9" w14:textId="77777777" w:rsidTr="00121E8D">
        <w:tc>
          <w:tcPr>
            <w:tcW w:w="2267" w:type="dxa"/>
            <w:shd w:val="clear" w:color="auto" w:fill="DBE5F1" w:themeFill="accent1" w:themeFillTint="33"/>
          </w:tcPr>
          <w:p w14:paraId="3304A21A" w14:textId="77777777" w:rsidR="004C2D94" w:rsidRPr="00DF3FAD" w:rsidRDefault="004C2D94" w:rsidP="003143D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F3FAD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5" w:type="dxa"/>
          </w:tcPr>
          <w:p w14:paraId="45A48D1B" w14:textId="4762D099" w:rsidR="00F232E4" w:rsidRPr="00F232E4" w:rsidRDefault="00CB084E" w:rsidP="00ED792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689E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ED7925">
              <w:rPr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595E6F" w:rsidRPr="00DF3FAD" w14:paraId="1EDA7114" w14:textId="77777777" w:rsidTr="004C2D9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D53B1D7" w14:textId="77777777" w:rsidR="00595E6F" w:rsidRPr="00DF3FAD" w:rsidRDefault="00595E6F" w:rsidP="003143DA">
            <w:pPr>
              <w:numPr>
                <w:ilvl w:val="0"/>
                <w:numId w:val="1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595E6F" w:rsidRPr="00DF3FAD" w14:paraId="167FDC6D" w14:textId="77777777" w:rsidTr="004C2D94">
        <w:tc>
          <w:tcPr>
            <w:tcW w:w="9062" w:type="dxa"/>
            <w:gridSpan w:val="2"/>
          </w:tcPr>
          <w:p w14:paraId="3D30DC4A" w14:textId="77777777" w:rsidR="00595E6F" w:rsidRPr="00DF3FAD" w:rsidRDefault="007D647C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нити подзаконским актом није дефинисано </w:t>
            </w:r>
            <w:r w:rsidR="004C2D94"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који начин се доказује испуњеност улова за полагање стручног испита за вршење послова приватног обезбеђења. </w:t>
            </w:r>
            <w:r w:rsidR="00787024" w:rsidRPr="00DF3F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 напред наведеног разлога поступак ствара значајно административно оптерећење и трошкове привредним друштвима и другим правним лицима, на шта указује непотребно бројна документација, коју привредни субјекат подноси, уз непоштовање обавезе прибављања података које издају други јавни органи, по службеној дужности, као и неоправдано високи износи издатака у поступку.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Такође 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</w:t>
            </w:r>
          </w:p>
        </w:tc>
      </w:tr>
      <w:tr w:rsidR="00595E6F" w:rsidRPr="00DF3FAD" w14:paraId="781AC790" w14:textId="77777777" w:rsidTr="004C2D94">
        <w:trPr>
          <w:trHeight w:val="454"/>
        </w:trPr>
        <w:tc>
          <w:tcPr>
            <w:tcW w:w="9062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4237F765" w14:textId="77777777" w:rsidR="00595E6F" w:rsidRPr="00DF3FAD" w:rsidRDefault="00595E6F" w:rsidP="003143DA">
            <w:pPr>
              <w:numPr>
                <w:ilvl w:val="0"/>
                <w:numId w:val="15"/>
              </w:num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F3FA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595E6F" w:rsidRPr="00DF3FAD" w14:paraId="195504DE" w14:textId="77777777" w:rsidTr="004C2D94">
        <w:trPr>
          <w:trHeight w:val="454"/>
        </w:trPr>
        <w:tc>
          <w:tcPr>
            <w:tcW w:w="9062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3666D267" w14:textId="77777777" w:rsidR="00595E6F" w:rsidRPr="00DF3FAD" w:rsidRDefault="00595E6F" w:rsidP="003143DA">
            <w:pPr>
              <w:spacing w:before="120" w:after="120"/>
              <w:rPr>
                <w:rFonts w:ascii="Times New Roman" w:eastAsia="Times New Roman" w:hAnsi="Times New Roman"/>
                <w:b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2"/>
              <w:gridCol w:w="1589"/>
              <w:gridCol w:w="1977"/>
              <w:gridCol w:w="1818"/>
            </w:tblGrid>
            <w:tr w:rsidR="00595E6F" w:rsidRPr="00DF3FAD" w14:paraId="78CBABF6" w14:textId="77777777" w:rsidTr="00AE14AB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1A29342" w14:textId="77777777" w:rsidR="00595E6F" w:rsidRPr="00DF3FAD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F3F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4F81CA5" w14:textId="77777777" w:rsidR="00595E6F" w:rsidRPr="00DF3FAD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F3F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6FE5B1" w14:textId="77777777" w:rsidR="00595E6F" w:rsidRPr="00DF3FAD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F3F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595E6F" w:rsidRPr="00DF3FAD" w14:paraId="43CE7B69" w14:textId="77777777" w:rsidTr="00AE14AB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90F587" w14:textId="77777777" w:rsidR="00595E6F" w:rsidRPr="00DF3FAD" w:rsidRDefault="00595E6F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280AF2" w14:textId="77777777" w:rsidR="00595E6F" w:rsidRPr="00DF3FAD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F3F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738A3A8" w14:textId="77777777" w:rsidR="00595E6F" w:rsidRPr="00DF3FAD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F3FA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2EB3148" w14:textId="77777777" w:rsidR="00595E6F" w:rsidRPr="00DF3FAD" w:rsidRDefault="00595E6F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220C92" w:rsidRPr="00DF3FAD" w14:paraId="07A464DB" w14:textId="77777777" w:rsidTr="00220C9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86D685" w14:textId="3788A91E" w:rsidR="00220C92" w:rsidRPr="001201FB" w:rsidRDefault="00220C92" w:rsidP="003143D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  <w:r w:rsidRPr="001201FB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1201F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3047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643726" w14:textId="77777777" w:rsidR="00220C92" w:rsidRPr="001201FB" w:rsidRDefault="00220C92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595E6F" w:rsidRPr="00DF3FAD" w14:paraId="5056D1EE" w14:textId="77777777" w:rsidTr="00F3541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9BADD" w14:textId="61C8C3E7" w:rsidR="00595E6F" w:rsidRPr="001201FB" w:rsidRDefault="00220C92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Прописивање потребне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929D3C" w14:textId="4C800653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A6BE52" w14:textId="667F784A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E01A1F" w14:textId="43369C6E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1</w:t>
                  </w:r>
                </w:p>
              </w:tc>
            </w:tr>
            <w:tr w:rsidR="00A40E1A" w:rsidRPr="00DF3FAD" w14:paraId="7F06F14D" w14:textId="77777777" w:rsidTr="00F3541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5AD46C" w14:textId="1096F2FD" w:rsidR="00A40E1A" w:rsidRPr="00A40E1A" w:rsidRDefault="00A40E1A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40E1A"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lastRenderedPageBreak/>
                    <w:t>Документација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9405CF" w14:textId="77777777" w:rsidR="00A40E1A" w:rsidRPr="001201FB" w:rsidRDefault="00A40E1A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F901E" w14:textId="77777777" w:rsidR="00A40E1A" w:rsidRPr="001201FB" w:rsidRDefault="00A40E1A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38B866" w14:textId="77777777" w:rsidR="00A40E1A" w:rsidRPr="001201FB" w:rsidRDefault="00A40E1A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4F2D5A" w:rsidRPr="004F2D5A" w14:paraId="5A74E195" w14:textId="77777777" w:rsidTr="00F3541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74127E" w14:textId="6CDD81F8" w:rsidR="004F2D5A" w:rsidRPr="004F2D5A" w:rsidRDefault="004F2D5A" w:rsidP="004F2D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4F2D5A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Измена форме у којој се достављају документи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F622D9" w14:textId="77777777" w:rsidR="004F2D5A" w:rsidRPr="004F2D5A" w:rsidRDefault="004F2D5A" w:rsidP="004F2D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A3A5B7" w14:textId="08CFEDC0" w:rsidR="004F2D5A" w:rsidRPr="004F2D5A" w:rsidRDefault="004F2D5A" w:rsidP="004F2D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4F2D5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930E0" w14:textId="77777777" w:rsidR="004F2D5A" w:rsidRPr="004F2D5A" w:rsidRDefault="004F2D5A" w:rsidP="004F2D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F35412" w:rsidRPr="00DF3FAD" w14:paraId="0286B671" w14:textId="77777777" w:rsidTr="00F3541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EA6892" w14:textId="5A83CA0A" w:rsidR="00F35412" w:rsidRPr="001201FB" w:rsidRDefault="00F35412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Елиминација </w:t>
                  </w:r>
                  <w:r w:rsidR="009F3153" w:rsidRPr="001201FB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непотребне </w:t>
                  </w:r>
                  <w:r w:rsidRPr="001201FB"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  <w:t>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BA7E9C" w14:textId="75EFEF1B" w:rsidR="00F35412" w:rsidRPr="001201FB" w:rsidRDefault="00F35412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97EAC8" w14:textId="10B4CAEF" w:rsidR="00F35412" w:rsidRPr="001201FB" w:rsidRDefault="00C20160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16D8C4" w14:textId="73E366E9" w:rsidR="00F35412" w:rsidRPr="001201FB" w:rsidRDefault="00F35412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1201FB" w:rsidRPr="00DF3FAD" w14:paraId="2050CE57" w14:textId="77777777" w:rsidTr="00F35412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82C49F" w14:textId="7491AC44" w:rsidR="001201FB" w:rsidRPr="001201FB" w:rsidRDefault="001201FB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BDDFA7" w14:textId="77777777" w:rsidR="001201FB" w:rsidRPr="001201FB" w:rsidRDefault="001201FB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39E5FA" w14:textId="77777777" w:rsidR="001201FB" w:rsidRPr="001201FB" w:rsidRDefault="001201FB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389FA2" w14:textId="77777777" w:rsidR="001201FB" w:rsidRPr="001201FB" w:rsidRDefault="001201FB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595E6F" w:rsidRPr="00DF3FAD" w14:paraId="313AE9E1" w14:textId="77777777" w:rsidTr="006D5274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32A16D" w14:textId="04FB15E1" w:rsidR="00595E6F" w:rsidRPr="001201FB" w:rsidRDefault="00AE14AB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Унапређење обрасца </w:t>
                  </w:r>
                  <w:r w:rsidR="007F3F2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  <w:r w:rsidRPr="001201FB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захтева 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6788FE" w14:textId="04D87E1E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  <w:r w:rsidR="000430C9"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FF7388" w14:textId="440A0013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FFFA88" w14:textId="006AF5C2" w:rsidR="00595E6F" w:rsidRPr="001201FB" w:rsidRDefault="00595E6F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  <w:r w:rsidR="000430C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1</w:t>
                  </w:r>
                </w:p>
              </w:tc>
            </w:tr>
            <w:tr w:rsidR="006D5274" w:rsidRPr="00DF3FAD" w14:paraId="468C4EBD" w14:textId="77777777" w:rsidTr="006D5274">
              <w:trPr>
                <w:trHeight w:val="288"/>
              </w:trPr>
              <w:tc>
                <w:tcPr>
                  <w:tcW w:w="1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2B389A" w14:textId="77777777" w:rsidR="006D5274" w:rsidRPr="001201FB" w:rsidRDefault="006D5274" w:rsidP="003143D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Електронско подношење захтева </w:t>
                  </w:r>
                </w:p>
              </w:tc>
              <w:tc>
                <w:tcPr>
                  <w:tcW w:w="8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2750F2" w14:textId="77777777" w:rsidR="006D5274" w:rsidRPr="001201FB" w:rsidRDefault="006D5274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594E6C" w14:textId="77777777" w:rsidR="006D5274" w:rsidRPr="001201FB" w:rsidRDefault="006D5274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01FB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225E66" w14:textId="77777777" w:rsidR="006D5274" w:rsidRPr="001201FB" w:rsidRDefault="006D5274" w:rsidP="003143D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7285FD58" w14:textId="77777777" w:rsidR="00595E6F" w:rsidRPr="00DF3FAD" w:rsidRDefault="00595E6F" w:rsidP="003143DA">
            <w:pPr>
              <w:spacing w:before="120" w:after="120"/>
              <w:rPr>
                <w:rFonts w:ascii="Times New Roman" w:eastAsia="Times New Roman" w:hAnsi="Times New Roman"/>
                <w:b/>
                <w:lang w:val="sr-Cyrl-RS"/>
              </w:rPr>
            </w:pPr>
          </w:p>
        </w:tc>
      </w:tr>
      <w:tr w:rsidR="00AE14AB" w:rsidRPr="00DF3FAD" w14:paraId="7484B40C" w14:textId="77777777" w:rsidTr="004C2D9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DA881B3" w14:textId="77777777" w:rsidR="00AE14AB" w:rsidRPr="00DF3FAD" w:rsidRDefault="00AE14AB" w:rsidP="003143DA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3FA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AE14AB" w:rsidRPr="000504FB" w14:paraId="0B1CE7E8" w14:textId="77777777" w:rsidTr="004C2D94">
        <w:trPr>
          <w:trHeight w:val="1975"/>
        </w:trPr>
        <w:tc>
          <w:tcPr>
            <w:tcW w:w="9062" w:type="dxa"/>
            <w:gridSpan w:val="2"/>
            <w:shd w:val="clear" w:color="auto" w:fill="auto"/>
          </w:tcPr>
          <w:p w14:paraId="21FC32A9" w14:textId="08276B5A" w:rsidR="00AE14AB" w:rsidRPr="000504FB" w:rsidRDefault="00AE14AB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9FB83D6" w14:textId="77777777" w:rsidR="009229D1" w:rsidRPr="000504FB" w:rsidRDefault="00C74A27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504FB">
              <w:rPr>
                <w:b/>
                <w:sz w:val="22"/>
                <w:szCs w:val="22"/>
                <w:lang w:val="sr-Cyrl-RS"/>
              </w:rPr>
              <w:t xml:space="preserve">ОПШТА НАПОМЕНА: </w:t>
            </w:r>
          </w:p>
          <w:p w14:paraId="0400F3EC" w14:textId="77777777" w:rsidR="009229D1" w:rsidRPr="000504FB" w:rsidRDefault="009229D1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CFBB59E" w14:textId="21176B40" w:rsidR="009229D1" w:rsidRPr="000504FB" w:rsidRDefault="00C74A27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504FB">
              <w:rPr>
                <w:b/>
                <w:sz w:val="22"/>
                <w:szCs w:val="22"/>
                <w:lang w:val="sr-Cyrl-RS"/>
              </w:rPr>
              <w:t>ИМАЈУЋИ У ВИДУ ДА</w:t>
            </w:r>
            <w:r w:rsidR="00D23DCE" w:rsidRPr="000504F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504FB">
              <w:rPr>
                <w:b/>
                <w:sz w:val="22"/>
                <w:szCs w:val="22"/>
                <w:lang w:val="sr-Cyrl-RS"/>
              </w:rPr>
              <w:t xml:space="preserve">СУ ИЗМЕНЕ И ДОПУНЕ </w:t>
            </w:r>
            <w:r w:rsidR="00D23DCE" w:rsidRPr="000504FB">
              <w:rPr>
                <w:b/>
                <w:sz w:val="22"/>
                <w:szCs w:val="22"/>
                <w:lang w:val="sr-Cyrl-RS"/>
              </w:rPr>
              <w:t xml:space="preserve">ЗАКОНА О ДЕТЕКТИВСКОЈ ДЕЛАТНОСТИ УСВОЈЕНЕ 13. НОВЕМБРА 2018. ГОДИНЕ, </w:t>
            </w:r>
            <w:r w:rsidR="009229D1" w:rsidRPr="000504FB">
              <w:rPr>
                <w:b/>
                <w:sz w:val="22"/>
                <w:szCs w:val="22"/>
                <w:lang w:val="sr-Cyrl-RS"/>
              </w:rPr>
              <w:t>И</w:t>
            </w:r>
            <w:r w:rsidR="00D23DCE" w:rsidRPr="000504FB">
              <w:rPr>
                <w:b/>
                <w:sz w:val="22"/>
                <w:szCs w:val="22"/>
                <w:lang w:val="sr-Cyrl-RS"/>
              </w:rPr>
              <w:t xml:space="preserve"> ДА </w:t>
            </w:r>
            <w:r w:rsidR="009229D1" w:rsidRPr="000504FB">
              <w:rPr>
                <w:b/>
                <w:sz w:val="22"/>
                <w:szCs w:val="22"/>
                <w:lang w:val="sr-Cyrl-RS"/>
              </w:rPr>
              <w:t>ПРЕДВИЂЕНО</w:t>
            </w:r>
            <w:r w:rsidR="00D23DCE" w:rsidRPr="000504FB">
              <w:rPr>
                <w:b/>
                <w:sz w:val="22"/>
                <w:szCs w:val="22"/>
                <w:lang w:val="sr-Cyrl-RS"/>
              </w:rPr>
              <w:t xml:space="preserve"> ДА СЕ ПОДЗАКОНСКИ АКТ</w:t>
            </w:r>
            <w:r w:rsidR="009229D1" w:rsidRPr="000504FB">
              <w:rPr>
                <w:b/>
                <w:sz w:val="22"/>
                <w:szCs w:val="22"/>
                <w:lang w:val="sr-Cyrl-RS"/>
              </w:rPr>
              <w:t>И</w:t>
            </w:r>
            <w:r w:rsidR="00D23DCE" w:rsidRPr="000504FB">
              <w:rPr>
                <w:b/>
                <w:sz w:val="22"/>
                <w:szCs w:val="22"/>
                <w:lang w:val="sr-Cyrl-RS"/>
              </w:rPr>
              <w:t xml:space="preserve"> КОЈИМА СЕ </w:t>
            </w:r>
            <w:r w:rsidR="009229D1" w:rsidRPr="000504FB">
              <w:rPr>
                <w:b/>
                <w:sz w:val="22"/>
                <w:szCs w:val="22"/>
                <w:lang w:val="sr-Cyrl-RS"/>
              </w:rPr>
              <w:t>БЛИЖЕ УРЕЂУЈУ ОДРЕЂЕНЕ ОБЛАСТИ ТРЕБАЈУ УСВОЈИТИ У РОКУ ОД 12 МЕСЕЦИ ОД ДАНА СТУПАЊА НА СНАГУ ИЗМЕНА И ДОПУНА</w:t>
            </w:r>
            <w:r w:rsidR="008E38A0" w:rsidRPr="000504FB">
              <w:rPr>
                <w:b/>
                <w:sz w:val="22"/>
                <w:szCs w:val="22"/>
                <w:lang w:val="sr-Cyrl-RS"/>
              </w:rPr>
              <w:t xml:space="preserve"> ЗАКО</w:t>
            </w:r>
            <w:r w:rsidR="00AA5B77" w:rsidRPr="000504FB">
              <w:rPr>
                <w:b/>
                <w:sz w:val="22"/>
                <w:szCs w:val="22"/>
                <w:lang w:val="sr-Cyrl-RS"/>
              </w:rPr>
              <w:t>Н</w:t>
            </w:r>
            <w:r w:rsidR="008E38A0" w:rsidRPr="000504FB">
              <w:rPr>
                <w:b/>
                <w:sz w:val="22"/>
                <w:szCs w:val="22"/>
                <w:lang w:val="sr-Cyrl-RS"/>
              </w:rPr>
              <w:t>А</w:t>
            </w:r>
            <w:r w:rsidR="009229D1" w:rsidRPr="000504FB">
              <w:rPr>
                <w:b/>
                <w:sz w:val="22"/>
                <w:szCs w:val="22"/>
                <w:lang w:val="sr-Cyrl-RS"/>
              </w:rPr>
              <w:t>, ТО ЈЕ РОК ЗА УСВАЈАЊЕ ПРАВИЛНИКА КОЈИМ ЋЕ СЕ ИМПЛЕМЕНТИРАТИ ПРЕПОРУКЕ КОЈЕ СУ ПРИХВАЋЕНЕ</w:t>
            </w:r>
            <w:r w:rsidR="0065745A" w:rsidRPr="000504FB">
              <w:rPr>
                <w:b/>
                <w:sz w:val="22"/>
                <w:szCs w:val="22"/>
                <w:lang w:val="sr-Cyrl-RS"/>
              </w:rPr>
              <w:t xml:space="preserve"> ТАКОЂЕ 12 МЕСЕЦИ.</w:t>
            </w:r>
          </w:p>
          <w:p w14:paraId="1216201B" w14:textId="77777777" w:rsidR="0065745A" w:rsidRPr="000504FB" w:rsidRDefault="0065745A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color w:val="FF0000"/>
                <w:sz w:val="22"/>
                <w:szCs w:val="22"/>
                <w:lang w:val="sr-Cyrl-RS"/>
              </w:rPr>
            </w:pPr>
          </w:p>
          <w:p w14:paraId="63305270" w14:textId="3CB76481" w:rsidR="00AE14AB" w:rsidRPr="000504FB" w:rsidRDefault="00AE14AB" w:rsidP="0065745A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9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</w:t>
            </w:r>
            <w:r w:rsidR="00971BAB"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потребне документације</w:t>
            </w:r>
          </w:p>
          <w:p w14:paraId="4FD772BF" w14:textId="77777777" w:rsidR="00AE14AB" w:rsidRPr="000504FB" w:rsidRDefault="00AE14AB" w:rsidP="003143DA">
            <w:pPr>
              <w:spacing w:before="120" w:after="120"/>
              <w:ind w:left="1004"/>
              <w:contextualSpacing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759DDFC" w14:textId="5B916383" w:rsidR="00AE14AB" w:rsidRPr="000504FB" w:rsidRDefault="00AE14AB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Сваки административни поступак који спроводе надлежни органи и организације мора бити утемељен у закону. Када је реч о административним поступцима којима се остварује неко право, у закону који уређује </w:t>
            </w:r>
            <w:r w:rsidR="00DF3FAD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административни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поступак морају бити јасно прецизирани услови који се морају испуњавати како би </w:t>
            </w:r>
            <w:r w:rsidR="00DF3FAD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заинтересована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лица остварила своја права.</w:t>
            </w:r>
            <w:r w:rsidR="000D3F65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Прописивање потребних услова међутим не чини један поступак довољно јасним. Како би се обезбедила пуна правна сигурност заинтересована лица морају имати јасну слику о томе које су њихове обавезе у току спровођења административног поступка, тачније коју документацију или податке су у обавези да доставе</w:t>
            </w:r>
            <w:r w:rsidR="00971BAB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надлежним органима, како би исти могли да одлучују о њиховим захтевима.</w:t>
            </w:r>
          </w:p>
          <w:p w14:paraId="6DA5C2CB" w14:textId="417A41F0" w:rsidR="00AE14AB" w:rsidRPr="000504FB" w:rsidRDefault="00AE14AB" w:rsidP="003143D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 тог разлога поред услова који се морају испуњавати ради </w:t>
            </w:r>
            <w:r w:rsidR="00DF3FAD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остваривања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одређеног права потребно је прописати и тачну документацију као и форме сваког документа (оригинал, оверена копија, копија уз оригинал на увид, копија), односно разрадити на који начин се испуњеност тих услова доказује. </w:t>
            </w:r>
          </w:p>
          <w:p w14:paraId="0B2ED312" w14:textId="77777777" w:rsidR="00AE14AB" w:rsidRPr="000504FB" w:rsidRDefault="00AE14AB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наведено потребно је прописати да се уз захтев доставља следећа документација: </w:t>
            </w:r>
          </w:p>
          <w:p w14:paraId="1E640D9E" w14:textId="77777777" w:rsidR="00AE14AB" w:rsidRPr="000504FB" w:rsidRDefault="00AE14AB" w:rsidP="003143DA">
            <w:pPr>
              <w:pStyle w:val="ListParagraph"/>
              <w:numPr>
                <w:ilvl w:val="0"/>
                <w:numId w:val="14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Потврда о обучености за вршење послова приватног обезбеђења;</w:t>
            </w:r>
          </w:p>
          <w:p w14:paraId="7F6B2316" w14:textId="77777777" w:rsidR="00AE14AB" w:rsidRPr="000504FB" w:rsidRDefault="00AE14AB" w:rsidP="003143DA">
            <w:pPr>
              <w:pStyle w:val="ListParagraph"/>
              <w:numPr>
                <w:ilvl w:val="0"/>
                <w:numId w:val="14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Уверење о обучености за руковање ватреним оружјем;</w:t>
            </w:r>
          </w:p>
          <w:p w14:paraId="4C2E0824" w14:textId="77777777" w:rsidR="00AE14AB" w:rsidRPr="000504FB" w:rsidRDefault="00AE14AB" w:rsidP="003143DA">
            <w:pPr>
              <w:pStyle w:val="ListParagraph"/>
              <w:numPr>
                <w:ilvl w:val="0"/>
                <w:numId w:val="14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Доказ о уплати таксе</w:t>
            </w:r>
            <w:r w:rsidR="004C2D94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7348841" w14:textId="6891A8A5" w:rsidR="00A62022" w:rsidRPr="000504FB" w:rsidRDefault="00A62022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Након што се усвоји нови правилник, потребно је проверити да ли је препорука обухваћена правилником.</w:t>
            </w:r>
          </w:p>
          <w:p w14:paraId="1F3D93BF" w14:textId="7184CFE3" w:rsidR="0065745A" w:rsidRPr="000504FB" w:rsidRDefault="002B4A0E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измена Правилника о начину полагања стручног испита за вршење послова приватног обезбеђења, висини трошкова организовања и спровођења испита и садржини и начину вођења евиденција. </w:t>
            </w:r>
          </w:p>
          <w:p w14:paraId="45DA3DD8" w14:textId="607C1692" w:rsidR="0065745A" w:rsidRPr="000504FB" w:rsidRDefault="004F2D5A" w:rsidP="004F2D5A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9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 форме у којој се достављају документи</w:t>
            </w:r>
          </w:p>
          <w:p w14:paraId="137ABEBA" w14:textId="5F9BF8AC" w:rsidR="004F2D5A" w:rsidRPr="000504FB" w:rsidRDefault="004F2D5A" w:rsidP="004F2D5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Приликом провере испуњености услова, у овом поступку се од странке захтева да достави 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одређена документе искључиво у оригиналу, што доводи до непотребних трошкова чиме се нарушава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7D9FC55C" w14:textId="2D3539EB" w:rsidR="004F2D5A" w:rsidRPr="000504FB" w:rsidRDefault="004F2D5A" w:rsidP="004F2D5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Стога се предлаже да се </w:t>
            </w:r>
            <w:r w:rsidR="00902281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следећа документација достави у копији:</w:t>
            </w:r>
          </w:p>
          <w:p w14:paraId="37EC467D" w14:textId="77777777" w:rsidR="00902281" w:rsidRPr="000504FB" w:rsidRDefault="00902281" w:rsidP="00902281">
            <w:pPr>
              <w:pStyle w:val="ListParagraph"/>
              <w:numPr>
                <w:ilvl w:val="0"/>
                <w:numId w:val="29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Потврда о обучености за вршење послова приватног обезбеђења;</w:t>
            </w:r>
          </w:p>
          <w:p w14:paraId="7E58FF93" w14:textId="77777777" w:rsidR="00902281" w:rsidRPr="000504FB" w:rsidRDefault="00902281" w:rsidP="00902281">
            <w:pPr>
              <w:pStyle w:val="ListParagraph"/>
              <w:numPr>
                <w:ilvl w:val="0"/>
                <w:numId w:val="29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Уверење о обучености за руковање ватреним оружјем;</w:t>
            </w:r>
          </w:p>
          <w:p w14:paraId="3751A642" w14:textId="7B4074A0" w:rsidR="00902281" w:rsidRPr="000504FB" w:rsidRDefault="00902281" w:rsidP="00902281">
            <w:pPr>
              <w:pStyle w:val="ListParagraph"/>
              <w:numPr>
                <w:ilvl w:val="0"/>
                <w:numId w:val="29"/>
              </w:num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Доказ о уплати таксе. </w:t>
            </w:r>
          </w:p>
          <w:p w14:paraId="040704FA" w14:textId="77777777" w:rsidR="0077178E" w:rsidRPr="000504FB" w:rsidRDefault="00A62022" w:rsidP="003143DA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7F77E25" w14:textId="4FC0B8AD" w:rsidR="00AE14AB" w:rsidRPr="000504FB" w:rsidRDefault="00AE14AB" w:rsidP="00B33EDF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9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2F79B3AB" w14:textId="77777777" w:rsidR="003143DA" w:rsidRPr="000504FB" w:rsidRDefault="003143DA" w:rsidP="003143DA">
            <w:pPr>
              <w:pStyle w:val="ListParagraph"/>
              <w:spacing w:before="120" w:after="120"/>
              <w:ind w:left="1004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AF42CE" w14:textId="2D1DEB49" w:rsidR="00AE14AB" w:rsidRPr="000504FB" w:rsidRDefault="00AE14AB" w:rsidP="003143DA">
            <w:pPr>
              <w:spacing w:before="120" w:after="12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Приликом одлучивања о поднетом захтеву, од подносиоца се захтева да достави документа која нису од значаја за издавање лиценце.</w:t>
            </w:r>
            <w:r w:rsidR="00971BAB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AA2D24C" w14:textId="77777777" w:rsidR="00AE14AB" w:rsidRPr="000504FB" w:rsidRDefault="00AE14AB" w:rsidP="003143DA">
            <w:pPr>
              <w:pStyle w:val="ListParagraph"/>
              <w:numPr>
                <w:ilvl w:val="0"/>
                <w:numId w:val="27"/>
              </w:numPr>
              <w:spacing w:before="120" w:after="12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Документ 1. Лична карта </w:t>
            </w:r>
          </w:p>
          <w:p w14:paraId="736A7204" w14:textId="1A5DBE4E" w:rsidR="00AE14AB" w:rsidRPr="000504FB" w:rsidRDefault="00AE14AB" w:rsidP="003143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504FB">
              <w:rPr>
                <w:sz w:val="22"/>
                <w:szCs w:val="22"/>
                <w:lang w:val="sr-Cyrl-RS"/>
              </w:rPr>
              <w:t>Податке о личности</w:t>
            </w:r>
            <w:r w:rsidR="00A24056" w:rsidRPr="000504FB">
              <w:rPr>
                <w:sz w:val="22"/>
                <w:szCs w:val="22"/>
                <w:lang w:val="sr-Cyrl-RS"/>
              </w:rPr>
              <w:t xml:space="preserve">ма </w:t>
            </w:r>
            <w:r w:rsidRPr="000504FB">
              <w:rPr>
                <w:sz w:val="22"/>
                <w:szCs w:val="22"/>
                <w:lang w:val="sr-Cyrl-RS"/>
              </w:rPr>
              <w:t xml:space="preserve">води управо надлежни орган који спроводи </w:t>
            </w:r>
            <w:r w:rsidR="006D5274" w:rsidRPr="000504FB">
              <w:rPr>
                <w:sz w:val="22"/>
                <w:szCs w:val="22"/>
                <w:lang w:val="sr-Cyrl-RS"/>
              </w:rPr>
              <w:t>административни</w:t>
            </w:r>
            <w:r w:rsidRPr="000504FB">
              <w:rPr>
                <w:sz w:val="22"/>
                <w:szCs w:val="22"/>
                <w:lang w:val="sr-Cyrl-RS"/>
              </w:rPr>
              <w:t xml:space="preserve"> поступак, и који до тих података може доћи увидом у своје евиденције. </w:t>
            </w:r>
            <w:r w:rsidR="00A24056" w:rsidRPr="000504FB">
              <w:rPr>
                <w:sz w:val="22"/>
                <w:szCs w:val="22"/>
                <w:lang w:val="sr-Cyrl-RS"/>
              </w:rPr>
              <w:t>Довољно је да подносилац захтева у Обрасцу захтева достави своје податке</w:t>
            </w:r>
            <w:r w:rsidR="00A9691B" w:rsidRPr="000504FB">
              <w:rPr>
                <w:sz w:val="22"/>
                <w:szCs w:val="22"/>
                <w:lang w:val="sr-Cyrl-RS"/>
              </w:rPr>
              <w:t xml:space="preserve"> (име и презиме и ЈМБГ).</w:t>
            </w:r>
          </w:p>
          <w:p w14:paraId="55A4FD6F" w14:textId="77777777" w:rsidR="00A9691B" w:rsidRPr="000504FB" w:rsidRDefault="00A9691B" w:rsidP="003143D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59B8070" w14:textId="0605FC9C" w:rsidR="00A9691B" w:rsidRPr="000504FB" w:rsidRDefault="00A9691B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504FB">
              <w:rPr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2EB8A219" w14:textId="77777777" w:rsidR="005B75A8" w:rsidRPr="000504FB" w:rsidRDefault="005B75A8" w:rsidP="003143D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EFB8D0D" w14:textId="02B030DC" w:rsidR="00AE14AB" w:rsidRPr="000504FB" w:rsidRDefault="00DC4B10" w:rsidP="00B33EDF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90"/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Унапређење обрасца</w:t>
            </w:r>
            <w:r w:rsidR="00AE14AB" w:rsidRPr="000504F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за подношење захтева </w:t>
            </w:r>
          </w:p>
          <w:p w14:paraId="535F0F3A" w14:textId="77777777" w:rsidR="00AE14AB" w:rsidRPr="000504FB" w:rsidRDefault="00AE14AB" w:rsidP="003143D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00D8064E" w14:textId="4950D6A3" w:rsidR="002B4A0E" w:rsidRPr="000504FB" w:rsidRDefault="00AE14AB" w:rsidP="003143DA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се захтев подн</w:t>
            </w:r>
            <w:r w:rsidR="009F3153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си у прописаној форми,</w:t>
            </w:r>
            <w:r w:rsidR="00971BAB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B4A0E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складу са обрасцем чији су елементи дефинисани прописом, неопходна је измена обрасца јер исти не прописује прибављање података по службеној дужности већ ту обавезу преноси на подносиоца захтева. </w:t>
            </w:r>
          </w:p>
          <w:p w14:paraId="7A7696D4" w14:textId="77777777" w:rsidR="002B4A0E" w:rsidRPr="000504FB" w:rsidRDefault="002B4A0E" w:rsidP="003143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854192" w14:textId="77777777" w:rsidR="00AE14AB" w:rsidRPr="000504FB" w:rsidRDefault="00AE14AB" w:rsidP="003143D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се:</w:t>
            </w:r>
          </w:p>
          <w:p w14:paraId="3D315B7A" w14:textId="3C01EFF8" w:rsidR="00AE14AB" w:rsidRPr="000504FB" w:rsidRDefault="00AE14AB" w:rsidP="003143DA">
            <w:pPr>
              <w:pStyle w:val="ListParagraph"/>
              <w:numPr>
                <w:ilvl w:val="0"/>
                <w:numId w:val="16"/>
              </w:numPr>
              <w:spacing w:before="100" w:beforeAutospacing="1" w:afterAutospacing="1"/>
              <w:ind w:left="39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D8DC4BB" w14:textId="439AA899" w:rsidR="00AE14AB" w:rsidRPr="000504FB" w:rsidRDefault="00AE14AB" w:rsidP="003143DA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</w:t>
            </w:r>
            <w:r w:rsidR="002B4A0E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Име и презиме, а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дреса</w:t>
            </w:r>
            <w:r w:rsidR="002B4A0E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ЈМБГ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32C0F61A" w14:textId="62A8E20F" w:rsidR="002B4A0E" w:rsidRPr="000504FB" w:rsidRDefault="00AE14AB" w:rsidP="003143DA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</w:t>
            </w:r>
          </w:p>
          <w:p w14:paraId="2FAE17D1" w14:textId="5D8832CA" w:rsidR="006D5274" w:rsidRPr="000504FB" w:rsidRDefault="006D5274" w:rsidP="003143DA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4D474A2" w14:textId="2E2F7EFB" w:rsidR="006D5274" w:rsidRPr="000504FB" w:rsidRDefault="006D5274" w:rsidP="003143DA">
            <w:pPr>
              <w:pStyle w:val="ListParagraph"/>
              <w:numPr>
                <w:ilvl w:val="0"/>
                <w:numId w:val="20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258B3E2C" w14:textId="4BFE87A6" w:rsidR="006D5274" w:rsidRPr="000504FB" w:rsidRDefault="006D5274" w:rsidP="003143DA">
            <w:pPr>
              <w:pStyle w:val="ListParagraph"/>
              <w:numPr>
                <w:ilvl w:val="0"/>
                <w:numId w:val="20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9DCF739" w14:textId="6027DFA1" w:rsidR="006D5274" w:rsidRPr="000504FB" w:rsidRDefault="006D5274" w:rsidP="003143DA">
            <w:pPr>
              <w:pStyle w:val="ListParagraph"/>
              <w:numPr>
                <w:ilvl w:val="0"/>
                <w:numId w:val="20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  <w:bookmarkStart w:id="0" w:name="_Hlk515015477"/>
          </w:p>
          <w:p w14:paraId="5D052C5B" w14:textId="11D8322B" w:rsidR="006D5274" w:rsidRPr="000504FB" w:rsidRDefault="006D5274" w:rsidP="003143DA">
            <w:pPr>
              <w:pStyle w:val="ListParagraph"/>
              <w:numPr>
                <w:ilvl w:val="0"/>
                <w:numId w:val="20"/>
              </w:numPr>
              <w:tabs>
                <w:tab w:val="left" w:pos="300"/>
              </w:tabs>
              <w:spacing w:after="200"/>
              <w:ind w:left="131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</w:t>
            </w:r>
            <w:bookmarkEnd w:id="0"/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21D4D86" w14:textId="3F792B88" w:rsidR="00AE14AB" w:rsidRPr="000504FB" w:rsidRDefault="00AE14AB" w:rsidP="000430C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 w:cstheme="minorBidi"/>
                <w:sz w:val="22"/>
                <w:szCs w:val="22"/>
                <w:lang w:val="sr-Cyrl-RS"/>
              </w:rPr>
            </w:pPr>
            <w:r w:rsidRPr="00A46A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Информације о року за решавање уредног предмета (број дана)</w:t>
            </w:r>
          </w:p>
          <w:p w14:paraId="7933DB4D" w14:textId="2EF2796A" w:rsidR="00AE14AB" w:rsidRPr="000430C9" w:rsidRDefault="00AE14AB" w:rsidP="000430C9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885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46A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</w:t>
            </w:r>
            <w:r w:rsidRPr="00A46A75">
              <w:rPr>
                <w:rFonts w:ascii="Times New Roman" w:hAnsi="Times New Roman"/>
                <w:lang w:val="sr-Cyrl-RS"/>
              </w:rPr>
              <w:t>Сагласан/на сам да орган за потребе поступка може да изврши увид, прибави и обради личне податке о чињеницама о којима се води службена евиденција, а који су неопходни у поступку одлучивања (сходно члану 103. став 3. ЗОУП-а).“</w:t>
            </w:r>
            <w:r w:rsidR="00971BAB" w:rsidRPr="00A46A75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72BBEA39" w14:textId="70F7D6D9" w:rsidR="005C4411" w:rsidRPr="000504FB" w:rsidRDefault="005C4411" w:rsidP="005C4411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E157DA0" w14:textId="0D755570" w:rsidR="005C4411" w:rsidRPr="000504FB" w:rsidRDefault="005C4411" w:rsidP="00007995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098132C7" w14:textId="7111E5ED" w:rsidR="005C4411" w:rsidRPr="000504FB" w:rsidRDefault="005C4411" w:rsidP="00007995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C85B2FE" w14:textId="10AA23DC" w:rsidR="005C4411" w:rsidRPr="000504FB" w:rsidRDefault="005C4411" w:rsidP="00007995">
            <w:pPr>
              <w:pStyle w:val="ListParagraph"/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изјављујем да ћу сам/а за потребе поступка прибавити следеће податке: _____________________________________________________________________ _____________________________________________________________________</w:t>
            </w:r>
          </w:p>
          <w:p w14:paraId="703084AD" w14:textId="05CF9F39" w:rsidR="005C4411" w:rsidRPr="000504FB" w:rsidRDefault="005C4411" w:rsidP="005C4411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</w:t>
            </w:r>
          </w:p>
          <w:p w14:paraId="105EC8DA" w14:textId="146E8257" w:rsidR="005C4411" w:rsidRPr="000504FB" w:rsidRDefault="005C4411" w:rsidP="005C4411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1F4C0B2B" w14:textId="6757AE37" w:rsidR="005C4411" w:rsidRPr="000504FB" w:rsidRDefault="005C4411" w:rsidP="005C4411">
            <w:pPr>
              <w:pStyle w:val="ListParagraph"/>
              <w:numPr>
                <w:ilvl w:val="1"/>
                <w:numId w:val="16"/>
              </w:numPr>
              <w:spacing w:before="100" w:beforeAutospacing="1" w:afterAutospacing="1"/>
              <w:ind w:left="90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61B7805" w14:textId="77777777" w:rsidR="00AE14AB" w:rsidRPr="000504FB" w:rsidRDefault="00AE14AB" w:rsidP="003143DA">
            <w:pPr>
              <w:pStyle w:val="ListParagraph"/>
              <w:ind w:left="390"/>
              <w:rPr>
                <w:rFonts w:ascii="Times New Roman" w:hAnsi="Times New Roman"/>
                <w:sz w:val="22"/>
                <w:szCs w:val="22"/>
              </w:rPr>
            </w:pPr>
          </w:p>
          <w:p w14:paraId="164CC746" w14:textId="347F9567" w:rsidR="00A24AF5" w:rsidRPr="000504FB" w:rsidRDefault="00A24AF5" w:rsidP="00A24AF5">
            <w:pPr>
              <w:pStyle w:val="CommentText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Бројеви телефона и електронска адреса надлежног органа, износ издатка, као и сврха уплате налазиће се у упутству које ће бити окачено на сајту МУП-а. </w:t>
            </w:r>
          </w:p>
          <w:p w14:paraId="3CC9893B" w14:textId="77777777" w:rsidR="00A24AF5" w:rsidRPr="000504FB" w:rsidRDefault="00A24AF5" w:rsidP="003143DA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14:paraId="56D81E2C" w14:textId="77777777" w:rsidR="00AE14AB" w:rsidRPr="000504FB" w:rsidRDefault="00AE14AB" w:rsidP="003143DA">
            <w:pPr>
              <w:pStyle w:val="ListParagraph"/>
              <w:numPr>
                <w:ilvl w:val="0"/>
                <w:numId w:val="16"/>
              </w:numPr>
              <w:spacing w:before="100" w:beforeAutospacing="1" w:afterAutospacing="1"/>
              <w:ind w:left="390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3C0A6D54" w14:textId="424735C1" w:rsidR="00AE14AB" w:rsidRDefault="00C433BD" w:rsidP="00C433BD">
            <w:pPr>
              <w:ind w:left="30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0504FB">
              <w:rPr>
                <w:rFonts w:ascii="Times New Roman" w:hAnsi="Times New Roman"/>
                <w:sz w:val="22"/>
                <w:szCs w:val="22"/>
                <w:lang w:val="sr-Cyrl-RS"/>
              </w:rPr>
              <w:t>Образац је већ прописан подзаконским актом, потребно је да се унесу мање измене да би се усагласио са препоруком.</w:t>
            </w:r>
          </w:p>
          <w:p w14:paraId="7DAA41FA" w14:textId="77777777" w:rsidR="000430C9" w:rsidRDefault="000430C9" w:rsidP="00C433BD">
            <w:pPr>
              <w:ind w:left="30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07B211EE" w14:textId="7BE8E1E5" w:rsidR="000430C9" w:rsidRPr="000430C9" w:rsidRDefault="000430C9" w:rsidP="000430C9">
            <w:pPr>
              <w:ind w:left="30"/>
              <w:jc w:val="both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 потребно је донети нов П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равилник којим ће се ближе одредити услови </w:t>
            </w:r>
            <w:r w:rsidRPr="00DF3FAD">
              <w:rPr>
                <w:rFonts w:ascii="Times New Roman" w:hAnsi="Times New Roman"/>
                <w:sz w:val="22"/>
                <w:szCs w:val="22"/>
                <w:lang w:val="sr-Cyrl-RS"/>
              </w:rPr>
              <w:t>о начину полагања стручног испита за вршење послова приватног обезбеђења, висини трошкова организовања и спровођења испита и садржини и начину вођења евиденција</w:t>
            </w:r>
          </w:p>
          <w:p w14:paraId="40E5FA97" w14:textId="77777777" w:rsidR="00A24C9E" w:rsidRPr="000504FB" w:rsidRDefault="00A24C9E" w:rsidP="00A24C9E">
            <w:pPr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74B4EB" w14:textId="44967F6C" w:rsidR="006D5274" w:rsidRPr="000504FB" w:rsidRDefault="006D5274" w:rsidP="00B33EDF">
            <w:pPr>
              <w:pStyle w:val="ListParagraph"/>
              <w:numPr>
                <w:ilvl w:val="1"/>
                <w:numId w:val="23"/>
              </w:numPr>
              <w:spacing w:before="120" w:after="120"/>
              <w:ind w:hanging="90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684D59DC" w14:textId="4A7DA748" w:rsidR="006D5274" w:rsidRPr="000504FB" w:rsidRDefault="006D5274" w:rsidP="00A8221B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="0079146E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поштом</w:t>
            </w:r>
            <w:r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</w:t>
            </w:r>
            <w:r w:rsidR="00A8221B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 пратећом документацијом такође потписаном квалификованим електронским сертификатом</w:t>
            </w:r>
            <w:r w:rsidR="004D6FC0" w:rsidRPr="000504F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B176225" w14:textId="55B8BC30" w:rsidR="000416FB" w:rsidRPr="000504FB" w:rsidRDefault="006D5274" w:rsidP="00DE37D3">
            <w:pPr>
              <w:pStyle w:val="ListParagraph"/>
              <w:spacing w:before="120" w:after="120"/>
              <w:ind w:left="-23"/>
              <w:jc w:val="both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За примену ове препоруке</w:t>
            </w:r>
            <w:r w:rsidR="0079146E"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када се испуне технички услови</w:t>
            </w:r>
            <w:r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, није потребна измена прописа</w:t>
            </w:r>
            <w:r w:rsidR="00A24AF5"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, али је потребно обезбедити техничке услове. </w:t>
            </w:r>
            <w:r w:rsidRPr="000504F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AE14AB" w:rsidRPr="00DF3FAD" w14:paraId="70F81684" w14:textId="77777777" w:rsidTr="004C2D9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F9672D" w14:textId="0E760CE9" w:rsidR="00AE14AB" w:rsidRPr="00DF3FAD" w:rsidRDefault="00AE14AB" w:rsidP="003143DA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3FA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971BAB" w:rsidRPr="00DF3FA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F3FAD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971BAB" w:rsidRPr="00DF3FA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F3FAD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AE14AB" w:rsidRPr="00DF3FAD" w14:paraId="16B3154D" w14:textId="77777777" w:rsidTr="004C2D9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7884B8D1" w14:textId="77777777" w:rsidR="00AE14AB" w:rsidRPr="00DF3FAD" w:rsidRDefault="00AF1156" w:rsidP="00926DF0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приватном обезбеђење</w:t>
            </w: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AE14AB" w:rsidRPr="00DF3FAD" w14:paraId="41C5E00D" w14:textId="77777777" w:rsidTr="004C2D9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F44E9AF" w14:textId="77777777" w:rsidR="00AE14AB" w:rsidRPr="00DF3FAD" w:rsidRDefault="00AE14AB" w:rsidP="003143DA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3FA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E14AB" w:rsidRPr="00DF3FAD" w14:paraId="7BCF6A42" w14:textId="77777777" w:rsidTr="004C2D9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5F3127C4" w14:textId="77777777" w:rsidR="00AE14AB" w:rsidRPr="00DF3FAD" w:rsidRDefault="00AF1156" w:rsidP="00DE37D3">
            <w:pPr>
              <w:jc w:val="both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приватном обезбеђење</w:t>
            </w:r>
            <w:r w:rsidRPr="00262C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AE14AB" w:rsidRPr="00DF3FAD" w14:paraId="448F8D83" w14:textId="77777777" w:rsidTr="006D5274">
        <w:trPr>
          <w:trHeight w:val="535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F2C60EF" w14:textId="34C6F905" w:rsidR="00AE14AB" w:rsidRPr="00DF3FAD" w:rsidRDefault="00AE14AB" w:rsidP="003143DA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F3FAD">
              <w:rPr>
                <w:b/>
                <w:sz w:val="22"/>
                <w:szCs w:val="22"/>
                <w:lang w:val="sr-Cyrl-RS"/>
              </w:rPr>
              <w:t>АНАЛИЗА ЕФЕК</w:t>
            </w:r>
            <w:r w:rsidR="00E17D61" w:rsidRPr="00DF3FAD">
              <w:rPr>
                <w:b/>
                <w:sz w:val="22"/>
                <w:szCs w:val="22"/>
                <w:lang w:val="sr-Cyrl-RS"/>
              </w:rPr>
              <w:t>А</w:t>
            </w:r>
            <w:r w:rsidRPr="00DF3FAD">
              <w:rPr>
                <w:b/>
                <w:sz w:val="22"/>
                <w:szCs w:val="22"/>
                <w:lang w:val="sr-Cyrl-RS"/>
              </w:rPr>
              <w:t>ТА ПРЕПОРУКЕ (АЕП)</w:t>
            </w:r>
          </w:p>
        </w:tc>
      </w:tr>
      <w:tr w:rsidR="0079146E" w:rsidRPr="00DF3FAD" w14:paraId="21317C90" w14:textId="77777777" w:rsidTr="0079146E">
        <w:trPr>
          <w:trHeight w:val="535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6D4ED436" w14:textId="77777777" w:rsidR="000430C9" w:rsidRDefault="00DC4B10" w:rsidP="0084060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DC4B10">
              <w:rPr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15.775.825,75 РСД. </w:t>
            </w:r>
          </w:p>
          <w:p w14:paraId="698B5464" w14:textId="043017B4" w:rsidR="00926DF0" w:rsidRPr="00926DF0" w:rsidRDefault="00926DF0" w:rsidP="00840601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bookmarkStart w:id="1" w:name="_GoBack"/>
            <w:bookmarkEnd w:id="1"/>
            <w:r w:rsidRPr="00926DF0">
              <w:rPr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</w:t>
            </w:r>
            <w:r w:rsidR="00840601">
              <w:rPr>
                <w:sz w:val="22"/>
                <w:szCs w:val="22"/>
                <w:lang w:val="sr-Cyrl-RS"/>
              </w:rPr>
              <w:t xml:space="preserve">, повећању </w:t>
            </w:r>
            <w:r w:rsidRPr="00926DF0">
              <w:rPr>
                <w:sz w:val="22"/>
                <w:szCs w:val="22"/>
                <w:lang w:val="sr-Cyrl-RS"/>
              </w:rPr>
              <w:t>правне сигурности привредних субјеката</w:t>
            </w:r>
            <w:r w:rsidR="00840601">
              <w:rPr>
                <w:sz w:val="22"/>
                <w:szCs w:val="22"/>
                <w:lang w:val="sr-Cyrl-RS"/>
              </w:rPr>
              <w:t xml:space="preserve"> и</w:t>
            </w:r>
            <w:r w:rsidRPr="00926DF0">
              <w:rPr>
                <w:sz w:val="22"/>
                <w:szCs w:val="22"/>
                <w:lang w:val="sr-Cyrl-RS"/>
              </w:rPr>
              <w:t xml:space="preserve"> </w:t>
            </w:r>
            <w:r w:rsidRPr="00926DF0">
              <w:rPr>
                <w:sz w:val="22"/>
                <w:szCs w:val="22"/>
                <w:lang w:val="sr-Cyrl-RS"/>
              </w:rPr>
              <w:lastRenderedPageBreak/>
              <w:t>истоветности поступања</w:t>
            </w:r>
            <w:r>
              <w:rPr>
                <w:sz w:val="22"/>
                <w:szCs w:val="22"/>
                <w:lang w:val="sr-Cyrl-RS"/>
              </w:rPr>
              <w:t>.</w:t>
            </w:r>
            <w:r w:rsidRPr="00926DF0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68B49EAA" w14:textId="77777777" w:rsidR="00764797" w:rsidRPr="00DF3FAD" w:rsidRDefault="00764797" w:rsidP="003143DA">
      <w:pPr>
        <w:spacing w:line="240" w:lineRule="auto"/>
        <w:rPr>
          <w:rFonts w:ascii="Times New Roman" w:hAnsi="Times New Roman" w:cs="Times New Roman"/>
          <w:color w:val="1F497D"/>
          <w:shd w:val="clear" w:color="auto" w:fill="FFFFFF"/>
          <w:lang w:val="sr-Cyrl-RS"/>
        </w:rPr>
      </w:pPr>
    </w:p>
    <w:p w14:paraId="7437D7DD" w14:textId="77777777" w:rsidR="00764797" w:rsidRPr="00DF3FAD" w:rsidRDefault="00764797" w:rsidP="003143DA">
      <w:pPr>
        <w:spacing w:line="240" w:lineRule="auto"/>
        <w:rPr>
          <w:rFonts w:ascii="Times New Roman" w:hAnsi="Times New Roman" w:cs="Times New Roman"/>
          <w:color w:val="1F497D"/>
          <w:shd w:val="clear" w:color="auto" w:fill="FFFFFF"/>
          <w:lang w:val="sr-Cyrl-RS"/>
        </w:rPr>
      </w:pPr>
    </w:p>
    <w:p w14:paraId="1D614002" w14:textId="77777777" w:rsidR="00764797" w:rsidRPr="00DF3FAD" w:rsidRDefault="00764797" w:rsidP="003143DA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u w:val="single"/>
          <w:lang w:val="sr-Cyrl-RS"/>
        </w:rPr>
      </w:pPr>
    </w:p>
    <w:p w14:paraId="36E156FB" w14:textId="77777777" w:rsidR="004C2D94" w:rsidRPr="00DF3FAD" w:rsidRDefault="004C2D94" w:rsidP="003143DA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 w:themeColor="text1"/>
          <w:u w:val="single"/>
          <w:lang w:val="sr-Cyrl-RS"/>
        </w:rPr>
      </w:pPr>
    </w:p>
    <w:sectPr w:rsidR="004C2D94" w:rsidRPr="00DF3F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D6FB7FB" w15:done="0"/>
  <w15:commentEx w15:paraId="2596120F" w15:paraIdParent="1D6FB7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6FB7FB" w16cid:durableId="2053392F"/>
  <w16cid:commentId w16cid:paraId="2596120F" w16cid:durableId="205339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6F5"/>
    <w:multiLevelType w:val="hybridMultilevel"/>
    <w:tmpl w:val="6728C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169C24A5"/>
    <w:multiLevelType w:val="multilevel"/>
    <w:tmpl w:val="FE4674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4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DF75AA"/>
    <w:multiLevelType w:val="hybridMultilevel"/>
    <w:tmpl w:val="C6509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190BA1"/>
    <w:multiLevelType w:val="hybridMultilevel"/>
    <w:tmpl w:val="AD4E2EC0"/>
    <w:lvl w:ilvl="0" w:tplc="463031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946864"/>
    <w:multiLevelType w:val="multilevel"/>
    <w:tmpl w:val="1130CE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>
    <w:nsid w:val="2C2E2704"/>
    <w:multiLevelType w:val="hybridMultilevel"/>
    <w:tmpl w:val="B720B4D4"/>
    <w:lvl w:ilvl="0" w:tplc="B2C255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CE0B0E"/>
    <w:multiLevelType w:val="hybridMultilevel"/>
    <w:tmpl w:val="6D0A6F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E0129"/>
    <w:multiLevelType w:val="hybridMultilevel"/>
    <w:tmpl w:val="E744DDC6"/>
    <w:lvl w:ilvl="0" w:tplc="374604D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81" w:hanging="360"/>
      </w:pPr>
    </w:lvl>
    <w:lvl w:ilvl="2" w:tplc="241A001B" w:tentative="1">
      <w:start w:val="1"/>
      <w:numFmt w:val="lowerRoman"/>
      <w:lvlText w:val="%3."/>
      <w:lvlJc w:val="right"/>
      <w:pPr>
        <w:ind w:left="2401" w:hanging="180"/>
      </w:pPr>
    </w:lvl>
    <w:lvl w:ilvl="3" w:tplc="241A000F" w:tentative="1">
      <w:start w:val="1"/>
      <w:numFmt w:val="decimal"/>
      <w:lvlText w:val="%4."/>
      <w:lvlJc w:val="left"/>
      <w:pPr>
        <w:ind w:left="3121" w:hanging="360"/>
      </w:pPr>
    </w:lvl>
    <w:lvl w:ilvl="4" w:tplc="241A0019" w:tentative="1">
      <w:start w:val="1"/>
      <w:numFmt w:val="lowerLetter"/>
      <w:lvlText w:val="%5."/>
      <w:lvlJc w:val="left"/>
      <w:pPr>
        <w:ind w:left="3841" w:hanging="360"/>
      </w:pPr>
    </w:lvl>
    <w:lvl w:ilvl="5" w:tplc="241A001B" w:tentative="1">
      <w:start w:val="1"/>
      <w:numFmt w:val="lowerRoman"/>
      <w:lvlText w:val="%6."/>
      <w:lvlJc w:val="right"/>
      <w:pPr>
        <w:ind w:left="4561" w:hanging="180"/>
      </w:pPr>
    </w:lvl>
    <w:lvl w:ilvl="6" w:tplc="241A000F" w:tentative="1">
      <w:start w:val="1"/>
      <w:numFmt w:val="decimal"/>
      <w:lvlText w:val="%7."/>
      <w:lvlJc w:val="left"/>
      <w:pPr>
        <w:ind w:left="5281" w:hanging="360"/>
      </w:pPr>
    </w:lvl>
    <w:lvl w:ilvl="7" w:tplc="241A0019" w:tentative="1">
      <w:start w:val="1"/>
      <w:numFmt w:val="lowerLetter"/>
      <w:lvlText w:val="%8."/>
      <w:lvlJc w:val="left"/>
      <w:pPr>
        <w:ind w:left="6001" w:hanging="360"/>
      </w:pPr>
    </w:lvl>
    <w:lvl w:ilvl="8" w:tplc="241A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4">
    <w:nsid w:val="48CB515F"/>
    <w:multiLevelType w:val="multilevel"/>
    <w:tmpl w:val="FE4674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04" w:hanging="1440"/>
      </w:pPr>
      <w:rPr>
        <w:rFonts w:hint="default"/>
      </w:rPr>
    </w:lvl>
  </w:abstractNum>
  <w:abstractNum w:abstractNumId="15">
    <w:nsid w:val="4CF34C4F"/>
    <w:multiLevelType w:val="hybridMultilevel"/>
    <w:tmpl w:val="6C3CB528"/>
    <w:lvl w:ilvl="0" w:tplc="143820C4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4FC625E0"/>
    <w:multiLevelType w:val="multilevel"/>
    <w:tmpl w:val="6C94D8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7">
    <w:nsid w:val="523D2412"/>
    <w:multiLevelType w:val="hybridMultilevel"/>
    <w:tmpl w:val="CA327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84CF3"/>
    <w:multiLevelType w:val="multilevel"/>
    <w:tmpl w:val="A030D1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72" w:hanging="1440"/>
      </w:pPr>
      <w:rPr>
        <w:rFonts w:hint="default"/>
      </w:rPr>
    </w:lvl>
  </w:abstractNum>
  <w:abstractNum w:abstractNumId="21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5737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23">
    <w:nsid w:val="69ED6D45"/>
    <w:multiLevelType w:val="multilevel"/>
    <w:tmpl w:val="6512D5F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440"/>
      </w:pPr>
      <w:rPr>
        <w:rFonts w:hint="default"/>
      </w:rPr>
    </w:lvl>
  </w:abstractNum>
  <w:abstractNum w:abstractNumId="24">
    <w:nsid w:val="6B0C71AA"/>
    <w:multiLevelType w:val="hybridMultilevel"/>
    <w:tmpl w:val="9BDA9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1724" w:hanging="360"/>
      </w:pPr>
    </w:lvl>
    <w:lvl w:ilvl="1" w:tplc="241A0019" w:tentative="1">
      <w:start w:val="1"/>
      <w:numFmt w:val="lowerLetter"/>
      <w:lvlText w:val="%2."/>
      <w:lvlJc w:val="left"/>
      <w:pPr>
        <w:ind w:left="2444" w:hanging="360"/>
      </w:pPr>
    </w:lvl>
    <w:lvl w:ilvl="2" w:tplc="241A001B" w:tentative="1">
      <w:start w:val="1"/>
      <w:numFmt w:val="lowerRoman"/>
      <w:lvlText w:val="%3."/>
      <w:lvlJc w:val="right"/>
      <w:pPr>
        <w:ind w:left="3164" w:hanging="180"/>
      </w:pPr>
    </w:lvl>
    <w:lvl w:ilvl="3" w:tplc="241A000F" w:tentative="1">
      <w:start w:val="1"/>
      <w:numFmt w:val="decimal"/>
      <w:lvlText w:val="%4."/>
      <w:lvlJc w:val="left"/>
      <w:pPr>
        <w:ind w:left="3884" w:hanging="360"/>
      </w:pPr>
    </w:lvl>
    <w:lvl w:ilvl="4" w:tplc="241A0019" w:tentative="1">
      <w:start w:val="1"/>
      <w:numFmt w:val="lowerLetter"/>
      <w:lvlText w:val="%5."/>
      <w:lvlJc w:val="left"/>
      <w:pPr>
        <w:ind w:left="4604" w:hanging="360"/>
      </w:pPr>
    </w:lvl>
    <w:lvl w:ilvl="5" w:tplc="241A001B" w:tentative="1">
      <w:start w:val="1"/>
      <w:numFmt w:val="lowerRoman"/>
      <w:lvlText w:val="%6."/>
      <w:lvlJc w:val="right"/>
      <w:pPr>
        <w:ind w:left="5324" w:hanging="180"/>
      </w:pPr>
    </w:lvl>
    <w:lvl w:ilvl="6" w:tplc="241A000F" w:tentative="1">
      <w:start w:val="1"/>
      <w:numFmt w:val="decimal"/>
      <w:lvlText w:val="%7."/>
      <w:lvlJc w:val="left"/>
      <w:pPr>
        <w:ind w:left="6044" w:hanging="360"/>
      </w:pPr>
    </w:lvl>
    <w:lvl w:ilvl="7" w:tplc="241A0019" w:tentative="1">
      <w:start w:val="1"/>
      <w:numFmt w:val="lowerLetter"/>
      <w:lvlText w:val="%8."/>
      <w:lvlJc w:val="left"/>
      <w:pPr>
        <w:ind w:left="6764" w:hanging="360"/>
      </w:pPr>
    </w:lvl>
    <w:lvl w:ilvl="8" w:tplc="241A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894115F"/>
    <w:multiLevelType w:val="hybridMultilevel"/>
    <w:tmpl w:val="AB42AF86"/>
    <w:lvl w:ilvl="0" w:tplc="D5B2CCD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1"/>
  </w:num>
  <w:num w:numId="4">
    <w:abstractNumId w:val="4"/>
  </w:num>
  <w:num w:numId="5">
    <w:abstractNumId w:val="25"/>
  </w:num>
  <w:num w:numId="6">
    <w:abstractNumId w:val="22"/>
  </w:num>
  <w:num w:numId="7">
    <w:abstractNumId w:val="16"/>
  </w:num>
  <w:num w:numId="8">
    <w:abstractNumId w:val="9"/>
  </w:num>
  <w:num w:numId="9">
    <w:abstractNumId w:val="21"/>
  </w:num>
  <w:num w:numId="10">
    <w:abstractNumId w:val="15"/>
  </w:num>
  <w:num w:numId="11">
    <w:abstractNumId w:val="13"/>
  </w:num>
  <w:num w:numId="12">
    <w:abstractNumId w:val="12"/>
  </w:num>
  <w:num w:numId="13">
    <w:abstractNumId w:val="27"/>
  </w:num>
  <w:num w:numId="14">
    <w:abstractNumId w:val="3"/>
  </w:num>
  <w:num w:numId="15">
    <w:abstractNumId w:val="19"/>
  </w:num>
  <w:num w:numId="16">
    <w:abstractNumId w:val="18"/>
  </w:num>
  <w:num w:numId="17">
    <w:abstractNumId w:val="6"/>
  </w:num>
  <w:num w:numId="18">
    <w:abstractNumId w:val="2"/>
  </w:num>
  <w:num w:numId="19">
    <w:abstractNumId w:val="28"/>
  </w:num>
  <w:num w:numId="20">
    <w:abstractNumId w:val="1"/>
  </w:num>
  <w:num w:numId="21">
    <w:abstractNumId w:val="5"/>
  </w:num>
  <w:num w:numId="22">
    <w:abstractNumId w:val="20"/>
  </w:num>
  <w:num w:numId="23">
    <w:abstractNumId w:val="8"/>
  </w:num>
  <w:num w:numId="24">
    <w:abstractNumId w:val="23"/>
  </w:num>
  <w:num w:numId="25">
    <w:abstractNumId w:val="7"/>
  </w:num>
  <w:num w:numId="26">
    <w:abstractNumId w:val="17"/>
  </w:num>
  <w:num w:numId="27">
    <w:abstractNumId w:val="24"/>
  </w:num>
  <w:num w:numId="28">
    <w:abstractNumId w:val="0"/>
  </w:num>
  <w:num w:numId="29">
    <w:abstractNumId w:val="14"/>
  </w:num>
  <w:num w:numId="30">
    <w:abstractNumId w:val="18"/>
  </w:num>
  <w:num w:numId="3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797"/>
    <w:rsid w:val="000056EA"/>
    <w:rsid w:val="00007995"/>
    <w:rsid w:val="000416FB"/>
    <w:rsid w:val="000430C9"/>
    <w:rsid w:val="000504FB"/>
    <w:rsid w:val="00051BC1"/>
    <w:rsid w:val="00054716"/>
    <w:rsid w:val="00060CC9"/>
    <w:rsid w:val="00067A23"/>
    <w:rsid w:val="000A1A9D"/>
    <w:rsid w:val="000B43F4"/>
    <w:rsid w:val="000C1EF3"/>
    <w:rsid w:val="000D3F65"/>
    <w:rsid w:val="000F6FF4"/>
    <w:rsid w:val="001201FB"/>
    <w:rsid w:val="00170CA7"/>
    <w:rsid w:val="001910DF"/>
    <w:rsid w:val="001C064A"/>
    <w:rsid w:val="001C4FF2"/>
    <w:rsid w:val="00220C92"/>
    <w:rsid w:val="00237D4E"/>
    <w:rsid w:val="00274FDE"/>
    <w:rsid w:val="002B26B3"/>
    <w:rsid w:val="002B4A0E"/>
    <w:rsid w:val="002C6ADA"/>
    <w:rsid w:val="002F1C73"/>
    <w:rsid w:val="003143DA"/>
    <w:rsid w:val="003709E8"/>
    <w:rsid w:val="00387C61"/>
    <w:rsid w:val="0039505F"/>
    <w:rsid w:val="003970F4"/>
    <w:rsid w:val="003B59C9"/>
    <w:rsid w:val="003D321F"/>
    <w:rsid w:val="004A505C"/>
    <w:rsid w:val="004A582C"/>
    <w:rsid w:val="004B0131"/>
    <w:rsid w:val="004C2D94"/>
    <w:rsid w:val="004D6FC0"/>
    <w:rsid w:val="004F2D5A"/>
    <w:rsid w:val="00595E6F"/>
    <w:rsid w:val="005B75A8"/>
    <w:rsid w:val="005C4411"/>
    <w:rsid w:val="005C5722"/>
    <w:rsid w:val="006368C4"/>
    <w:rsid w:val="0064735E"/>
    <w:rsid w:val="0065745A"/>
    <w:rsid w:val="006D5274"/>
    <w:rsid w:val="0075047A"/>
    <w:rsid w:val="00764797"/>
    <w:rsid w:val="0077178E"/>
    <w:rsid w:val="00787024"/>
    <w:rsid w:val="0079146E"/>
    <w:rsid w:val="007C6159"/>
    <w:rsid w:val="007D647C"/>
    <w:rsid w:val="007F3F2F"/>
    <w:rsid w:val="00840601"/>
    <w:rsid w:val="008E38A0"/>
    <w:rsid w:val="00902281"/>
    <w:rsid w:val="009022FB"/>
    <w:rsid w:val="009229D1"/>
    <w:rsid w:val="009262C0"/>
    <w:rsid w:val="00926DF0"/>
    <w:rsid w:val="009277FE"/>
    <w:rsid w:val="00950280"/>
    <w:rsid w:val="00971BAB"/>
    <w:rsid w:val="009D7F5B"/>
    <w:rsid w:val="009F3153"/>
    <w:rsid w:val="00A24056"/>
    <w:rsid w:val="00A24AF5"/>
    <w:rsid w:val="00A24C9E"/>
    <w:rsid w:val="00A40E1A"/>
    <w:rsid w:val="00A46A75"/>
    <w:rsid w:val="00A62022"/>
    <w:rsid w:val="00A8221B"/>
    <w:rsid w:val="00A8490F"/>
    <w:rsid w:val="00A9691B"/>
    <w:rsid w:val="00AA5B77"/>
    <w:rsid w:val="00AE14AB"/>
    <w:rsid w:val="00AE3429"/>
    <w:rsid w:val="00AF1156"/>
    <w:rsid w:val="00B33ED5"/>
    <w:rsid w:val="00B33EDF"/>
    <w:rsid w:val="00B82052"/>
    <w:rsid w:val="00C072DC"/>
    <w:rsid w:val="00C20160"/>
    <w:rsid w:val="00C433BD"/>
    <w:rsid w:val="00C748D1"/>
    <w:rsid w:val="00C74A27"/>
    <w:rsid w:val="00CB084E"/>
    <w:rsid w:val="00CB407B"/>
    <w:rsid w:val="00CB56AC"/>
    <w:rsid w:val="00CF05A2"/>
    <w:rsid w:val="00D0289A"/>
    <w:rsid w:val="00D031A4"/>
    <w:rsid w:val="00D078DA"/>
    <w:rsid w:val="00D23DCE"/>
    <w:rsid w:val="00D473A0"/>
    <w:rsid w:val="00D7574E"/>
    <w:rsid w:val="00DC4B10"/>
    <w:rsid w:val="00DE057D"/>
    <w:rsid w:val="00DE37D3"/>
    <w:rsid w:val="00DE50BF"/>
    <w:rsid w:val="00DF3FAD"/>
    <w:rsid w:val="00E02F5A"/>
    <w:rsid w:val="00E17D61"/>
    <w:rsid w:val="00E53C6D"/>
    <w:rsid w:val="00E90A2E"/>
    <w:rsid w:val="00ED7925"/>
    <w:rsid w:val="00F17E7C"/>
    <w:rsid w:val="00F232E4"/>
    <w:rsid w:val="00F30669"/>
    <w:rsid w:val="00F35412"/>
    <w:rsid w:val="00F4635B"/>
    <w:rsid w:val="00F7357F"/>
    <w:rsid w:val="00FE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01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79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7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E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E14AB"/>
    <w:rPr>
      <w:color w:val="0000FF" w:themeColor="hyperlink"/>
      <w:u w:val="single"/>
    </w:rPr>
  </w:style>
  <w:style w:type="paragraph" w:customStyle="1" w:styleId="odluka-zakon">
    <w:name w:val="odluka-zakon"/>
    <w:basedOn w:val="Normal"/>
    <w:rsid w:val="00AE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2F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479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647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E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E14AB"/>
    <w:rPr>
      <w:color w:val="0000FF" w:themeColor="hyperlink"/>
      <w:u w:val="single"/>
    </w:rPr>
  </w:style>
  <w:style w:type="paragraph" w:customStyle="1" w:styleId="odluka-zakon">
    <w:name w:val="odluka-zakon"/>
    <w:basedOn w:val="Normal"/>
    <w:rsid w:val="00AE1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2019-04-08T11:29:00Z</dcterms:created>
  <dcterms:modified xsi:type="dcterms:W3CDTF">2019-04-08T11:29:00Z</dcterms:modified>
</cp:coreProperties>
</file>