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A4505" w14:textId="54E1A151" w:rsidR="004C1D6A" w:rsidRDefault="00FC454E" w:rsidP="00D641C8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Latn-RS"/>
        </w:rPr>
      </w:pPr>
      <w:r w:rsidRPr="00486EC3">
        <w:rPr>
          <w:b/>
          <w:sz w:val="22"/>
          <w:szCs w:val="22"/>
          <w:lang w:val="sr-Cyrl-RS"/>
        </w:rPr>
        <w:t xml:space="preserve">ПОЈЕДНОСТАВЉЕЊЕ ПОСТУПКА ИЗДАВАЊА ДЕТЕКТИВСКЕ ЛЕГИТИМАЦИЈЕ </w:t>
      </w:r>
    </w:p>
    <w:p w14:paraId="29B30C0A" w14:textId="77777777" w:rsidR="00E429D4" w:rsidRPr="00E429D4" w:rsidRDefault="00E429D4" w:rsidP="00D641C8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Latn-RS"/>
        </w:rPr>
      </w:pPr>
    </w:p>
    <w:p w14:paraId="299395FC" w14:textId="77777777" w:rsidR="00B1006E" w:rsidRPr="00D641C8" w:rsidRDefault="00B1006E" w:rsidP="00D641C8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641C8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55DC83E9" w:rsidR="000E2036" w:rsidRPr="00D641C8" w:rsidRDefault="000E2036" w:rsidP="00D641C8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641C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D641C8" w:rsidRPr="00D641C8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06A3A14B" w:rsidR="000E2036" w:rsidRPr="00D641C8" w:rsidRDefault="00CA48E3" w:rsidP="00D641C8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D641C8">
              <w:rPr>
                <w:b/>
                <w:sz w:val="22"/>
                <w:szCs w:val="22"/>
                <w:lang w:val="sr-Cyrl-RS"/>
              </w:rPr>
              <w:t>Детективска легитимација</w:t>
            </w:r>
          </w:p>
        </w:tc>
      </w:tr>
      <w:tr w:rsidR="00850AD5" w:rsidRPr="00D641C8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641C8" w:rsidRDefault="000E2036" w:rsidP="00D641C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641C8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440B4DB" w:rsidR="000E2036" w:rsidRPr="00D641C8" w:rsidRDefault="004C1D6A" w:rsidP="00D641C8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D641C8">
              <w:rPr>
                <w:sz w:val="22"/>
                <w:szCs w:val="22"/>
                <w:lang w:val="sr-Cyrl-RS"/>
              </w:rPr>
              <w:t>03.00.00</w:t>
            </w:r>
            <w:r w:rsidR="007051FC" w:rsidRPr="00D641C8">
              <w:rPr>
                <w:sz w:val="22"/>
                <w:szCs w:val="22"/>
                <w:lang w:val="sr-Cyrl-RS"/>
              </w:rPr>
              <w:t>1</w:t>
            </w:r>
            <w:r w:rsidR="00CA48E3" w:rsidRPr="00D641C8">
              <w:rPr>
                <w:sz w:val="22"/>
                <w:szCs w:val="22"/>
                <w:lang w:val="sr-Cyrl-RS"/>
              </w:rPr>
              <w:t>8</w:t>
            </w:r>
          </w:p>
        </w:tc>
      </w:tr>
      <w:tr w:rsidR="00850AD5" w:rsidRPr="00D641C8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641C8" w:rsidRDefault="00275E2A" w:rsidP="00D641C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641C8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641C8" w:rsidRDefault="00275E2A" w:rsidP="00D641C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641C8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7ED955DF" w:rsidR="00092B84" w:rsidRPr="00D641C8" w:rsidRDefault="004C1D6A" w:rsidP="00D641C8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641C8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850AD5" w:rsidRPr="00D641C8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641C8" w:rsidRDefault="00275E2A" w:rsidP="00D641C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641C8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641C8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641C8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7C6AF26" w14:textId="2B28DB94" w:rsidR="007051FC" w:rsidRPr="00D641C8" w:rsidRDefault="004B4127" w:rsidP="00D641C8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 w:rsidRPr="00D641C8">
              <w:rPr>
                <w:rFonts w:ascii="Times New Roman" w:hAnsi="Times New Roman"/>
                <w:sz w:val="22"/>
                <w:lang w:val="sr-Cyrl-RS"/>
              </w:rPr>
              <w:t>Закон о детективској делатности: („Сл. Гласник РС“, бр. 104/13</w:t>
            </w:r>
            <w:r w:rsidR="004B4C63">
              <w:rPr>
                <w:rFonts w:ascii="Times New Roman" w:hAnsi="Times New Roman"/>
                <w:sz w:val="22"/>
                <w:lang w:val="sr-Latn-RS"/>
              </w:rPr>
              <w:t>, 87/18</w:t>
            </w:r>
            <w:r w:rsidRPr="00D641C8">
              <w:rPr>
                <w:rFonts w:ascii="Times New Roman" w:hAnsi="Times New Roman"/>
                <w:sz w:val="22"/>
                <w:lang w:val="sr-Cyrl-RS"/>
              </w:rPr>
              <w:t>)</w:t>
            </w:r>
          </w:p>
          <w:p w14:paraId="2CCB5DCC" w14:textId="7878E83E" w:rsidR="004B4127" w:rsidRPr="00D641C8" w:rsidRDefault="004B4127" w:rsidP="00D641C8">
            <w:pPr>
              <w:pStyle w:val="ListParagraph"/>
              <w:numPr>
                <w:ilvl w:val="0"/>
                <w:numId w:val="25"/>
              </w:numPr>
              <w:spacing w:before="120" w:after="120"/>
              <w:rPr>
                <w:rFonts w:ascii="Times New Roman" w:hAnsi="Times New Roman"/>
                <w:sz w:val="22"/>
                <w:lang w:val="sr-Cyrl-RS"/>
              </w:rPr>
            </w:pPr>
            <w:r w:rsidRPr="00D641C8">
              <w:rPr>
                <w:rFonts w:ascii="Times New Roman" w:hAnsi="Times New Roman"/>
                <w:sz w:val="22"/>
                <w:lang w:val="sr-Cyrl-RS"/>
              </w:rPr>
              <w:t>Правилник о садржини, изгледу и начину употребе детективске легитимације: („Сл. Гласник РС“, бр. 3/16)</w:t>
            </w:r>
          </w:p>
        </w:tc>
      </w:tr>
      <w:tr w:rsidR="00850AD5" w:rsidRPr="00D641C8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641C8" w:rsidRDefault="00D73918" w:rsidP="00D641C8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641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641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D641C8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D11267C" w:rsidR="00A90986" w:rsidRPr="000E1CA4" w:rsidRDefault="00B21A27" w:rsidP="000E1CA4">
            <w:p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0E1CA4">
              <w:rPr>
                <w:rFonts w:ascii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</w:p>
        </w:tc>
      </w:tr>
      <w:tr w:rsidR="00850AD5" w:rsidRPr="00D641C8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641C8" w:rsidRDefault="00275E2A" w:rsidP="00D641C8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641C8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641C8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420119CA" w:rsidR="000863A4" w:rsidRPr="00A27DDC" w:rsidRDefault="007838B0" w:rsidP="00ED66D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 квартал 2019. године</w:t>
            </w:r>
          </w:p>
        </w:tc>
      </w:tr>
      <w:tr w:rsidR="00275E2A" w:rsidRPr="00D641C8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641C8" w:rsidRDefault="00275E2A" w:rsidP="00D641C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641C8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641C8" w14:paraId="4635A4BE" w14:textId="77777777" w:rsidTr="00CA1CE9">
        <w:tc>
          <w:tcPr>
            <w:tcW w:w="9060" w:type="dxa"/>
            <w:gridSpan w:val="2"/>
          </w:tcPr>
          <w:p w14:paraId="4BCB02C2" w14:textId="21F9C573" w:rsidR="00C14FFF" w:rsidRPr="00D641C8" w:rsidRDefault="004C1D6A" w:rsidP="00E429D4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D641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</w:t>
            </w:r>
            <w:r w:rsidR="007051FC" w:rsidRPr="00D641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непотребно </w:t>
            </w:r>
            <w:r w:rsidRPr="00D641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административно оптерећење и трошкове привредним друштвима и другим правним лицима</w:t>
            </w:r>
            <w:r w:rsidR="007051FC" w:rsidRPr="00D641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услед </w:t>
            </w:r>
            <w:r w:rsidRPr="00D641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непоштовањ</w:t>
            </w:r>
            <w:r w:rsidR="007051FC" w:rsidRPr="00D641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 </w:t>
            </w:r>
            <w:r w:rsidRPr="00D641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обавезе прибављања података које издају други јавни органи, по службеној дужности</w:t>
            </w:r>
            <w:r w:rsidR="00FC3123" w:rsidRPr="00D641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као и услед непрописивања документације која се доставља уз за</w:t>
            </w:r>
            <w:r w:rsidR="00D641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х</w:t>
            </w:r>
            <w:r w:rsidR="00FC3123" w:rsidRPr="00D641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тев</w:t>
            </w:r>
            <w:r w:rsidR="007051FC" w:rsidRPr="00D641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="00D641C8" w:rsidRPr="00D641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7B5440" w:rsidRPr="002A21B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То за последицу има да се у пракси поједини подаци не прибављају по службеној дужности а од подносиоца захтева се траже документа која нису у сагласности са прописима којима се утврђују услови, услед чега долази до непотребног административног оптерећења подносиоца захтева, а и након подношења захтева, поставља се питање да ли је поднет захтев уредан или ће се од подносиоца тражити „још један папир“.  </w:t>
            </w:r>
            <w:r w:rsidRPr="00D641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Сходно томе, нарушено </w:t>
            </w:r>
            <w:r w:rsidR="00836FC5" w:rsidRPr="00D641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D641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једно од начела управног поступка - начело делотворности и економичности, по коме се поступак води уз што мање трошкова по странку. </w:t>
            </w:r>
          </w:p>
        </w:tc>
      </w:tr>
      <w:tr w:rsidR="00275E2A" w:rsidRPr="00D641C8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641C8" w:rsidRDefault="00275E2A" w:rsidP="00D641C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641C8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641C8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14EA9C63" w14:textId="0820DAAC" w:rsidR="00C70F1B" w:rsidRPr="00D641C8" w:rsidRDefault="00C70F1B" w:rsidP="00D641C8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  <w:p w14:paraId="6F71A0F1" w14:textId="7538410C" w:rsidR="009B0D59" w:rsidRPr="00D641C8" w:rsidRDefault="009B0D59" w:rsidP="00D641C8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  <w:p w14:paraId="110B73C2" w14:textId="77777777" w:rsidR="008B5A7A" w:rsidRPr="00D641C8" w:rsidRDefault="008B5A7A" w:rsidP="00D641C8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399"/>
              <w:gridCol w:w="1693"/>
              <w:gridCol w:w="1977"/>
              <w:gridCol w:w="1765"/>
            </w:tblGrid>
            <w:tr w:rsidR="00D95137" w:rsidRPr="00D641C8" w14:paraId="56D27136" w14:textId="77777777" w:rsidTr="002B735F">
              <w:trPr>
                <w:trHeight w:val="1056"/>
              </w:trPr>
              <w:tc>
                <w:tcPr>
                  <w:tcW w:w="192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8B23C89" w14:textId="77777777" w:rsidR="008B5A7A" w:rsidRPr="00D641C8" w:rsidRDefault="008B5A7A" w:rsidP="00D641C8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D641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077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8C906A6" w14:textId="77777777" w:rsidR="008B5A7A" w:rsidRPr="00D641C8" w:rsidRDefault="008B5A7A" w:rsidP="00D641C8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D641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99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310CE98" w14:textId="77777777" w:rsidR="008B5A7A" w:rsidRPr="00D641C8" w:rsidRDefault="008B5A7A" w:rsidP="00D641C8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D641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D95137" w:rsidRPr="00D641C8" w14:paraId="79ACCF30" w14:textId="77777777" w:rsidTr="002B735F">
              <w:trPr>
                <w:trHeight w:val="288"/>
              </w:trPr>
              <w:tc>
                <w:tcPr>
                  <w:tcW w:w="192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4E1635" w14:textId="77777777" w:rsidR="008B5A7A" w:rsidRPr="00D641C8" w:rsidRDefault="008B5A7A" w:rsidP="00D641C8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95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8B6D72D" w14:textId="77777777" w:rsidR="008B5A7A" w:rsidRPr="00D641C8" w:rsidRDefault="008B5A7A" w:rsidP="00D641C8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D641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969D714" w14:textId="77777777" w:rsidR="008B5A7A" w:rsidRPr="00D641C8" w:rsidRDefault="008B5A7A" w:rsidP="00D641C8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D641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999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6CEC29" w14:textId="77777777" w:rsidR="008B5A7A" w:rsidRPr="00D641C8" w:rsidRDefault="008B5A7A" w:rsidP="00D641C8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D95137" w:rsidRPr="00D641C8" w14:paraId="29D1D87A" w14:textId="77777777" w:rsidTr="002B735F">
              <w:trPr>
                <w:trHeight w:val="528"/>
              </w:trPr>
              <w:tc>
                <w:tcPr>
                  <w:tcW w:w="192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954CA9" w14:textId="001426FE" w:rsidR="008B5A7A" w:rsidRPr="00ED66D2" w:rsidRDefault="008B5A7A" w:rsidP="00D641C8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ED66D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9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AAE2B5" w14:textId="7138A776" w:rsidR="008B5A7A" w:rsidRPr="00D641C8" w:rsidRDefault="008B5A7A" w:rsidP="00D641C8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11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C82892" w14:textId="257D3F79" w:rsidR="008B5A7A" w:rsidRPr="00D641C8" w:rsidRDefault="00FC3123" w:rsidP="00D641C8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D641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 Х</w:t>
                  </w:r>
                  <w:r w:rsidR="008B5A7A" w:rsidRPr="00D641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9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C95BC1" w14:textId="44FFC178" w:rsidR="008B5A7A" w:rsidRPr="00D641C8" w:rsidRDefault="008B5A7A" w:rsidP="00D641C8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ED66D2" w:rsidRPr="00D641C8" w14:paraId="79FF8B42" w14:textId="77777777" w:rsidTr="00ED66D2">
              <w:trPr>
                <w:trHeight w:val="528"/>
              </w:trPr>
              <w:tc>
                <w:tcPr>
                  <w:tcW w:w="192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340BDD" w14:textId="1497FA50" w:rsidR="00ED66D2" w:rsidRPr="00D641C8" w:rsidRDefault="00ED66D2" w:rsidP="00D641C8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2B735F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  <w:t xml:space="preserve">Утврђивање правног  основа и потребне документације </w:t>
                  </w:r>
                  <w:r w:rsidRPr="002B735F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3076" w:type="pct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BD5200" w14:textId="77777777" w:rsidR="00ED66D2" w:rsidRPr="00D641C8" w:rsidRDefault="00ED66D2" w:rsidP="00D641C8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1B487B" w:rsidRPr="00D641C8" w14:paraId="64B0CB10" w14:textId="77777777" w:rsidTr="002B735F">
              <w:trPr>
                <w:trHeight w:val="528"/>
              </w:trPr>
              <w:tc>
                <w:tcPr>
                  <w:tcW w:w="192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2C3FFC" w14:textId="40CFE1C3" w:rsidR="001B487B" w:rsidRPr="00D641C8" w:rsidRDefault="00DA2E94" w:rsidP="00D641C8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/>
                      <w:color w:val="000000"/>
                      <w:sz w:val="20"/>
                      <w:szCs w:val="20"/>
                      <w:lang w:val="sr-Cyrl-RS" w:eastAsia="en-GB"/>
                    </w:rPr>
                    <w:t>Промена форме документације</w:t>
                  </w:r>
                </w:p>
              </w:tc>
              <w:tc>
                <w:tcPr>
                  <w:tcW w:w="9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9F7C7E" w14:textId="77777777" w:rsidR="001B487B" w:rsidRPr="00D641C8" w:rsidRDefault="001B487B" w:rsidP="00D641C8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11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77AE5C" w14:textId="0214B9F4" w:rsidR="001B487B" w:rsidRPr="00D641C8" w:rsidRDefault="00DA2E94" w:rsidP="00D641C8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9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68EF4A" w14:textId="77777777" w:rsidR="001B487B" w:rsidRPr="00D641C8" w:rsidRDefault="001B487B" w:rsidP="00D641C8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FA2539" w:rsidRPr="00D641C8" w14:paraId="466FC708" w14:textId="77777777" w:rsidTr="002B735F">
              <w:trPr>
                <w:trHeight w:val="528"/>
              </w:trPr>
              <w:tc>
                <w:tcPr>
                  <w:tcW w:w="192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4AC4F9F" w14:textId="16E8EA99" w:rsidR="00FA2539" w:rsidRPr="002B735F" w:rsidRDefault="00FA2539" w:rsidP="00D641C8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2B735F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Електронско подношење захтева</w:t>
                  </w:r>
                </w:p>
              </w:tc>
              <w:tc>
                <w:tcPr>
                  <w:tcW w:w="9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775F7B" w14:textId="77777777" w:rsidR="00FA2539" w:rsidRPr="00D641C8" w:rsidRDefault="00FA2539" w:rsidP="00D641C8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11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B96A78E" w14:textId="05DB08FC" w:rsidR="00FA2539" w:rsidRPr="00D641C8" w:rsidRDefault="00FA2539" w:rsidP="00D641C8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D641C8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9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DA6E36E" w14:textId="77777777" w:rsidR="00FA2539" w:rsidRPr="00D641C8" w:rsidRDefault="00FA2539" w:rsidP="00D641C8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</w:tbl>
          <w:p w14:paraId="43426D8C" w14:textId="47E305D9" w:rsidR="008B5A7A" w:rsidRPr="00D641C8" w:rsidRDefault="008B5A7A" w:rsidP="00D641C8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641C8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6E28D8C5" w14:textId="584B395D" w:rsidR="00CA1CE9" w:rsidRPr="00D641C8" w:rsidRDefault="00CA1CE9" w:rsidP="00D641C8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641C8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641C8" w:rsidRDefault="00CA1CE9" w:rsidP="00D641C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641C8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26412C" w:rsidRPr="0026412C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E9F16D4" w14:textId="77777777" w:rsidR="00405E8D" w:rsidRPr="0026412C" w:rsidRDefault="00405E8D" w:rsidP="00405E8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</w:p>
          <w:p w14:paraId="267D923D" w14:textId="77777777" w:rsidR="009B0D59" w:rsidRPr="0026412C" w:rsidRDefault="009B0D59" w:rsidP="00D641C8">
            <w:pPr>
              <w:pStyle w:val="NormalWeb"/>
              <w:spacing w:before="0" w:beforeAutospacing="0" w:after="0" w:afterAutospacing="0"/>
              <w:ind w:left="360"/>
              <w:rPr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22C55ECD" w14:textId="183E3B81" w:rsidR="004C1D6A" w:rsidRPr="0026412C" w:rsidRDefault="004C1D6A" w:rsidP="00250B8B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ind w:left="720"/>
              <w:rPr>
                <w:b/>
                <w:sz w:val="22"/>
                <w:szCs w:val="22"/>
                <w:lang w:val="sr-Cyrl-RS" w:eastAsia="en-GB"/>
              </w:rPr>
            </w:pPr>
            <w:r w:rsidRPr="0026412C">
              <w:rPr>
                <w:b/>
                <w:sz w:val="22"/>
                <w:szCs w:val="22"/>
                <w:lang w:val="sr-Cyrl-RS" w:eastAsia="en-GB"/>
              </w:rPr>
              <w:t>Прибављање података по службеној дужности</w:t>
            </w:r>
          </w:p>
          <w:p w14:paraId="08D2A00A" w14:textId="77777777" w:rsidR="004C1D6A" w:rsidRPr="0026412C" w:rsidRDefault="004C1D6A" w:rsidP="00D641C8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26412C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09EC0972" w14:textId="780FDE55" w:rsidR="005964D6" w:rsidRPr="0026412C" w:rsidRDefault="004C1D6A" w:rsidP="0020747C">
            <w:pPr>
              <w:pStyle w:val="NormalWeb"/>
              <w:numPr>
                <w:ilvl w:val="2"/>
                <w:numId w:val="29"/>
              </w:numPr>
              <w:spacing w:before="0" w:beforeAutospacing="0" w:after="0" w:afterAutospacing="0"/>
              <w:ind w:left="1080"/>
              <w:jc w:val="both"/>
              <w:rPr>
                <w:sz w:val="22"/>
                <w:szCs w:val="22"/>
                <w:lang w:val="sr-Cyrl-RS"/>
              </w:rPr>
            </w:pPr>
            <w:r w:rsidRPr="0026412C">
              <w:rPr>
                <w:b/>
                <w:sz w:val="22"/>
                <w:szCs w:val="22"/>
                <w:lang w:val="sr-Cyrl-RS" w:eastAsia="en-GB"/>
              </w:rPr>
              <w:t>Документ</w:t>
            </w:r>
            <w:r w:rsidRPr="0026412C">
              <w:rPr>
                <w:b/>
                <w:sz w:val="22"/>
                <w:szCs w:val="22"/>
                <w:lang w:val="sr-Cyrl-RS"/>
              </w:rPr>
              <w:t xml:space="preserve"> 1</w:t>
            </w:r>
            <w:r w:rsidR="00250B8B" w:rsidRPr="0026412C">
              <w:rPr>
                <w:b/>
                <w:sz w:val="22"/>
                <w:szCs w:val="22"/>
                <w:lang w:val="sr-Cyrl-RS"/>
              </w:rPr>
              <w:t xml:space="preserve"> - </w:t>
            </w:r>
            <w:r w:rsidR="007051FC" w:rsidRPr="0026412C">
              <w:rPr>
                <w:b/>
                <w:sz w:val="22"/>
                <w:szCs w:val="22"/>
                <w:lang w:val="sr-Cyrl-RS"/>
              </w:rPr>
              <w:t>Потврда о пријави на обавезно социјално осигурање за службенике приватног обезбеђења</w:t>
            </w:r>
          </w:p>
          <w:p w14:paraId="4B136ADB" w14:textId="77777777" w:rsidR="004C1D6A" w:rsidRPr="0026412C" w:rsidRDefault="004C1D6A" w:rsidP="00D641C8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5FF3A81" w14:textId="77777777" w:rsidR="00DA2E94" w:rsidRPr="0026412C" w:rsidRDefault="00DA2E94" w:rsidP="00DA2E9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bookmarkStart w:id="0" w:name="_Hlk523229423"/>
            <w:r w:rsidRPr="0026412C">
              <w:rPr>
                <w:rFonts w:ascii="Times New Roman" w:hAnsi="Times New Roman"/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тако што ће се проверити радни статус запослених лица путем информационог система еЗУП на порталу е-Управа</w:t>
            </w:r>
            <w:r w:rsidRPr="0026412C">
              <w:rPr>
                <w:rStyle w:val="FootnoteReference"/>
                <w:rFonts w:ascii="Times New Roman" w:hAnsi="Times New Roman"/>
                <w:sz w:val="22"/>
                <w:szCs w:val="22"/>
              </w:rPr>
              <w:footnoteReference w:id="1"/>
            </w:r>
            <w:r w:rsidRPr="0026412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увидом у базу Централног регистра обавезног социјалног осигурања – ЦРОСО или путем </w:t>
            </w:r>
            <w:r w:rsidRPr="0026412C">
              <w:rPr>
                <w:rFonts w:ascii="Times New Roman" w:hAnsi="Times New Roman"/>
                <w:sz w:val="22"/>
                <w:szCs w:val="22"/>
              </w:rPr>
              <w:t>web</w:t>
            </w:r>
            <w:r w:rsidRPr="0026412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сервиса, у складу са Споразумом о размени података, закљученом између Министарства унутрашњих послова и ЦРОСО-а.  </w:t>
            </w:r>
          </w:p>
          <w:bookmarkEnd w:id="0"/>
          <w:p w14:paraId="5B744CEA" w14:textId="77777777" w:rsidR="00DA2E94" w:rsidRPr="0026412C" w:rsidRDefault="00DA2E94" w:rsidP="00DA2E94">
            <w:pPr>
              <w:pStyle w:val="NormalWeb"/>
              <w:spacing w:before="120" w:beforeAutospacing="0" w:after="120" w:afterAutospacing="0"/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26412C">
              <w:rPr>
                <w:rFonts w:eastAsia="Calibri"/>
                <w:sz w:val="22"/>
                <w:szCs w:val="22"/>
                <w:lang w:val="ru-RU"/>
              </w:rPr>
              <w:t xml:space="preserve">Ова препорука је дата и од стране привредних субјеката на фокус групи одржаној у септембру 2018. године. </w:t>
            </w:r>
          </w:p>
          <w:p w14:paraId="17B79623" w14:textId="77777777" w:rsidR="00DA2E94" w:rsidRPr="0026412C" w:rsidRDefault="00DA2E94" w:rsidP="00DA2E9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6412C">
              <w:rPr>
                <w:rFonts w:ascii="Times New Roman" w:hAnsi="Times New Roman"/>
                <w:sz w:val="22"/>
                <w:szCs w:val="22"/>
                <w:lang w:val="ru-RU"/>
              </w:rPr>
              <w:t>Како би се ово омогућило, у обрасцу захтева је потр</w:t>
            </w:r>
            <w:r w:rsidRPr="0026412C">
              <w:rPr>
                <w:rFonts w:ascii="Times New Roman" w:hAnsi="Times New Roman"/>
                <w:sz w:val="22"/>
                <w:szCs w:val="22"/>
                <w:lang w:val="sr-Cyrl-RS"/>
              </w:rPr>
              <w:t>ебно затражити неопходне информације о лицима, за које је потребно утврдити ову чињеницу (име и презиме, ЈМБГ уз изјаву о заштити података).</w:t>
            </w:r>
          </w:p>
          <w:p w14:paraId="62CA4EB0" w14:textId="1FC74F48" w:rsidR="00250B8B" w:rsidRPr="0026412C" w:rsidRDefault="00DA2E94" w:rsidP="00DA2E9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6412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B16A266" w14:textId="065520A3" w:rsidR="00250B8B" w:rsidRPr="0026412C" w:rsidRDefault="00250B8B" w:rsidP="00250B8B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26412C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26412C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26412C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0AD1C185" w14:textId="0ACB12B2" w:rsidR="008C3FC4" w:rsidRPr="0026412C" w:rsidRDefault="0020747C" w:rsidP="00250B8B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>
              <w:rPr>
                <w:b/>
                <w:bCs/>
                <w:sz w:val="22"/>
                <w:szCs w:val="22"/>
                <w:lang w:val="sr-Cyrl-RS" w:eastAsia="en-GB"/>
              </w:rPr>
              <w:t xml:space="preserve">     3.1.2 </w:t>
            </w:r>
            <w:r w:rsidR="0026412C" w:rsidRPr="0026412C">
              <w:rPr>
                <w:b/>
                <w:bCs/>
                <w:sz w:val="22"/>
                <w:szCs w:val="22"/>
                <w:lang w:val="sr-Cyrl-RS" w:eastAsia="en-GB"/>
              </w:rPr>
              <w:t>Промена форме документације</w:t>
            </w:r>
          </w:p>
          <w:p w14:paraId="1ABEE796" w14:textId="77777777" w:rsidR="0026412C" w:rsidRPr="0026412C" w:rsidRDefault="0026412C" w:rsidP="0026412C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6412C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органи често</w:t>
            </w:r>
            <w:r w:rsidRPr="0026412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26412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траже 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28C71D9D" w14:textId="77777777" w:rsidR="0026412C" w:rsidRPr="0026412C" w:rsidRDefault="0026412C" w:rsidP="0026412C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6412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26412C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26412C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79C7EBBF" w14:textId="77777777" w:rsidR="0026412C" w:rsidRPr="0026412C" w:rsidRDefault="0026412C" w:rsidP="0026412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6412C">
              <w:rPr>
                <w:rFonts w:ascii="Times New Roman" w:hAnsi="Times New Roman"/>
                <w:sz w:val="22"/>
                <w:szCs w:val="22"/>
              </w:rPr>
              <w:t>K</w:t>
            </w:r>
            <w:r w:rsidRPr="0026412C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26412C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26412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26412C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26412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05ABE4D1" w14:textId="77777777" w:rsidR="0026412C" w:rsidRPr="0026412C" w:rsidRDefault="0026412C" w:rsidP="0026412C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E75E517" w14:textId="77777777" w:rsidR="0026412C" w:rsidRPr="0026412C" w:rsidRDefault="0026412C" w:rsidP="0026412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6412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7BE281E9" w14:textId="77777777" w:rsidR="0026412C" w:rsidRPr="0026412C" w:rsidRDefault="0026412C" w:rsidP="0026412C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B9ED0B0" w14:textId="77777777" w:rsidR="0026412C" w:rsidRPr="0026412C" w:rsidRDefault="0026412C" w:rsidP="0026412C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6412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56B8D251" w14:textId="77777777" w:rsidR="0026412C" w:rsidRPr="0026412C" w:rsidRDefault="0026412C" w:rsidP="0026412C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B695A3A" w14:textId="77777777" w:rsidR="0026412C" w:rsidRPr="0026412C" w:rsidRDefault="0026412C" w:rsidP="0026412C">
            <w:pPr>
              <w:pStyle w:val="ListParagraph"/>
              <w:numPr>
                <w:ilvl w:val="0"/>
                <w:numId w:val="38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6412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63B70CA7" w14:textId="77777777" w:rsidR="0026412C" w:rsidRPr="0026412C" w:rsidRDefault="0026412C" w:rsidP="0026412C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06D5B9B" w14:textId="77777777" w:rsidR="0026412C" w:rsidRPr="0026412C" w:rsidRDefault="0026412C" w:rsidP="0026412C">
            <w:pPr>
              <w:pStyle w:val="ListParagraph"/>
              <w:numPr>
                <w:ilvl w:val="0"/>
                <w:numId w:val="38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6412C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Трећи начин је да се омогући систем електронског плаћања преко портала е-Управе.</w:t>
            </w:r>
          </w:p>
          <w:p w14:paraId="7E60033A" w14:textId="77777777" w:rsidR="0026412C" w:rsidRPr="0026412C" w:rsidRDefault="0026412C" w:rsidP="0026412C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468B192" w14:textId="77777777" w:rsidR="0026412C" w:rsidRPr="0026412C" w:rsidRDefault="0026412C" w:rsidP="0026412C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6412C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6437F6DC" w14:textId="3C625804" w:rsidR="0026412C" w:rsidRPr="0026412C" w:rsidRDefault="000E1CA4" w:rsidP="00250B8B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препоруке, није потребна измена прописа.</w:t>
            </w:r>
          </w:p>
          <w:p w14:paraId="319C6674" w14:textId="2FC9E2A0" w:rsidR="00FA2539" w:rsidRPr="0026412C" w:rsidRDefault="00FA2539" w:rsidP="0020747C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6412C">
              <w:rPr>
                <w:b/>
                <w:sz w:val="22"/>
                <w:szCs w:val="22"/>
                <w:lang w:val="sr-Cyrl-RS"/>
              </w:rPr>
              <w:t>Електронско подношење захтева</w:t>
            </w:r>
          </w:p>
          <w:p w14:paraId="58134AE1" w14:textId="3ECDF984" w:rsidR="00FA2539" w:rsidRPr="0026412C" w:rsidRDefault="00FA2539" w:rsidP="00D641C8">
            <w:pPr>
              <w:spacing w:before="100" w:beforeAutospacing="1" w:after="2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6412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лично,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</w:t>
            </w:r>
            <w:r w:rsidR="005D6114" w:rsidRPr="0026412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такође потписаном квалификованим електронским сертификатом </w:t>
            </w:r>
            <w:r w:rsidRPr="0026412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 имејл адресу надлежног органа.</w:t>
            </w:r>
          </w:p>
          <w:p w14:paraId="772C724D" w14:textId="277BC545" w:rsidR="00FA2539" w:rsidRPr="0026412C" w:rsidRDefault="00FA2539" w:rsidP="00D641C8">
            <w:pPr>
              <w:spacing w:before="120" w:after="120"/>
              <w:ind w:left="-23"/>
              <w:contextualSpacing/>
              <w:jc w:val="left"/>
              <w:rPr>
                <w:rFonts w:ascii="Times New Roman" w:eastAsiaTheme="minorHAnsi" w:hAnsi="Times New Roman"/>
                <w:b/>
                <w:sz w:val="22"/>
                <w:szCs w:val="22"/>
                <w:lang w:val="sr-Cyrl-RS"/>
              </w:rPr>
            </w:pPr>
            <w:r w:rsidRPr="0026412C">
              <w:rPr>
                <w:rFonts w:ascii="Times New Roman" w:eastAsiaTheme="minorHAnsi" w:hAnsi="Times New Roman"/>
                <w:b/>
                <w:sz w:val="22"/>
                <w:szCs w:val="22"/>
                <w:lang w:val="sr-Cyrl-RS"/>
              </w:rPr>
              <w:t>За примену ове препоруке,</w:t>
            </w:r>
            <w:r w:rsidR="0026412C">
              <w:rPr>
                <w:rFonts w:ascii="Times New Roman" w:eastAsiaTheme="minorHAnsi" w:hAnsi="Times New Roman"/>
                <w:b/>
                <w:sz w:val="22"/>
                <w:szCs w:val="22"/>
                <w:lang w:val="sr-Cyrl-RS"/>
              </w:rPr>
              <w:t xml:space="preserve"> када се за то стекну технички услови, </w:t>
            </w:r>
            <w:r w:rsidRPr="0026412C">
              <w:rPr>
                <w:rFonts w:ascii="Times New Roman" w:eastAsiaTheme="minorHAnsi" w:hAnsi="Times New Roman"/>
                <w:b/>
                <w:sz w:val="22"/>
                <w:szCs w:val="22"/>
                <w:lang w:val="sr-Cyrl-RS"/>
              </w:rPr>
              <w:t xml:space="preserve"> није потребна измена прописа. </w:t>
            </w:r>
          </w:p>
          <w:p w14:paraId="3EAB4AF8" w14:textId="56288DCA" w:rsidR="00CA1CE9" w:rsidRPr="0026412C" w:rsidRDefault="00CA1CE9" w:rsidP="0026412C">
            <w:pPr>
              <w:spacing w:before="120" w:after="120" w:line="276" w:lineRule="auto"/>
              <w:ind w:left="-23"/>
              <w:contextualSpacing/>
              <w:jc w:val="left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641C8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26DB4C51" w:rsidR="00CA1CE9" w:rsidRPr="00D641C8" w:rsidRDefault="00CA1CE9" w:rsidP="00D641C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641C8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D641C8" w:rsidRPr="00D641C8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D641C8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D641C8" w:rsidRPr="00D641C8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D641C8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CA1CE9" w:rsidRPr="0026412C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05A63E50" w:rsidR="00CA1CE9" w:rsidRPr="0026412C" w:rsidRDefault="0026412C" w:rsidP="00D641C8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6412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 препорука не предвиђа измену прописа.</w:t>
            </w:r>
          </w:p>
        </w:tc>
      </w:tr>
      <w:tr w:rsidR="00CA1CE9" w:rsidRPr="0026412C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26412C" w:rsidRDefault="00CA1CE9" w:rsidP="00D641C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6412C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26412C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4392E75C" w:rsidR="00CA1CE9" w:rsidRPr="0026412C" w:rsidRDefault="0026412C" w:rsidP="00D641C8">
            <w:pPr>
              <w:jc w:val="left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6412C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 препорука не предвиђа измену прописа.</w:t>
            </w:r>
          </w:p>
        </w:tc>
      </w:tr>
      <w:tr w:rsidR="00CA1CE9" w:rsidRPr="0026412C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26412C" w:rsidRDefault="00CA1CE9" w:rsidP="00D641C8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6412C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26412C" w14:paraId="72BD2239" w14:textId="77777777" w:rsidTr="00ED66D2">
        <w:trPr>
          <w:trHeight w:val="732"/>
        </w:trPr>
        <w:tc>
          <w:tcPr>
            <w:tcW w:w="9060" w:type="dxa"/>
            <w:gridSpan w:val="2"/>
            <w:shd w:val="clear" w:color="auto" w:fill="auto"/>
          </w:tcPr>
          <w:p w14:paraId="016B40CA" w14:textId="77777777" w:rsidR="00ED66D2" w:rsidRPr="00ED66D2" w:rsidRDefault="00ED66D2" w:rsidP="00CB6900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bookmarkStart w:id="1" w:name="_GoBack"/>
            <w:bookmarkEnd w:id="1"/>
          </w:p>
          <w:p w14:paraId="0AA143E0" w14:textId="01ECFE66" w:rsidR="00ED66D2" w:rsidRPr="00ED66D2" w:rsidRDefault="00ED66D2" w:rsidP="00CB6900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D66D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Усвајање препоруке ће допринети поједностављењу административног поступка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и </w:t>
            </w:r>
            <w:r w:rsidRPr="00ED66D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истоветности поступања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  <w:r w:rsidRPr="00ED66D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331CCBA4" w14:textId="1C2E2AE8" w:rsidR="00ED66D2" w:rsidRPr="0026412C" w:rsidRDefault="00ED66D2" w:rsidP="00CB6900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</w:tbl>
    <w:p w14:paraId="5CE5710A" w14:textId="1C5B3A41" w:rsidR="003E3C16" w:rsidRPr="00D641C8" w:rsidRDefault="003E3C16" w:rsidP="00D641C8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641C8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3DC55" w14:textId="77777777" w:rsidR="00C43A02" w:rsidRDefault="00C43A02" w:rsidP="002A202F">
      <w:r>
        <w:separator/>
      </w:r>
    </w:p>
  </w:endnote>
  <w:endnote w:type="continuationSeparator" w:id="0">
    <w:p w14:paraId="2173094F" w14:textId="77777777" w:rsidR="00C43A02" w:rsidRDefault="00C43A0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9D01507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1C2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09F31" w14:textId="77777777" w:rsidR="00C43A02" w:rsidRDefault="00C43A02" w:rsidP="002A202F">
      <w:r>
        <w:separator/>
      </w:r>
    </w:p>
  </w:footnote>
  <w:footnote w:type="continuationSeparator" w:id="0">
    <w:p w14:paraId="1298232D" w14:textId="77777777" w:rsidR="00C43A02" w:rsidRDefault="00C43A02" w:rsidP="002A202F">
      <w:r>
        <w:continuationSeparator/>
      </w:r>
    </w:p>
  </w:footnote>
  <w:footnote w:id="1">
    <w:p w14:paraId="79076A1E" w14:textId="3A870EAF" w:rsidR="00DA2E94" w:rsidRDefault="00DA2E94" w:rsidP="00DA2E94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22"/>
          <w:lang w:val="sr-Cyrl-RS"/>
        </w:rPr>
      </w:pPr>
      <w:r>
        <w:rPr>
          <w:rStyle w:val="FootnoteReference"/>
          <w:rFonts w:eastAsia="Calibri"/>
        </w:rPr>
        <w:footnoteRef/>
      </w:r>
      <w:r>
        <w:t xml:space="preserve"> </w:t>
      </w:r>
      <w:r w:rsidR="00486EC3" w:rsidRPr="00486EC3">
        <w:rPr>
          <w:i/>
          <w:sz w:val="18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 Уредбе о прибављању и уступању података о чињеницама о којима се води службена евиденција (http://mduls.gov.rs/reforma-javne-uprave/reforma-upravnog-postupka/podrska-zaposlenima-u-koriscenju-ezup-a/ ).</w:t>
      </w:r>
    </w:p>
    <w:p w14:paraId="2C7F03F3" w14:textId="77777777" w:rsidR="00DA2E94" w:rsidRDefault="00DA2E94" w:rsidP="00DA2E94">
      <w:pPr>
        <w:pStyle w:val="FootnoteText"/>
        <w:rPr>
          <w:lang w:val="en-GB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1AA566F"/>
    <w:multiLevelType w:val="hybridMultilevel"/>
    <w:tmpl w:val="4A4EED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6" w15:restartNumberingAfterBreak="0">
    <w:nsid w:val="155334D1"/>
    <w:multiLevelType w:val="hybridMultilevel"/>
    <w:tmpl w:val="F42E10C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822FC"/>
    <w:multiLevelType w:val="hybridMultilevel"/>
    <w:tmpl w:val="C90ED6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4" w15:restartNumberingAfterBreak="0">
    <w:nsid w:val="31E55977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F4631"/>
    <w:multiLevelType w:val="multilevel"/>
    <w:tmpl w:val="EDE889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9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0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895B97"/>
    <w:multiLevelType w:val="hybridMultilevel"/>
    <w:tmpl w:val="7ACAF4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96B48"/>
    <w:multiLevelType w:val="multilevel"/>
    <w:tmpl w:val="301C11C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1"/>
  </w:num>
  <w:num w:numId="4">
    <w:abstractNumId w:val="11"/>
  </w:num>
  <w:num w:numId="5">
    <w:abstractNumId w:val="7"/>
  </w:num>
  <w:num w:numId="6">
    <w:abstractNumId w:val="20"/>
  </w:num>
  <w:num w:numId="7">
    <w:abstractNumId w:val="35"/>
  </w:num>
  <w:num w:numId="8">
    <w:abstractNumId w:val="18"/>
  </w:num>
  <w:num w:numId="9">
    <w:abstractNumId w:val="32"/>
  </w:num>
  <w:num w:numId="10">
    <w:abstractNumId w:val="29"/>
  </w:num>
  <w:num w:numId="11">
    <w:abstractNumId w:val="28"/>
  </w:num>
  <w:num w:numId="12">
    <w:abstractNumId w:val="27"/>
  </w:num>
  <w:num w:numId="13">
    <w:abstractNumId w:val="23"/>
  </w:num>
  <w:num w:numId="14">
    <w:abstractNumId w:val="30"/>
  </w:num>
  <w:num w:numId="15">
    <w:abstractNumId w:val="26"/>
  </w:num>
  <w:num w:numId="16">
    <w:abstractNumId w:val="19"/>
  </w:num>
  <w:num w:numId="17">
    <w:abstractNumId w:val="17"/>
  </w:num>
  <w:num w:numId="18">
    <w:abstractNumId w:val="33"/>
  </w:num>
  <w:num w:numId="19">
    <w:abstractNumId w:val="12"/>
  </w:num>
  <w:num w:numId="20">
    <w:abstractNumId w:val="37"/>
  </w:num>
  <w:num w:numId="21">
    <w:abstractNumId w:val="13"/>
  </w:num>
  <w:num w:numId="22">
    <w:abstractNumId w:val="10"/>
  </w:num>
  <w:num w:numId="23">
    <w:abstractNumId w:val="24"/>
  </w:num>
  <w:num w:numId="24">
    <w:abstractNumId w:val="1"/>
  </w:num>
  <w:num w:numId="25">
    <w:abstractNumId w:val="5"/>
  </w:num>
  <w:num w:numId="26">
    <w:abstractNumId w:val="6"/>
  </w:num>
  <w:num w:numId="27">
    <w:abstractNumId w:val="22"/>
  </w:num>
  <w:num w:numId="28">
    <w:abstractNumId w:val="9"/>
  </w:num>
  <w:num w:numId="29">
    <w:abstractNumId w:val="3"/>
  </w:num>
  <w:num w:numId="30">
    <w:abstractNumId w:val="34"/>
  </w:num>
  <w:num w:numId="31">
    <w:abstractNumId w:val="25"/>
  </w:num>
  <w:num w:numId="32">
    <w:abstractNumId w:val="2"/>
  </w:num>
  <w:num w:numId="33">
    <w:abstractNumId w:val="36"/>
  </w:num>
  <w:num w:numId="34">
    <w:abstractNumId w:val="14"/>
  </w:num>
  <w:num w:numId="35">
    <w:abstractNumId w:val="31"/>
  </w:num>
  <w:num w:numId="36">
    <w:abstractNumId w:val="4"/>
  </w:num>
  <w:num w:numId="37">
    <w:abstractNumId w:val="8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32D1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74234"/>
    <w:rsid w:val="00083993"/>
    <w:rsid w:val="000863A4"/>
    <w:rsid w:val="00092B84"/>
    <w:rsid w:val="0009542A"/>
    <w:rsid w:val="000A53F3"/>
    <w:rsid w:val="000A5CDC"/>
    <w:rsid w:val="000B54D7"/>
    <w:rsid w:val="000D5029"/>
    <w:rsid w:val="000E1CA4"/>
    <w:rsid w:val="000E2036"/>
    <w:rsid w:val="000F423B"/>
    <w:rsid w:val="000F5E72"/>
    <w:rsid w:val="001136AA"/>
    <w:rsid w:val="001156BA"/>
    <w:rsid w:val="0012248A"/>
    <w:rsid w:val="0015182D"/>
    <w:rsid w:val="00161847"/>
    <w:rsid w:val="00164C9C"/>
    <w:rsid w:val="00170CA7"/>
    <w:rsid w:val="001711C5"/>
    <w:rsid w:val="001A023F"/>
    <w:rsid w:val="001A3FAC"/>
    <w:rsid w:val="001A6472"/>
    <w:rsid w:val="001B487B"/>
    <w:rsid w:val="001C5538"/>
    <w:rsid w:val="001D0EDE"/>
    <w:rsid w:val="001D20E2"/>
    <w:rsid w:val="001E38DE"/>
    <w:rsid w:val="001E3F55"/>
    <w:rsid w:val="001F7B31"/>
    <w:rsid w:val="0020601F"/>
    <w:rsid w:val="0020747C"/>
    <w:rsid w:val="00212DA5"/>
    <w:rsid w:val="0021347C"/>
    <w:rsid w:val="00216EE4"/>
    <w:rsid w:val="002323AC"/>
    <w:rsid w:val="00250B8B"/>
    <w:rsid w:val="00261404"/>
    <w:rsid w:val="0026412C"/>
    <w:rsid w:val="00275E2A"/>
    <w:rsid w:val="002947BA"/>
    <w:rsid w:val="00296938"/>
    <w:rsid w:val="002A202F"/>
    <w:rsid w:val="002A21B5"/>
    <w:rsid w:val="002B19B4"/>
    <w:rsid w:val="002B735F"/>
    <w:rsid w:val="002F1BEC"/>
    <w:rsid w:val="002F2897"/>
    <w:rsid w:val="002F2DAB"/>
    <w:rsid w:val="002F4757"/>
    <w:rsid w:val="002F62C3"/>
    <w:rsid w:val="00315D7F"/>
    <w:rsid w:val="00322199"/>
    <w:rsid w:val="003223C7"/>
    <w:rsid w:val="00326555"/>
    <w:rsid w:val="003410E0"/>
    <w:rsid w:val="00350EAD"/>
    <w:rsid w:val="003651DB"/>
    <w:rsid w:val="00365B4C"/>
    <w:rsid w:val="003715A0"/>
    <w:rsid w:val="0037171F"/>
    <w:rsid w:val="00372484"/>
    <w:rsid w:val="0037634D"/>
    <w:rsid w:val="00376FD1"/>
    <w:rsid w:val="003818C2"/>
    <w:rsid w:val="0039002C"/>
    <w:rsid w:val="003B44DB"/>
    <w:rsid w:val="003B4BC9"/>
    <w:rsid w:val="003B6298"/>
    <w:rsid w:val="003B64C5"/>
    <w:rsid w:val="003C375E"/>
    <w:rsid w:val="003E2EB1"/>
    <w:rsid w:val="003E3C16"/>
    <w:rsid w:val="00405E8D"/>
    <w:rsid w:val="00407D96"/>
    <w:rsid w:val="00415D98"/>
    <w:rsid w:val="00432495"/>
    <w:rsid w:val="00437551"/>
    <w:rsid w:val="00444DA7"/>
    <w:rsid w:val="00451775"/>
    <w:rsid w:val="0045471F"/>
    <w:rsid w:val="00457882"/>
    <w:rsid w:val="00463CC7"/>
    <w:rsid w:val="004809C4"/>
    <w:rsid w:val="0048433C"/>
    <w:rsid w:val="004847B1"/>
    <w:rsid w:val="00486EC3"/>
    <w:rsid w:val="00493FB9"/>
    <w:rsid w:val="0049545B"/>
    <w:rsid w:val="004B077E"/>
    <w:rsid w:val="004B4127"/>
    <w:rsid w:val="004B4C63"/>
    <w:rsid w:val="004C1D6A"/>
    <w:rsid w:val="004D3BD0"/>
    <w:rsid w:val="004D45B1"/>
    <w:rsid w:val="004D68A7"/>
    <w:rsid w:val="004E29D1"/>
    <w:rsid w:val="004F31B1"/>
    <w:rsid w:val="00500566"/>
    <w:rsid w:val="005073A3"/>
    <w:rsid w:val="00507BD8"/>
    <w:rsid w:val="00523608"/>
    <w:rsid w:val="00525C0A"/>
    <w:rsid w:val="00535608"/>
    <w:rsid w:val="005371B0"/>
    <w:rsid w:val="005456C8"/>
    <w:rsid w:val="00556688"/>
    <w:rsid w:val="0056162B"/>
    <w:rsid w:val="0056707B"/>
    <w:rsid w:val="00573B08"/>
    <w:rsid w:val="00581A9D"/>
    <w:rsid w:val="00582F97"/>
    <w:rsid w:val="005964D6"/>
    <w:rsid w:val="005A2503"/>
    <w:rsid w:val="005B4F04"/>
    <w:rsid w:val="005B7CB9"/>
    <w:rsid w:val="005C341E"/>
    <w:rsid w:val="005C6F91"/>
    <w:rsid w:val="005D0023"/>
    <w:rsid w:val="005D6114"/>
    <w:rsid w:val="005E21C4"/>
    <w:rsid w:val="005F4D59"/>
    <w:rsid w:val="0060001C"/>
    <w:rsid w:val="00600D31"/>
    <w:rsid w:val="0060786A"/>
    <w:rsid w:val="006237FE"/>
    <w:rsid w:val="00627AF7"/>
    <w:rsid w:val="00632540"/>
    <w:rsid w:val="00633F73"/>
    <w:rsid w:val="00645199"/>
    <w:rsid w:val="00645850"/>
    <w:rsid w:val="00661ECF"/>
    <w:rsid w:val="006868EE"/>
    <w:rsid w:val="0068796A"/>
    <w:rsid w:val="00692071"/>
    <w:rsid w:val="00694B28"/>
    <w:rsid w:val="00695CE5"/>
    <w:rsid w:val="006C4D5B"/>
    <w:rsid w:val="006C5349"/>
    <w:rsid w:val="006C5F2A"/>
    <w:rsid w:val="006C662C"/>
    <w:rsid w:val="006D3DA6"/>
    <w:rsid w:val="006F4A5C"/>
    <w:rsid w:val="007051FC"/>
    <w:rsid w:val="00715C37"/>
    <w:rsid w:val="00715F5C"/>
    <w:rsid w:val="00721C23"/>
    <w:rsid w:val="007278C1"/>
    <w:rsid w:val="00733493"/>
    <w:rsid w:val="00736A04"/>
    <w:rsid w:val="00737F1D"/>
    <w:rsid w:val="00762F56"/>
    <w:rsid w:val="00782816"/>
    <w:rsid w:val="007838B0"/>
    <w:rsid w:val="00785A46"/>
    <w:rsid w:val="007861E3"/>
    <w:rsid w:val="007940D6"/>
    <w:rsid w:val="007954EC"/>
    <w:rsid w:val="00797240"/>
    <w:rsid w:val="007B1740"/>
    <w:rsid w:val="007B5440"/>
    <w:rsid w:val="007C61B5"/>
    <w:rsid w:val="007D3889"/>
    <w:rsid w:val="007D39E4"/>
    <w:rsid w:val="007D43A7"/>
    <w:rsid w:val="007E1695"/>
    <w:rsid w:val="007F204C"/>
    <w:rsid w:val="007F56E6"/>
    <w:rsid w:val="00804060"/>
    <w:rsid w:val="008166C9"/>
    <w:rsid w:val="00824E43"/>
    <w:rsid w:val="00833D8C"/>
    <w:rsid w:val="00834C9A"/>
    <w:rsid w:val="00836FC5"/>
    <w:rsid w:val="0084708C"/>
    <w:rsid w:val="00850AD5"/>
    <w:rsid w:val="00852739"/>
    <w:rsid w:val="00860B2B"/>
    <w:rsid w:val="008629CC"/>
    <w:rsid w:val="008644CF"/>
    <w:rsid w:val="00864778"/>
    <w:rsid w:val="00865EBB"/>
    <w:rsid w:val="00886C36"/>
    <w:rsid w:val="00897CDE"/>
    <w:rsid w:val="008A6AC8"/>
    <w:rsid w:val="008B5A7A"/>
    <w:rsid w:val="008C3FC4"/>
    <w:rsid w:val="008C4068"/>
    <w:rsid w:val="008C5591"/>
    <w:rsid w:val="008C6FD9"/>
    <w:rsid w:val="008D04A6"/>
    <w:rsid w:val="008D48B6"/>
    <w:rsid w:val="008D4C1A"/>
    <w:rsid w:val="008D6258"/>
    <w:rsid w:val="008E7898"/>
    <w:rsid w:val="008F0867"/>
    <w:rsid w:val="008F172F"/>
    <w:rsid w:val="008F2044"/>
    <w:rsid w:val="008F2BE1"/>
    <w:rsid w:val="008F4DD1"/>
    <w:rsid w:val="009056DB"/>
    <w:rsid w:val="0090626E"/>
    <w:rsid w:val="009109D6"/>
    <w:rsid w:val="00947592"/>
    <w:rsid w:val="00950280"/>
    <w:rsid w:val="009515A6"/>
    <w:rsid w:val="00991A18"/>
    <w:rsid w:val="00994A16"/>
    <w:rsid w:val="009A1F17"/>
    <w:rsid w:val="009A30D3"/>
    <w:rsid w:val="009B0D59"/>
    <w:rsid w:val="009C6855"/>
    <w:rsid w:val="009C692E"/>
    <w:rsid w:val="009D03A7"/>
    <w:rsid w:val="009E0479"/>
    <w:rsid w:val="009F57C9"/>
    <w:rsid w:val="00A0102E"/>
    <w:rsid w:val="00A07D1D"/>
    <w:rsid w:val="00A12960"/>
    <w:rsid w:val="00A1570D"/>
    <w:rsid w:val="00A22386"/>
    <w:rsid w:val="00A27DDC"/>
    <w:rsid w:val="00A56B75"/>
    <w:rsid w:val="00A71C04"/>
    <w:rsid w:val="00A819EE"/>
    <w:rsid w:val="00A82B22"/>
    <w:rsid w:val="00A8657B"/>
    <w:rsid w:val="00A90986"/>
    <w:rsid w:val="00AA0017"/>
    <w:rsid w:val="00AA4BC5"/>
    <w:rsid w:val="00AB09B3"/>
    <w:rsid w:val="00AB30C1"/>
    <w:rsid w:val="00AC02D1"/>
    <w:rsid w:val="00AD3DAA"/>
    <w:rsid w:val="00AF0210"/>
    <w:rsid w:val="00B06019"/>
    <w:rsid w:val="00B07409"/>
    <w:rsid w:val="00B1006E"/>
    <w:rsid w:val="00B178FB"/>
    <w:rsid w:val="00B20B09"/>
    <w:rsid w:val="00B21A27"/>
    <w:rsid w:val="00B22DE6"/>
    <w:rsid w:val="00B5252A"/>
    <w:rsid w:val="00B63DB1"/>
    <w:rsid w:val="00B67138"/>
    <w:rsid w:val="00B6715C"/>
    <w:rsid w:val="00B759D6"/>
    <w:rsid w:val="00B81CFE"/>
    <w:rsid w:val="00B903AE"/>
    <w:rsid w:val="00B9157F"/>
    <w:rsid w:val="00B95225"/>
    <w:rsid w:val="00B95F2A"/>
    <w:rsid w:val="00BA55D3"/>
    <w:rsid w:val="00BA6759"/>
    <w:rsid w:val="00BA7204"/>
    <w:rsid w:val="00BC6826"/>
    <w:rsid w:val="00BD4196"/>
    <w:rsid w:val="00BE53E4"/>
    <w:rsid w:val="00C0295C"/>
    <w:rsid w:val="00C03C06"/>
    <w:rsid w:val="00C121EC"/>
    <w:rsid w:val="00C12C65"/>
    <w:rsid w:val="00C14FFF"/>
    <w:rsid w:val="00C43A02"/>
    <w:rsid w:val="00C445E2"/>
    <w:rsid w:val="00C70F1B"/>
    <w:rsid w:val="00C7129D"/>
    <w:rsid w:val="00C748D1"/>
    <w:rsid w:val="00C8675D"/>
    <w:rsid w:val="00C91014"/>
    <w:rsid w:val="00CA1CE9"/>
    <w:rsid w:val="00CA48E3"/>
    <w:rsid w:val="00CB1A4E"/>
    <w:rsid w:val="00CB4D4B"/>
    <w:rsid w:val="00CB6900"/>
    <w:rsid w:val="00CC29F6"/>
    <w:rsid w:val="00CC5FDE"/>
    <w:rsid w:val="00CD2287"/>
    <w:rsid w:val="00CD5BBB"/>
    <w:rsid w:val="00CE0685"/>
    <w:rsid w:val="00CE775A"/>
    <w:rsid w:val="00CF47CA"/>
    <w:rsid w:val="00D37EA5"/>
    <w:rsid w:val="00D641C8"/>
    <w:rsid w:val="00D65A38"/>
    <w:rsid w:val="00D73628"/>
    <w:rsid w:val="00D73918"/>
    <w:rsid w:val="00D943B6"/>
    <w:rsid w:val="00D95137"/>
    <w:rsid w:val="00D967D7"/>
    <w:rsid w:val="00DA09C3"/>
    <w:rsid w:val="00DA125D"/>
    <w:rsid w:val="00DA2E94"/>
    <w:rsid w:val="00DB19B9"/>
    <w:rsid w:val="00DC3A44"/>
    <w:rsid w:val="00DC4BC2"/>
    <w:rsid w:val="00DD7B10"/>
    <w:rsid w:val="00DE057D"/>
    <w:rsid w:val="00E0020F"/>
    <w:rsid w:val="00E118C7"/>
    <w:rsid w:val="00E1427B"/>
    <w:rsid w:val="00E14E0D"/>
    <w:rsid w:val="00E22B8B"/>
    <w:rsid w:val="00E317D1"/>
    <w:rsid w:val="00E40DF0"/>
    <w:rsid w:val="00E4267B"/>
    <w:rsid w:val="00E429D4"/>
    <w:rsid w:val="00E47DAC"/>
    <w:rsid w:val="00E63C8A"/>
    <w:rsid w:val="00E70761"/>
    <w:rsid w:val="00E70BF6"/>
    <w:rsid w:val="00E912DE"/>
    <w:rsid w:val="00EA57C3"/>
    <w:rsid w:val="00ED66D2"/>
    <w:rsid w:val="00EE4F3F"/>
    <w:rsid w:val="00EF2D29"/>
    <w:rsid w:val="00F11C98"/>
    <w:rsid w:val="00F12E47"/>
    <w:rsid w:val="00F223B2"/>
    <w:rsid w:val="00F22BD1"/>
    <w:rsid w:val="00F246E5"/>
    <w:rsid w:val="00F53241"/>
    <w:rsid w:val="00F54ED6"/>
    <w:rsid w:val="00F67790"/>
    <w:rsid w:val="00F75D9A"/>
    <w:rsid w:val="00FA2539"/>
    <w:rsid w:val="00FA2643"/>
    <w:rsid w:val="00FB1A1B"/>
    <w:rsid w:val="00FB645B"/>
    <w:rsid w:val="00FC09D6"/>
    <w:rsid w:val="00FC3123"/>
    <w:rsid w:val="00FC34EC"/>
    <w:rsid w:val="00FC3F69"/>
    <w:rsid w:val="00FC454E"/>
    <w:rsid w:val="00FC5312"/>
    <w:rsid w:val="00FC5383"/>
    <w:rsid w:val="00FC5EA6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32597D39-61BA-46AE-8662-ACF6CA5E9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12DE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55FA2-B213-4678-9D59-BA8F2E019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Ognjen Bogdanović</cp:lastModifiedBy>
  <cp:revision>9</cp:revision>
  <cp:lastPrinted>2018-09-05T12:48:00Z</cp:lastPrinted>
  <dcterms:created xsi:type="dcterms:W3CDTF">2019-03-03T09:52:00Z</dcterms:created>
  <dcterms:modified xsi:type="dcterms:W3CDTF">2019-04-10T13:23:00Z</dcterms:modified>
</cp:coreProperties>
</file>