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25996" w14:textId="0A1A1F32" w:rsidR="00770964" w:rsidRPr="00770964" w:rsidRDefault="00DA45A6" w:rsidP="00F2308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Latn-RS"/>
        </w:rPr>
      </w:pPr>
      <w:r w:rsidRPr="00DA7C61">
        <w:rPr>
          <w:b/>
          <w:sz w:val="22"/>
          <w:szCs w:val="22"/>
          <w:lang w:val="sr-Cyrl-RS"/>
        </w:rPr>
        <w:t xml:space="preserve">ПОЈЕДНОСТАВЉЕЊЕ ПОСТУПКА ИЗДАВАЊА СЛУЖБЕНЕ ЛЕГИТИМАЦИЈЕ СЛУЖБЕНИКА ОБЕЗБЕЂЕЊА </w:t>
      </w:r>
    </w:p>
    <w:p w14:paraId="299395FC" w14:textId="77777777" w:rsidR="00B1006E" w:rsidRPr="00DA35F2" w:rsidRDefault="00B1006E" w:rsidP="00F2308D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A35F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616A8F97" w:rsidR="000E2036" w:rsidRPr="00DA35F2" w:rsidRDefault="000E2036" w:rsidP="00F2308D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A35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F2308D" w:rsidRPr="00DA35F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15669963" w:rsidR="000E2036" w:rsidRPr="00DA35F2" w:rsidRDefault="007051FC" w:rsidP="00F2308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Службена легитимација службеника обезбеђења</w:t>
            </w:r>
          </w:p>
        </w:tc>
      </w:tr>
      <w:tr w:rsidR="00850AD5" w:rsidRPr="00DA35F2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A35F2" w:rsidRDefault="000E2036" w:rsidP="00F2308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576E9E9" w:rsidR="000E2036" w:rsidRPr="00DA35F2" w:rsidRDefault="004C1D6A" w:rsidP="00F2308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sz w:val="22"/>
                <w:szCs w:val="22"/>
                <w:lang w:val="sr-Cyrl-RS"/>
              </w:rPr>
              <w:t>03.00.00</w:t>
            </w:r>
            <w:r w:rsidR="007051FC" w:rsidRPr="00DA35F2">
              <w:rPr>
                <w:sz w:val="22"/>
                <w:szCs w:val="22"/>
                <w:lang w:val="sr-Cyrl-RS"/>
              </w:rPr>
              <w:t>17</w:t>
            </w:r>
          </w:p>
        </w:tc>
      </w:tr>
      <w:tr w:rsidR="00850AD5" w:rsidRPr="00DA35F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A35F2" w:rsidRDefault="00275E2A" w:rsidP="00F2308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A35F2" w:rsidRDefault="00275E2A" w:rsidP="00F2308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7ED955DF" w:rsidR="00092B84" w:rsidRPr="00DA35F2" w:rsidRDefault="004C1D6A" w:rsidP="00F2308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DA35F2">
              <w:rPr>
                <w:sz w:val="22"/>
                <w:szCs w:val="22"/>
                <w:lang w:val="sr-Cyrl-RS"/>
              </w:rPr>
              <w:t>Министарство унутрашњих послова</w:t>
            </w:r>
          </w:p>
        </w:tc>
      </w:tr>
      <w:tr w:rsidR="00850AD5" w:rsidRPr="00DA35F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A35F2" w:rsidRDefault="00275E2A" w:rsidP="00F2308D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A35F2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A35F2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3631B470" w:rsidR="007051FC" w:rsidRPr="00DA35F2" w:rsidRDefault="007051FC" w:rsidP="0056302B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/>
                <w:sz w:val="22"/>
                <w:lang w:val="sr-Cyrl-RS"/>
              </w:rPr>
            </w:pPr>
            <w:r w:rsidRPr="00DA35F2">
              <w:rPr>
                <w:rFonts w:ascii="Times New Roman" w:hAnsi="Times New Roman"/>
                <w:sz w:val="22"/>
                <w:lang w:val="sr-Cyrl-RS"/>
              </w:rPr>
              <w:t>Закон о приватном обезбеђењу</w:t>
            </w:r>
            <w:r w:rsidR="000E21AA" w:rsidRPr="00AA5B77">
              <w:rPr>
                <w:rFonts w:ascii="Times New Roman" w:hAnsi="Times New Roman"/>
                <w:sz w:val="22"/>
                <w:szCs w:val="22"/>
                <w:lang w:val="sr-Cyrl-RS"/>
              </w:rPr>
              <w:t>: („</w:t>
            </w:r>
            <w:r w:rsidRPr="00DA35F2">
              <w:rPr>
                <w:rFonts w:ascii="Times New Roman" w:hAnsi="Times New Roman"/>
                <w:sz w:val="22"/>
                <w:lang w:val="sr-Cyrl-RS"/>
              </w:rPr>
              <w:t xml:space="preserve">Сл. </w:t>
            </w:r>
            <w:r w:rsidR="000E21AA" w:rsidRPr="00AA5B77">
              <w:rPr>
                <w:rFonts w:ascii="Times New Roman" w:hAnsi="Times New Roman"/>
                <w:sz w:val="22"/>
                <w:szCs w:val="22"/>
                <w:lang w:val="sr-Cyrl-RS"/>
              </w:rPr>
              <w:t>гласник</w:t>
            </w:r>
            <w:r w:rsidRPr="00DA35F2">
              <w:rPr>
                <w:rFonts w:ascii="Times New Roman" w:hAnsi="Times New Roman"/>
                <w:sz w:val="22"/>
                <w:lang w:val="sr-Cyrl-RS"/>
              </w:rPr>
              <w:t xml:space="preserve"> РС“, бр. 104/</w:t>
            </w:r>
            <w:r w:rsidR="000E21AA" w:rsidRPr="00AA5B7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2013-8, </w:t>
            </w:r>
            <w:r w:rsidRPr="00DA35F2">
              <w:rPr>
                <w:rFonts w:ascii="Times New Roman" w:hAnsi="Times New Roman"/>
                <w:sz w:val="22"/>
                <w:lang w:val="sr-Cyrl-RS"/>
              </w:rPr>
              <w:t>42/</w:t>
            </w:r>
            <w:r w:rsidR="000E21AA" w:rsidRPr="00AA5B77">
              <w:rPr>
                <w:rFonts w:ascii="Times New Roman" w:hAnsi="Times New Roman"/>
                <w:sz w:val="22"/>
                <w:szCs w:val="22"/>
                <w:lang w:val="sr-Cyrl-RS"/>
              </w:rPr>
              <w:t>2015, 87/18</w:t>
            </w:r>
            <w:r w:rsidRPr="00DA35F2">
              <w:rPr>
                <w:rFonts w:ascii="Times New Roman" w:hAnsi="Times New Roman"/>
                <w:sz w:val="22"/>
                <w:lang w:val="sr-Cyrl-RS"/>
              </w:rPr>
              <w:t xml:space="preserve">) </w:t>
            </w:r>
          </w:p>
        </w:tc>
      </w:tr>
      <w:tr w:rsidR="00850AD5" w:rsidRPr="00DA35F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A35F2" w:rsidRDefault="00D73918" w:rsidP="00F2308D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A35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A35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 xml:space="preserve"> /донети/укинути </w:t>
            </w:r>
            <w:r w:rsidRPr="00DA35F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02740747" w:rsidR="00A90986" w:rsidRPr="00DA35F2" w:rsidRDefault="007051FC" w:rsidP="00F2308D">
            <w:pPr>
              <w:pStyle w:val="ListParagraph"/>
              <w:spacing w:before="120" w:after="120"/>
              <w:ind w:left="360"/>
              <w:jc w:val="left"/>
              <w:rPr>
                <w:rFonts w:ascii="Times New Roman" w:hAnsi="Times New Roman"/>
                <w:lang w:val="sr-Cyrl-RS"/>
              </w:rPr>
            </w:pPr>
            <w:r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Није потребна измена прописа</w:t>
            </w:r>
            <w:r w:rsidRPr="00DA35F2">
              <w:rPr>
                <w:rFonts w:ascii="Times New Roman" w:hAnsi="Times New Roman"/>
                <w:lang w:val="sr-Cyrl-RS"/>
              </w:rPr>
              <w:t xml:space="preserve"> </w:t>
            </w:r>
          </w:p>
        </w:tc>
      </w:tr>
      <w:tr w:rsidR="00DA35F2" w:rsidRPr="00DA35F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DA35F2" w:rsidRPr="00DA35F2" w:rsidRDefault="00DA35F2" w:rsidP="00DA35F2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2735DDA0" w:rsidR="00DA35F2" w:rsidRPr="00295028" w:rsidRDefault="0090215D" w:rsidP="0090215D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 2019. године</w:t>
            </w:r>
          </w:p>
        </w:tc>
      </w:tr>
      <w:tr w:rsidR="00275E2A" w:rsidRPr="00DA35F2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A35F2" w:rsidRDefault="00275E2A" w:rsidP="00F2308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A35F2" w14:paraId="4635A4BE" w14:textId="77777777" w:rsidTr="00770964">
        <w:trPr>
          <w:trHeight w:val="1470"/>
        </w:trPr>
        <w:tc>
          <w:tcPr>
            <w:tcW w:w="9060" w:type="dxa"/>
            <w:gridSpan w:val="2"/>
          </w:tcPr>
          <w:p w14:paraId="4BCB02C2" w14:textId="08F93302" w:rsidR="00C14FFF" w:rsidRPr="00770964" w:rsidRDefault="004C1D6A" w:rsidP="00F2308D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</w:pPr>
            <w:r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ствара </w:t>
            </w:r>
            <w:r w:rsidR="007051FC"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непотребно </w:t>
            </w:r>
            <w:r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административно оптерећење и трошкове привредним друштвима и другим правним лицима</w:t>
            </w:r>
            <w:r w:rsidR="007051FC"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услед </w:t>
            </w:r>
            <w:r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непоштовањ</w:t>
            </w:r>
            <w:r w:rsidR="007051FC"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а </w:t>
            </w:r>
            <w:r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обавезе прибављања података које издају други јавни органи, по службеној дужности</w:t>
            </w:r>
            <w:r w:rsidR="007051FC"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  <w:r w:rsidR="00F2308D"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Сходно томе, нарушено </w:t>
            </w:r>
            <w:r w:rsidR="00836FC5"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 </w:t>
            </w:r>
            <w:r w:rsidRPr="00DA35F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једно од начела управног поступка - начело делотворности и економичности, по коме се поступак води уз што мање трошкова по странку. </w:t>
            </w:r>
            <w:bookmarkStart w:id="0" w:name="_GoBack"/>
            <w:bookmarkEnd w:id="0"/>
          </w:p>
        </w:tc>
      </w:tr>
      <w:tr w:rsidR="00275E2A" w:rsidRPr="00DA35F2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A35F2" w:rsidRDefault="00275E2A" w:rsidP="00F2308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A35F2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14EA9C63" w14:textId="0820DAAC" w:rsidR="00C70F1B" w:rsidRPr="00DA35F2" w:rsidRDefault="00C70F1B" w:rsidP="00F2308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6F71A0F1" w14:textId="7538410C" w:rsidR="009B0D59" w:rsidRPr="00DA35F2" w:rsidRDefault="009B0D59" w:rsidP="00F2308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p w14:paraId="110B73C2" w14:textId="77777777" w:rsidR="008B5A7A" w:rsidRPr="00DA35F2" w:rsidRDefault="008B5A7A" w:rsidP="00F2308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450"/>
              <w:gridCol w:w="1589"/>
              <w:gridCol w:w="1977"/>
              <w:gridCol w:w="1818"/>
            </w:tblGrid>
            <w:tr w:rsidR="00D95137" w:rsidRPr="00DA35F2" w14:paraId="56D27136" w14:textId="77777777" w:rsidTr="007051FC">
              <w:trPr>
                <w:trHeight w:val="1056"/>
              </w:trPr>
              <w:tc>
                <w:tcPr>
                  <w:tcW w:w="195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18B23C89" w14:textId="77777777" w:rsidR="008B5A7A" w:rsidRPr="00DA35F2" w:rsidRDefault="008B5A7A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A35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ПРЕПОРУКА</w:t>
                  </w:r>
                </w:p>
              </w:tc>
              <w:tc>
                <w:tcPr>
                  <w:tcW w:w="2018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08C906A6" w14:textId="77777777" w:rsidR="008B5A7A" w:rsidRPr="00DA35F2" w:rsidRDefault="008B5A7A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A35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02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2310CE98" w14:textId="77777777" w:rsidR="008B5A7A" w:rsidRPr="00DA35F2" w:rsidRDefault="008B5A7A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A35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УКОЛИКО ЈЕ ОДГОВОР ДА, КОЈИХ</w:t>
                  </w:r>
                </w:p>
              </w:tc>
            </w:tr>
            <w:tr w:rsidR="00D95137" w:rsidRPr="00DA35F2" w14:paraId="79ACCF30" w14:textId="77777777" w:rsidTr="007051FC">
              <w:trPr>
                <w:trHeight w:val="288"/>
              </w:trPr>
              <w:tc>
                <w:tcPr>
                  <w:tcW w:w="1953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24E1635" w14:textId="77777777" w:rsidR="008B5A7A" w:rsidRPr="00DA35F2" w:rsidRDefault="008B5A7A" w:rsidP="00F2308D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8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68B6D72D" w14:textId="77777777" w:rsidR="008B5A7A" w:rsidRPr="00DA35F2" w:rsidRDefault="008B5A7A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A35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Да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  <w:hideMark/>
                </w:tcPr>
                <w:p w14:paraId="4969D714" w14:textId="77777777" w:rsidR="008B5A7A" w:rsidRPr="00DA35F2" w:rsidRDefault="008B5A7A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DA35F2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Не</w:t>
                  </w:r>
                </w:p>
              </w:tc>
              <w:tc>
                <w:tcPr>
                  <w:tcW w:w="1029" w:type="pct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6CEC29" w14:textId="77777777" w:rsidR="008B5A7A" w:rsidRPr="00DA35F2" w:rsidRDefault="008B5A7A" w:rsidP="00F2308D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3C5F13" w:rsidRPr="00DA35F2" w14:paraId="15A9DCD6" w14:textId="77777777" w:rsidTr="003C5F13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064E3E4" w14:textId="6A261D1F" w:rsidR="003C5F13" w:rsidRPr="003C5F13" w:rsidRDefault="003C5F13" w:rsidP="00F2308D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3047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2864FA3" w14:textId="77777777" w:rsidR="003C5F13" w:rsidRPr="00630B3B" w:rsidRDefault="003C5F13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D95137" w:rsidRPr="00DA35F2" w14:paraId="29D1D87A" w14:textId="77777777" w:rsidTr="007051FC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954CA9" w14:textId="001426FE" w:rsidR="008B5A7A" w:rsidRPr="0090215D" w:rsidRDefault="008B5A7A" w:rsidP="00F2308D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90215D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AAE2B5" w14:textId="5C5C4A25" w:rsidR="008B5A7A" w:rsidRPr="00630B3B" w:rsidRDefault="008B5A7A" w:rsidP="00F2308D">
                  <w:pPr>
                    <w:jc w:val="center"/>
                    <w:rPr>
                      <w:rFonts w:ascii="Times New Roman" w:eastAsia="Times New Roman" w:hAnsi="Times New Roman"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630B3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82892" w14:textId="7B620C64" w:rsidR="008B5A7A" w:rsidRPr="00630B3B" w:rsidRDefault="00630B3B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630B3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  <w:r w:rsidR="008B5A7A" w:rsidRPr="00630B3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C95BC1" w14:textId="50CB906A" w:rsidR="008B5A7A" w:rsidRPr="00630B3B" w:rsidRDefault="008B5A7A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630B3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 </w:t>
                  </w:r>
                </w:p>
              </w:tc>
            </w:tr>
            <w:tr w:rsidR="0090215D" w:rsidRPr="00DA35F2" w14:paraId="0E3BE3C9" w14:textId="77777777" w:rsidTr="0090215D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4488879" w14:textId="533819DC" w:rsidR="0090215D" w:rsidRPr="00630B3B" w:rsidRDefault="0090215D" w:rsidP="00F2308D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F13">
                    <w:rPr>
                      <w:rFonts w:ascii="Times New Roman" w:eastAsia="Times New Roman" w:hAnsi="Times New Roman"/>
                      <w:b/>
                      <w:sz w:val="20"/>
                      <w:szCs w:val="20"/>
                      <w:lang w:val="sr-Cyrl-RS"/>
                    </w:rPr>
                    <w:t xml:space="preserve">Утврђивање правног  основа и потребне документације </w:t>
                  </w:r>
                  <w:r w:rsidRPr="003C5F13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3047" w:type="pct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5844446" w14:textId="77777777" w:rsidR="0090215D" w:rsidRPr="00630B3B" w:rsidRDefault="0090215D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7148E9" w:rsidRPr="00DA35F2" w14:paraId="56500275" w14:textId="77777777" w:rsidTr="007051FC">
              <w:trPr>
                <w:trHeight w:val="528"/>
              </w:trPr>
              <w:tc>
                <w:tcPr>
                  <w:tcW w:w="1953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566B26" w14:textId="32036A11" w:rsidR="007148E9" w:rsidRPr="00630B3B" w:rsidRDefault="007148E9" w:rsidP="00F2308D">
                  <w:pPr>
                    <w:jc w:val="left"/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i/>
                      <w:color w:val="000000"/>
                      <w:sz w:val="20"/>
                      <w:szCs w:val="20"/>
                      <w:lang w:val="sr-Cyrl-RS" w:eastAsia="en-GB"/>
                    </w:rPr>
                    <w:t>Промена форме документације</w:t>
                  </w:r>
                </w:p>
              </w:tc>
              <w:tc>
                <w:tcPr>
                  <w:tcW w:w="89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15999DA" w14:textId="77777777" w:rsidR="007148E9" w:rsidRPr="00630B3B" w:rsidRDefault="007148E9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56FFC36" w14:textId="6F3727EC" w:rsidR="007148E9" w:rsidRPr="00630B3B" w:rsidRDefault="007148E9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42B906A" w14:textId="77777777" w:rsidR="007148E9" w:rsidRPr="00630B3B" w:rsidRDefault="007148E9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  <w:tr w:rsidR="00DE33FD" w:rsidRPr="00DA35F2" w14:paraId="7578D3C4" w14:textId="77777777" w:rsidTr="00DE33FD">
              <w:trPr>
                <w:trHeight w:val="288"/>
              </w:trPr>
              <w:tc>
                <w:tcPr>
                  <w:tcW w:w="19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1A01DB6" w14:textId="45197856" w:rsidR="00DE33FD" w:rsidRPr="003C5F13" w:rsidRDefault="00DE33FD" w:rsidP="00F2308D">
                  <w:pPr>
                    <w:jc w:val="left"/>
                    <w:rPr>
                      <w:rFonts w:ascii="Times New Roman" w:eastAsia="Times New Roman" w:hAnsi="Times New Roman"/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3C5F13">
                    <w:rPr>
                      <w:rFonts w:ascii="Times New Roman" w:hAnsi="Times New Roman"/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>Електронско подношење захтева</w:t>
                  </w:r>
                </w:p>
              </w:tc>
              <w:tc>
                <w:tcPr>
                  <w:tcW w:w="8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6A0BD45" w14:textId="77777777" w:rsidR="00DE33FD" w:rsidRPr="00630B3B" w:rsidRDefault="00DE33FD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  <w:tc>
                <w:tcPr>
                  <w:tcW w:w="11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89A4A1" w14:textId="7EF248A1" w:rsidR="00DE33FD" w:rsidRPr="00630B3B" w:rsidRDefault="00DE33FD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630B3B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  <w:t>Х 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E7DA6E7" w14:textId="77777777" w:rsidR="00DE33FD" w:rsidRPr="00630B3B" w:rsidRDefault="00DE33FD" w:rsidP="00F2308D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0"/>
                      <w:szCs w:val="20"/>
                      <w:lang w:val="sr-Cyrl-RS" w:eastAsia="en-GB"/>
                    </w:rPr>
                  </w:pPr>
                </w:p>
              </w:tc>
            </w:tr>
          </w:tbl>
          <w:p w14:paraId="43426D8C" w14:textId="47E305D9" w:rsidR="008B5A7A" w:rsidRPr="00DA35F2" w:rsidRDefault="008B5A7A" w:rsidP="00F2308D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A35F2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3E469B31" w14:textId="77777777" w:rsidR="00CA1CE9" w:rsidRDefault="00CA1CE9" w:rsidP="00F2308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  <w:p w14:paraId="6E28D8C5" w14:textId="388415D7" w:rsidR="00514BD4" w:rsidRPr="00DA35F2" w:rsidRDefault="00514BD4" w:rsidP="00F2308D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A35F2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A35F2" w:rsidRDefault="00CA1CE9" w:rsidP="00F2308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A35F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7148E9" w:rsidRPr="007148E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5EB127F5" w14:textId="77777777" w:rsidR="009B0D59" w:rsidRPr="007148E9" w:rsidRDefault="009B0D59" w:rsidP="00F2308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267D923D" w14:textId="77777777" w:rsidR="009B0D59" w:rsidRPr="007148E9" w:rsidRDefault="009B0D59" w:rsidP="00F2308D">
            <w:pPr>
              <w:pStyle w:val="NormalWeb"/>
              <w:spacing w:before="0" w:beforeAutospacing="0" w:after="0" w:afterAutospacing="0"/>
              <w:ind w:left="360"/>
              <w:rPr>
                <w:b/>
                <w:sz w:val="22"/>
                <w:szCs w:val="22"/>
                <w:u w:val="single"/>
                <w:lang w:val="sr-Cyrl-RS" w:eastAsia="en-GB"/>
              </w:rPr>
            </w:pPr>
          </w:p>
          <w:p w14:paraId="22C55ECD" w14:textId="183E3B81" w:rsidR="004C1D6A" w:rsidRPr="007148E9" w:rsidRDefault="004C1D6A" w:rsidP="00630B3B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 w:eastAsia="en-GB"/>
              </w:rPr>
            </w:pPr>
            <w:r w:rsidRPr="007148E9">
              <w:rPr>
                <w:b/>
                <w:sz w:val="22"/>
                <w:szCs w:val="22"/>
                <w:lang w:val="sr-Cyrl-RS" w:eastAsia="en-GB"/>
              </w:rPr>
              <w:t>Прибављање података по службеној дужности</w:t>
            </w:r>
          </w:p>
          <w:p w14:paraId="08D2A00A" w14:textId="77777777" w:rsidR="004C1D6A" w:rsidRPr="007148E9" w:rsidRDefault="004C1D6A" w:rsidP="00F2308D">
            <w:pPr>
              <w:pStyle w:val="odluka-zakon"/>
              <w:shd w:val="clear" w:color="auto" w:fill="FFFFFF"/>
              <w:jc w:val="both"/>
              <w:rPr>
                <w:sz w:val="22"/>
                <w:szCs w:val="22"/>
                <w:lang w:val="sr-Cyrl-RS"/>
              </w:rPr>
            </w:pPr>
            <w:r w:rsidRPr="007148E9">
              <w:rPr>
                <w:sz w:val="22"/>
                <w:szCs w:val="22"/>
                <w:lang w:val="sr-Cyrl-RS"/>
              </w:rPr>
              <w:t>Предлаже се елиминација подношења следећих докумената од стране подносиоца захтева, јер je надлежни орган дужан да, у складу са члановима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 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2017), по службеној дужности прибави потребне податке од надлежног органа – „власника“ потребних података:</w:t>
            </w:r>
          </w:p>
          <w:p w14:paraId="09EC0972" w14:textId="6685F32D" w:rsidR="005964D6" w:rsidRPr="007148E9" w:rsidRDefault="004C1D6A" w:rsidP="003E28AD">
            <w:pPr>
              <w:pStyle w:val="NormalWeb"/>
              <w:numPr>
                <w:ilvl w:val="2"/>
                <w:numId w:val="29"/>
              </w:numPr>
              <w:spacing w:before="0" w:beforeAutospacing="0" w:after="0" w:afterAutospacing="0"/>
              <w:ind w:left="990" w:hanging="450"/>
              <w:jc w:val="both"/>
              <w:rPr>
                <w:sz w:val="22"/>
                <w:szCs w:val="22"/>
                <w:lang w:val="sr-Cyrl-RS"/>
              </w:rPr>
            </w:pPr>
            <w:r w:rsidRPr="007148E9">
              <w:rPr>
                <w:b/>
                <w:sz w:val="22"/>
                <w:szCs w:val="22"/>
                <w:lang w:val="sr-Cyrl-RS"/>
              </w:rPr>
              <w:t>Документ 1</w:t>
            </w:r>
            <w:r w:rsidR="00630B3B" w:rsidRPr="007148E9">
              <w:rPr>
                <w:b/>
                <w:sz w:val="22"/>
                <w:szCs w:val="22"/>
                <w:lang w:val="sr-Cyrl-RS"/>
              </w:rPr>
              <w:t xml:space="preserve"> - П</w:t>
            </w:r>
            <w:r w:rsidR="007051FC" w:rsidRPr="007148E9">
              <w:rPr>
                <w:b/>
                <w:sz w:val="22"/>
                <w:szCs w:val="22"/>
                <w:lang w:val="sr-Cyrl-RS"/>
              </w:rPr>
              <w:t>отврда о пријави на обавезно социјално осигурање за службенике приватног обезбеђења</w:t>
            </w:r>
          </w:p>
          <w:p w14:paraId="4B136ADB" w14:textId="77777777" w:rsidR="004C1D6A" w:rsidRPr="007148E9" w:rsidRDefault="004C1D6A" w:rsidP="00F2308D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305AB80" w14:textId="77777777" w:rsidR="007148E9" w:rsidRPr="007148E9" w:rsidRDefault="007148E9" w:rsidP="007148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bookmarkStart w:id="1" w:name="_Hlk523229423"/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>Прибављање података по службеној дужности је потребно спровести тако што ће се проверити радни статус запослених лица путем информационог система еЗУП на порталу е-Управа</w:t>
            </w:r>
            <w:r w:rsidRPr="007148E9">
              <w:rPr>
                <w:rStyle w:val="FootnoteReference"/>
                <w:rFonts w:ascii="Times New Roman" w:hAnsi="Times New Roman"/>
                <w:sz w:val="22"/>
                <w:szCs w:val="22"/>
              </w:rPr>
              <w:footnoteReference w:id="2"/>
            </w: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увидом у базу Централног регистра обавезног социјалног осигурања – ЦРОСО или путем </w:t>
            </w:r>
            <w:r w:rsidRPr="007148E9">
              <w:rPr>
                <w:rFonts w:ascii="Times New Roman" w:hAnsi="Times New Roman"/>
                <w:sz w:val="22"/>
                <w:szCs w:val="22"/>
              </w:rPr>
              <w:t>web</w:t>
            </w: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сервиса, у складу са Споразумом о размени података, закљученом између Министарства унутрашњих послова и ЦРОСО-а.  </w:t>
            </w:r>
          </w:p>
          <w:bookmarkEnd w:id="1"/>
          <w:p w14:paraId="0B90EFAC" w14:textId="77777777" w:rsidR="007148E9" w:rsidRPr="007148E9" w:rsidRDefault="007148E9" w:rsidP="007148E9">
            <w:pPr>
              <w:pStyle w:val="NormalWeb"/>
              <w:spacing w:before="120" w:beforeAutospacing="0" w:after="120" w:afterAutospacing="0"/>
              <w:jc w:val="both"/>
              <w:rPr>
                <w:rFonts w:eastAsia="Calibri"/>
                <w:sz w:val="22"/>
                <w:szCs w:val="22"/>
                <w:lang w:val="ru-RU"/>
              </w:rPr>
            </w:pPr>
            <w:r w:rsidRPr="007148E9">
              <w:rPr>
                <w:rFonts w:eastAsia="Calibri"/>
                <w:sz w:val="22"/>
                <w:szCs w:val="22"/>
                <w:lang w:val="ru-RU"/>
              </w:rPr>
              <w:t xml:space="preserve">Ова препорука је дата и од стране привредних субјеката на фокус групи одржаној у септембру 2018. године. </w:t>
            </w:r>
          </w:p>
          <w:p w14:paraId="5247465E" w14:textId="77777777" w:rsidR="007148E9" w:rsidRPr="007148E9" w:rsidRDefault="007148E9" w:rsidP="007148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lang w:val="ru-RU"/>
              </w:rPr>
              <w:t>Како би се ово омогућило, у обрасцу захтева је потр</w:t>
            </w:r>
            <w:proofErr w:type="spellStart"/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>ебно</w:t>
            </w:r>
            <w:proofErr w:type="spellEnd"/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затражити неопходне информације о лицима, за које је потребно утврдити ову чињеницу (име и презиме, ЈМБГ уз изјаву о заштити података).</w:t>
            </w:r>
          </w:p>
          <w:p w14:paraId="2DB294C1" w14:textId="2ADF75CF" w:rsidR="00514BD4" w:rsidRPr="007148E9" w:rsidRDefault="007148E9" w:rsidP="007148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4FFF53DB" w14:textId="375D449C" w:rsidR="00514BD4" w:rsidRPr="007148E9" w:rsidRDefault="00514BD4" w:rsidP="00D076F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 w:eastAsia="en-GB"/>
              </w:rPr>
            </w:pPr>
            <w:r w:rsidRPr="007148E9">
              <w:rPr>
                <w:b/>
                <w:bCs/>
                <w:sz w:val="22"/>
                <w:szCs w:val="22"/>
                <w:lang w:val="sr-Cyrl-RS" w:eastAsia="en-GB"/>
              </w:rPr>
              <w:t>За примену ове препоруке</w:t>
            </w:r>
            <w:r w:rsidRPr="007148E9">
              <w:rPr>
                <w:b/>
                <w:sz w:val="22"/>
                <w:szCs w:val="22"/>
                <w:lang w:val="sr-Cyrl-RS" w:eastAsia="en-GB"/>
              </w:rPr>
              <w:t xml:space="preserve">, </w:t>
            </w:r>
            <w:r w:rsidRPr="007148E9">
              <w:rPr>
                <w:b/>
                <w:bCs/>
                <w:sz w:val="22"/>
                <w:szCs w:val="22"/>
                <w:lang w:val="sr-Cyrl-RS" w:eastAsia="en-GB"/>
              </w:rPr>
              <w:t xml:space="preserve">није неопходна измена прописа. </w:t>
            </w:r>
          </w:p>
          <w:p w14:paraId="76C522F8" w14:textId="5022DAEF" w:rsidR="0035430C" w:rsidRDefault="007148E9" w:rsidP="007148E9">
            <w:pPr>
              <w:pStyle w:val="NormalWeb"/>
              <w:numPr>
                <w:ilvl w:val="1"/>
                <w:numId w:val="29"/>
              </w:numPr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  <w:r w:rsidRPr="007148E9">
              <w:rPr>
                <w:b/>
                <w:sz w:val="22"/>
                <w:szCs w:val="22"/>
                <w:lang w:val="sr-Cyrl-RS"/>
              </w:rPr>
              <w:t>Промена форме документације</w:t>
            </w:r>
          </w:p>
          <w:p w14:paraId="6435EF8B" w14:textId="77777777" w:rsidR="003E28AD" w:rsidRPr="007148E9" w:rsidRDefault="003E28AD" w:rsidP="003E28AD">
            <w:pPr>
              <w:pStyle w:val="NormalWeb"/>
              <w:spacing w:before="0" w:beforeAutospacing="0" w:after="0" w:afterAutospacing="0"/>
              <w:ind w:left="720"/>
              <w:rPr>
                <w:b/>
                <w:sz w:val="22"/>
                <w:szCs w:val="22"/>
                <w:lang w:val="sr-Cyrl-RS"/>
              </w:rPr>
            </w:pPr>
          </w:p>
          <w:p w14:paraId="693EF60A" w14:textId="77777777" w:rsidR="007148E9" w:rsidRPr="007148E9" w:rsidRDefault="007148E9" w:rsidP="007148E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>Надлежни органи често</w:t>
            </w:r>
            <w:r w:rsidRPr="007148E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траже од подносиоца захтева да уз захтев прилажу оригинал уплатнице или потврду банке, као доказ да је плаћен финансијски издатак за спровођење поступка, што ствара непотребне трошкове за подносиоца захтева. </w:t>
            </w:r>
          </w:p>
          <w:p w14:paraId="2F71DE36" w14:textId="77777777" w:rsidR="007148E9" w:rsidRPr="007148E9" w:rsidRDefault="007148E9" w:rsidP="007148E9">
            <w:pPr>
              <w:spacing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 тим у вези, предлаже се промена форме из оригинала у копију </w:t>
            </w:r>
            <w:r w:rsidRPr="007148E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за доказ о плаћању финансијског  издатка односно </w:t>
            </w: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>извод са пословног рачуна странке, без печата банке, у складу са мишљењем Министарства финансија бр. 434-01-7/07-04 од 25.05.2009. године, у коме се наводи да је извод са пословног рачуна странке, без печата банке, валидан доказ о уплати таксе.</w:t>
            </w:r>
          </w:p>
          <w:p w14:paraId="3E668BC5" w14:textId="77777777" w:rsidR="007148E9" w:rsidRPr="007148E9" w:rsidRDefault="007148E9" w:rsidP="007148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</w:rPr>
              <w:t>K</w:t>
            </w: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>ако је примена препоруке</w:t>
            </w:r>
            <w:r w:rsidRPr="007148E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за достављање извода са пословног рачуна странке, без печата банке,</w:t>
            </w: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као </w:t>
            </w:r>
            <w:r w:rsidRPr="007148E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доказа о плаћању финансијског издатака, већ могућа</w:t>
            </w: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један део поступака у Министарству унутрашњих послова, где је Управа за трезор омогућила Министарству увид о извршеним уплатама, као што је случај са уплатама такси за технички преглед возила, нема препрека да се исти систем не омогући и за преостале поступке Министарства. </w:t>
            </w:r>
          </w:p>
          <w:p w14:paraId="7F0CC959" w14:textId="77777777" w:rsidR="007148E9" w:rsidRPr="007148E9" w:rsidRDefault="007148E9" w:rsidP="007148E9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289551CC" w14:textId="77777777" w:rsidR="007148E9" w:rsidRPr="007148E9" w:rsidRDefault="007148E9" w:rsidP="007148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може се омогућити на неколико начина: </w:t>
            </w:r>
          </w:p>
          <w:p w14:paraId="036FB955" w14:textId="77777777" w:rsidR="007148E9" w:rsidRPr="007148E9" w:rsidRDefault="007148E9" w:rsidP="007148E9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7025AA86" w14:textId="77777777" w:rsidR="007148E9" w:rsidRPr="007148E9" w:rsidRDefault="007148E9" w:rsidP="007148E9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Један је да Управа за трезор омогући податке о уплатама на рачуну надлежним линијама рада у Министарству унутрашњих послова, што је већ и урађено у погледу једног дела поступака. </w:t>
            </w:r>
          </w:p>
          <w:p w14:paraId="700BBCCE" w14:textId="77777777" w:rsidR="007148E9" w:rsidRPr="007148E9" w:rsidRDefault="007148E9" w:rsidP="007148E9">
            <w:pPr>
              <w:ind w:left="360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D571ADB" w14:textId="77777777" w:rsidR="007148E9" w:rsidRPr="007148E9" w:rsidRDefault="007148E9" w:rsidP="007148E9">
            <w:pPr>
              <w:pStyle w:val="ListParagraph"/>
              <w:numPr>
                <w:ilvl w:val="0"/>
                <w:numId w:val="3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Други начин је да се осмисли систем уплата тако што ће се за сваку уплату генерисати број, по угледу на систем уплата, коју је успоставила Агенција за привредне регистре. </w:t>
            </w:r>
          </w:p>
          <w:p w14:paraId="61AE0C50" w14:textId="77777777" w:rsidR="007148E9" w:rsidRPr="007148E9" w:rsidRDefault="007148E9" w:rsidP="007148E9">
            <w:pPr>
              <w:pStyle w:val="ListParagraph"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D1B4136" w14:textId="77777777" w:rsidR="007148E9" w:rsidRPr="007148E9" w:rsidRDefault="007148E9" w:rsidP="007148E9">
            <w:pPr>
              <w:pStyle w:val="ListParagraph"/>
              <w:numPr>
                <w:ilvl w:val="0"/>
                <w:numId w:val="38"/>
              </w:num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shd w:val="clear" w:color="auto" w:fill="FFFFFF"/>
                <w:lang w:val="sr-Cyrl-RS"/>
              </w:rPr>
              <w:t>Трећи начин је да се омогући систем електронског плаћања преко портала е-Управе.</w:t>
            </w:r>
          </w:p>
          <w:p w14:paraId="49A1A0E3" w14:textId="77777777" w:rsidR="007148E9" w:rsidRPr="007148E9" w:rsidRDefault="007148E9" w:rsidP="007148E9">
            <w:pPr>
              <w:tabs>
                <w:tab w:val="left" w:pos="450"/>
              </w:tabs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8A6106F" w14:textId="77777777" w:rsidR="007148E9" w:rsidRPr="007148E9" w:rsidRDefault="007148E9" w:rsidP="007148E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Имплементација ове препоруке захтева укључивање и заједнички рад других органи и то Управе за трезор, Канцеларије за ИТ и финансијске службе Министарства унутрашњих послова. </w:t>
            </w:r>
          </w:p>
          <w:p w14:paraId="2B023E5A" w14:textId="62FAEC1E" w:rsidR="00C86851" w:rsidRDefault="00C86851" w:rsidP="00F2308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За примену ове препоруке, није потреба измена прописа.</w:t>
            </w:r>
          </w:p>
          <w:p w14:paraId="4F4120CD" w14:textId="77777777" w:rsidR="00C86851" w:rsidRPr="007148E9" w:rsidRDefault="00C86851" w:rsidP="00F2308D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  <w:p w14:paraId="4F5AF74B" w14:textId="77777777" w:rsidR="00DE33FD" w:rsidRPr="007148E9" w:rsidRDefault="00DE33FD" w:rsidP="00F2308D">
            <w:pPr>
              <w:ind w:firstLine="360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7148E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3.3 Електронско подношење захтева</w:t>
            </w:r>
          </w:p>
          <w:p w14:paraId="6FCDD1DC" w14:textId="288CC1F3" w:rsidR="00DE33FD" w:rsidRPr="007148E9" w:rsidRDefault="00DE33FD" w:rsidP="00F2308D">
            <w:pPr>
              <w:spacing w:before="100" w:beforeAutospacing="1" w:after="2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148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Поступак подразумева подношење захтева лично</w:t>
            </w:r>
            <w:r w:rsidR="00097D08" w:rsidRPr="007148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или поштом</w:t>
            </w:r>
            <w:r w:rsidRPr="007148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у надлежном органу. Још увек није успостављена пуна електронска управа, нити поједини сегменти електронске комуникације. 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предлаже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</w:t>
            </w:r>
            <w:r w:rsidR="004F2C9E" w:rsidRPr="007148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такође потписаном квалификованим електронским </w:t>
            </w:r>
            <w:proofErr w:type="spellStart"/>
            <w:r w:rsidR="004F2C9E" w:rsidRPr="007148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серитификато</w:t>
            </w:r>
            <w:r w:rsidR="00097D08" w:rsidRPr="007148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</w:t>
            </w:r>
            <w:proofErr w:type="spellEnd"/>
            <w:r w:rsidRPr="007148E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45F8C80D" w14:textId="77777777" w:rsidR="00DE33FD" w:rsidRPr="007148E9" w:rsidRDefault="00DE33FD" w:rsidP="00F2308D">
            <w:pPr>
              <w:spacing w:before="120" w:after="120"/>
              <w:ind w:left="-23"/>
              <w:contextualSpacing/>
              <w:jc w:val="left"/>
              <w:rPr>
                <w:rFonts w:ascii="Times New Roman" w:eastAsiaTheme="minorHAnsi" w:hAnsi="Times New Roman"/>
                <w:b/>
                <w:sz w:val="22"/>
                <w:szCs w:val="22"/>
                <w:lang w:val="sr-Cyrl-RS"/>
              </w:rPr>
            </w:pPr>
            <w:r w:rsidRPr="007148E9">
              <w:rPr>
                <w:rFonts w:ascii="Times New Roman" w:eastAsiaTheme="minorHAnsi" w:hAnsi="Times New Roman"/>
                <w:b/>
                <w:sz w:val="22"/>
                <w:szCs w:val="22"/>
                <w:lang w:val="sr-Cyrl-RS"/>
              </w:rPr>
              <w:t xml:space="preserve">За примену ове препоруке, није потребна измена прописа. </w:t>
            </w:r>
          </w:p>
          <w:p w14:paraId="0CDC1AF9" w14:textId="77777777" w:rsidR="00A83CD7" w:rsidRPr="007148E9" w:rsidRDefault="00A83CD7" w:rsidP="00F2308D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</w:p>
          <w:p w14:paraId="3EAB4AF8" w14:textId="5B8249BB" w:rsidR="00A83CD7" w:rsidRPr="007148E9" w:rsidRDefault="00A83CD7" w:rsidP="00F2308D">
            <w:pPr>
              <w:pStyle w:val="NormalWeb"/>
              <w:spacing w:before="0" w:beforeAutospacing="0" w:after="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C1484A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06A967CB" w:rsidR="00CA1CE9" w:rsidRPr="0056302B" w:rsidRDefault="00CA1CE9" w:rsidP="00F2308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lang w:val="sr-Cyrl-RS"/>
              </w:rPr>
            </w:pPr>
            <w:r w:rsidRPr="00C1484A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</w:t>
            </w:r>
            <w:r w:rsidR="00F2308D" w:rsidRPr="00C1484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C1484A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F2308D" w:rsidRPr="00C1484A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C1484A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CA1CE9" w:rsidRPr="00C1484A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1E1D9CEB" w:rsidR="00CA1CE9" w:rsidRPr="0056302B" w:rsidRDefault="00C1484A" w:rsidP="00F2308D">
            <w:pPr>
              <w:jc w:val="left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C148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прописа.</w:t>
            </w:r>
          </w:p>
        </w:tc>
      </w:tr>
      <w:tr w:rsidR="00CA1CE9" w:rsidRPr="00C1484A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C1484A" w:rsidRDefault="00CA1CE9" w:rsidP="00F2308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1484A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C1484A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7C153927" w:rsidR="00CA1CE9" w:rsidRPr="0056302B" w:rsidRDefault="00C1484A" w:rsidP="00F2308D">
            <w:pPr>
              <w:jc w:val="left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C1484A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Усвојене препоруке не подразумевају промену прописа.</w:t>
            </w:r>
          </w:p>
        </w:tc>
      </w:tr>
      <w:tr w:rsidR="00CA1CE9" w:rsidRPr="00C1484A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C1484A" w:rsidRDefault="00CA1CE9" w:rsidP="00F2308D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C1484A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C1484A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C5F9A7A" w14:textId="77777777" w:rsidR="00CA1CE9" w:rsidRDefault="0090215D" w:rsidP="00C1484A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0215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Директни трошкови спровођења овог поступка за привредне субјекте на годишњем нивоу износе 82.113,57 РСД. Усвајање и примена препорука ће донети привредним субјектима годишње директне уштеде од 20.618,72 РСД или 169,53 ЕУР. Ове уштеде износе 25,11% укупних директних трошкова привредних субјеката у поступку.</w:t>
            </w:r>
          </w:p>
          <w:p w14:paraId="1AB6076D" w14:textId="77777777" w:rsidR="0090215D" w:rsidRDefault="0090215D" w:rsidP="00C1484A">
            <w:pPr>
              <w:pStyle w:val="ListParagraph"/>
              <w:spacing w:before="120"/>
              <w:ind w:left="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31CCBA4" w14:textId="51318533" w:rsidR="0090215D" w:rsidRPr="0056302B" w:rsidRDefault="0090215D" w:rsidP="0090215D">
            <w:pPr>
              <w:pStyle w:val="ListParagraph"/>
              <w:spacing w:before="120"/>
              <w:ind w:left="0"/>
              <w:rPr>
                <w:rFonts w:ascii="Times New Roman" w:hAnsi="Times New Roman"/>
                <w:b/>
                <w:sz w:val="22"/>
                <w:lang w:val="sr-Cyrl-RS"/>
              </w:rPr>
            </w:pPr>
            <w:r w:rsidRPr="0090215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Усвајање препоруке ће допринети поједностављењу административног поступка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Pr="0090215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истоветности поступања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. </w:t>
            </w:r>
            <w:r w:rsidRPr="0090215D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5CE5710A" w14:textId="1C5B3A41" w:rsidR="003E3C16" w:rsidRPr="00DA35F2" w:rsidRDefault="003E3C16" w:rsidP="00F2308D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A35F2" w:rsidSect="00C121EC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125579" w14:textId="77777777" w:rsidR="00217A19" w:rsidRDefault="00217A19" w:rsidP="002A202F">
      <w:r>
        <w:separator/>
      </w:r>
    </w:p>
  </w:endnote>
  <w:endnote w:type="continuationSeparator" w:id="0">
    <w:p w14:paraId="2C46710F" w14:textId="77777777" w:rsidR="00217A19" w:rsidRDefault="00217A19" w:rsidP="002A202F">
      <w:r>
        <w:continuationSeparator/>
      </w:r>
    </w:p>
  </w:endnote>
  <w:endnote w:type="continuationNotice" w:id="1">
    <w:p w14:paraId="4061DDED" w14:textId="77777777" w:rsidR="00217A19" w:rsidRDefault="00217A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4FCA22B6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09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74558F" w14:textId="77777777" w:rsidR="00217A19" w:rsidRDefault="00217A19" w:rsidP="002A202F">
      <w:r>
        <w:separator/>
      </w:r>
    </w:p>
  </w:footnote>
  <w:footnote w:type="continuationSeparator" w:id="0">
    <w:p w14:paraId="4C294925" w14:textId="77777777" w:rsidR="00217A19" w:rsidRDefault="00217A19" w:rsidP="002A202F">
      <w:r>
        <w:continuationSeparator/>
      </w:r>
    </w:p>
  </w:footnote>
  <w:footnote w:type="continuationNotice" w:id="1">
    <w:p w14:paraId="698C83E7" w14:textId="77777777" w:rsidR="00217A19" w:rsidRDefault="00217A19"/>
  </w:footnote>
  <w:footnote w:id="2">
    <w:p w14:paraId="13636D6B" w14:textId="060FC663" w:rsidR="007148E9" w:rsidRDefault="007148E9" w:rsidP="007148E9">
      <w:pPr>
        <w:pStyle w:val="NormalWeb"/>
        <w:spacing w:before="0" w:beforeAutospacing="0" w:after="0" w:afterAutospacing="0"/>
        <w:contextualSpacing/>
        <w:jc w:val="both"/>
        <w:rPr>
          <w:i/>
          <w:sz w:val="18"/>
          <w:szCs w:val="22"/>
          <w:lang w:val="sr-Cyrl-RS"/>
        </w:rPr>
      </w:pPr>
      <w:r>
        <w:rPr>
          <w:rStyle w:val="FootnoteReference"/>
          <w:rFonts w:eastAsia="Calibri"/>
        </w:rPr>
        <w:footnoteRef/>
      </w:r>
      <w:r>
        <w:t xml:space="preserve"> </w:t>
      </w:r>
      <w:r w:rsidR="00455FDB" w:rsidRPr="00455FDB">
        <w:rPr>
          <w:i/>
          <w:sz w:val="18"/>
          <w:szCs w:val="22"/>
          <w:lang w:val="sr-Cyrl-RS"/>
        </w:rPr>
        <w:t>Предуслов за прибављање података путем е-ЗУП-а је приступање овом информационом систему, у складу са Упутством о примени Уредбе о прибављању и уступању података о чињеницама о којима се води службена евиденција (http://mduls.gov.rs/reforma-javne-uprave/reforma-upravnog-postupka/podrska-zaposlenima-u-koriscenju-ezup-a/ ).</w:t>
      </w:r>
    </w:p>
    <w:p w14:paraId="68694DED" w14:textId="77777777" w:rsidR="007148E9" w:rsidRDefault="007148E9" w:rsidP="007148E9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D0244" w14:textId="77777777" w:rsidR="00822B60" w:rsidRDefault="00822B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6153"/>
    <w:multiLevelType w:val="hybridMultilevel"/>
    <w:tmpl w:val="05E09A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E3650"/>
    <w:multiLevelType w:val="multilevel"/>
    <w:tmpl w:val="D07005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1AA566F"/>
    <w:multiLevelType w:val="hybridMultilevel"/>
    <w:tmpl w:val="4A4EED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7701C1"/>
    <w:multiLevelType w:val="hybridMultilevel"/>
    <w:tmpl w:val="EB6C2D62"/>
    <w:lvl w:ilvl="0" w:tplc="08090001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1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3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5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7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9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1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3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51" w:hanging="360"/>
      </w:pPr>
      <w:rPr>
        <w:rFonts w:ascii="Wingdings" w:hAnsi="Wingdings" w:hint="default"/>
      </w:rPr>
    </w:lvl>
  </w:abstractNum>
  <w:abstractNum w:abstractNumId="6">
    <w:nsid w:val="155334D1"/>
    <w:multiLevelType w:val="hybridMultilevel"/>
    <w:tmpl w:val="F42E10C6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478AD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31E55977"/>
    <w:multiLevelType w:val="hybridMultilevel"/>
    <w:tmpl w:val="80EC8662"/>
    <w:lvl w:ilvl="0" w:tplc="E53260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7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8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842C0A"/>
    <w:multiLevelType w:val="hybridMultilevel"/>
    <w:tmpl w:val="66AE844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C1CB2"/>
    <w:multiLevelType w:val="hybridMultilevel"/>
    <w:tmpl w:val="30DE2A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895B97"/>
    <w:multiLevelType w:val="hybridMultilevel"/>
    <w:tmpl w:val="7ACAF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532F3E"/>
    <w:multiLevelType w:val="hybridMultilevel"/>
    <w:tmpl w:val="58ECC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D796B48"/>
    <w:multiLevelType w:val="multilevel"/>
    <w:tmpl w:val="301C11C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9"/>
  </w:num>
  <w:num w:numId="4">
    <w:abstractNumId w:val="10"/>
  </w:num>
  <w:num w:numId="5">
    <w:abstractNumId w:val="7"/>
  </w:num>
  <w:num w:numId="6">
    <w:abstractNumId w:val="18"/>
  </w:num>
  <w:num w:numId="7">
    <w:abstractNumId w:val="34"/>
  </w:num>
  <w:num w:numId="8">
    <w:abstractNumId w:val="16"/>
  </w:num>
  <w:num w:numId="9">
    <w:abstractNumId w:val="31"/>
  </w:num>
  <w:num w:numId="10">
    <w:abstractNumId w:val="28"/>
  </w:num>
  <w:num w:numId="11">
    <w:abstractNumId w:val="27"/>
  </w:num>
  <w:num w:numId="12">
    <w:abstractNumId w:val="25"/>
  </w:num>
  <w:num w:numId="13">
    <w:abstractNumId w:val="21"/>
  </w:num>
  <w:num w:numId="14">
    <w:abstractNumId w:val="29"/>
  </w:num>
  <w:num w:numId="15">
    <w:abstractNumId w:val="24"/>
  </w:num>
  <w:num w:numId="16">
    <w:abstractNumId w:val="17"/>
  </w:num>
  <w:num w:numId="17">
    <w:abstractNumId w:val="15"/>
  </w:num>
  <w:num w:numId="18">
    <w:abstractNumId w:val="32"/>
  </w:num>
  <w:num w:numId="19">
    <w:abstractNumId w:val="11"/>
  </w:num>
  <w:num w:numId="20">
    <w:abstractNumId w:val="36"/>
  </w:num>
  <w:num w:numId="21">
    <w:abstractNumId w:val="12"/>
  </w:num>
  <w:num w:numId="22">
    <w:abstractNumId w:val="9"/>
  </w:num>
  <w:num w:numId="23">
    <w:abstractNumId w:val="22"/>
  </w:num>
  <w:num w:numId="24">
    <w:abstractNumId w:val="1"/>
  </w:num>
  <w:num w:numId="25">
    <w:abstractNumId w:val="5"/>
  </w:num>
  <w:num w:numId="26">
    <w:abstractNumId w:val="6"/>
  </w:num>
  <w:num w:numId="27">
    <w:abstractNumId w:val="20"/>
  </w:num>
  <w:num w:numId="28">
    <w:abstractNumId w:val="8"/>
  </w:num>
  <w:num w:numId="29">
    <w:abstractNumId w:val="3"/>
  </w:num>
  <w:num w:numId="30">
    <w:abstractNumId w:val="33"/>
  </w:num>
  <w:num w:numId="31">
    <w:abstractNumId w:val="23"/>
  </w:num>
  <w:num w:numId="32">
    <w:abstractNumId w:val="2"/>
  </w:num>
  <w:num w:numId="33">
    <w:abstractNumId w:val="35"/>
  </w:num>
  <w:num w:numId="34">
    <w:abstractNumId w:val="13"/>
  </w:num>
  <w:num w:numId="35">
    <w:abstractNumId w:val="30"/>
  </w:num>
  <w:num w:numId="36">
    <w:abstractNumId w:val="4"/>
  </w:num>
  <w:num w:numId="37">
    <w:abstractNumId w:val="26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anja Jovanović">
    <w15:presenceInfo w15:providerId="AD" w15:userId="S-1-5-21-1487641033-1019195653-2548230883-5380"/>
  </w15:person>
  <w15:person w15:author="Marija Andrejic">
    <w15:presenceInfo w15:providerId="Windows Live" w15:userId="b5a5bf5f4264e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36"/>
    <w:rsid w:val="00002164"/>
    <w:rsid w:val="000050B3"/>
    <w:rsid w:val="00012082"/>
    <w:rsid w:val="000132D1"/>
    <w:rsid w:val="0001445B"/>
    <w:rsid w:val="00023EF9"/>
    <w:rsid w:val="00026C2F"/>
    <w:rsid w:val="00027945"/>
    <w:rsid w:val="00036812"/>
    <w:rsid w:val="00044F35"/>
    <w:rsid w:val="00044F63"/>
    <w:rsid w:val="00050616"/>
    <w:rsid w:val="00061070"/>
    <w:rsid w:val="00074234"/>
    <w:rsid w:val="00083993"/>
    <w:rsid w:val="00085D82"/>
    <w:rsid w:val="000869BD"/>
    <w:rsid w:val="00092B84"/>
    <w:rsid w:val="0009542A"/>
    <w:rsid w:val="00097D08"/>
    <w:rsid w:val="000A53F3"/>
    <w:rsid w:val="000A5CDC"/>
    <w:rsid w:val="000B54D7"/>
    <w:rsid w:val="000D5029"/>
    <w:rsid w:val="000E2036"/>
    <w:rsid w:val="000E21AA"/>
    <w:rsid w:val="000F2E4D"/>
    <w:rsid w:val="000F423B"/>
    <w:rsid w:val="000F5E72"/>
    <w:rsid w:val="001136AA"/>
    <w:rsid w:val="001156BA"/>
    <w:rsid w:val="00132901"/>
    <w:rsid w:val="0015182D"/>
    <w:rsid w:val="00161847"/>
    <w:rsid w:val="00164C9C"/>
    <w:rsid w:val="00170CA7"/>
    <w:rsid w:val="001711C5"/>
    <w:rsid w:val="001A023F"/>
    <w:rsid w:val="001A3FAC"/>
    <w:rsid w:val="001A6472"/>
    <w:rsid w:val="001C5538"/>
    <w:rsid w:val="001D0EDE"/>
    <w:rsid w:val="001D20E2"/>
    <w:rsid w:val="001E38DE"/>
    <w:rsid w:val="001F7B31"/>
    <w:rsid w:val="0020601F"/>
    <w:rsid w:val="00212083"/>
    <w:rsid w:val="00212DA5"/>
    <w:rsid w:val="0021347C"/>
    <w:rsid w:val="00216EE4"/>
    <w:rsid w:val="00217A19"/>
    <w:rsid w:val="00230B23"/>
    <w:rsid w:val="002323AC"/>
    <w:rsid w:val="00261404"/>
    <w:rsid w:val="00275E2A"/>
    <w:rsid w:val="002947BA"/>
    <w:rsid w:val="00295028"/>
    <w:rsid w:val="00296938"/>
    <w:rsid w:val="002A202F"/>
    <w:rsid w:val="002B19B4"/>
    <w:rsid w:val="002D017A"/>
    <w:rsid w:val="002F1BEC"/>
    <w:rsid w:val="002F2897"/>
    <w:rsid w:val="002F4757"/>
    <w:rsid w:val="00307066"/>
    <w:rsid w:val="00322199"/>
    <w:rsid w:val="003223C7"/>
    <w:rsid w:val="00326555"/>
    <w:rsid w:val="003410E0"/>
    <w:rsid w:val="00350EAD"/>
    <w:rsid w:val="0035430C"/>
    <w:rsid w:val="0035727E"/>
    <w:rsid w:val="003651DB"/>
    <w:rsid w:val="003715A0"/>
    <w:rsid w:val="0037171F"/>
    <w:rsid w:val="00372484"/>
    <w:rsid w:val="0037634D"/>
    <w:rsid w:val="00376FD1"/>
    <w:rsid w:val="003818C2"/>
    <w:rsid w:val="0039002C"/>
    <w:rsid w:val="003A5756"/>
    <w:rsid w:val="003B44DB"/>
    <w:rsid w:val="003B4BC9"/>
    <w:rsid w:val="003B6298"/>
    <w:rsid w:val="003B64C5"/>
    <w:rsid w:val="003C5F13"/>
    <w:rsid w:val="003E28AD"/>
    <w:rsid w:val="003E2EB1"/>
    <w:rsid w:val="003E3C16"/>
    <w:rsid w:val="00402639"/>
    <w:rsid w:val="00407D96"/>
    <w:rsid w:val="00432495"/>
    <w:rsid w:val="004345A4"/>
    <w:rsid w:val="00437551"/>
    <w:rsid w:val="00444DA7"/>
    <w:rsid w:val="00451775"/>
    <w:rsid w:val="0045471F"/>
    <w:rsid w:val="00455FDB"/>
    <w:rsid w:val="00457882"/>
    <w:rsid w:val="00463CC7"/>
    <w:rsid w:val="004809C4"/>
    <w:rsid w:val="0048433C"/>
    <w:rsid w:val="004847B1"/>
    <w:rsid w:val="00493FB9"/>
    <w:rsid w:val="0049545B"/>
    <w:rsid w:val="004C1D6A"/>
    <w:rsid w:val="004D3BD0"/>
    <w:rsid w:val="004D45B1"/>
    <w:rsid w:val="004D68A7"/>
    <w:rsid w:val="004E29D1"/>
    <w:rsid w:val="004F2C9E"/>
    <w:rsid w:val="004F31B1"/>
    <w:rsid w:val="00500566"/>
    <w:rsid w:val="005073A3"/>
    <w:rsid w:val="00514BD4"/>
    <w:rsid w:val="00523608"/>
    <w:rsid w:val="00525C0A"/>
    <w:rsid w:val="00535608"/>
    <w:rsid w:val="00556688"/>
    <w:rsid w:val="00557E62"/>
    <w:rsid w:val="0056162B"/>
    <w:rsid w:val="0056302B"/>
    <w:rsid w:val="0056707B"/>
    <w:rsid w:val="00573B08"/>
    <w:rsid w:val="00581A9D"/>
    <w:rsid w:val="00582F97"/>
    <w:rsid w:val="00593298"/>
    <w:rsid w:val="005964D6"/>
    <w:rsid w:val="005A2503"/>
    <w:rsid w:val="005B4F04"/>
    <w:rsid w:val="005B7CB9"/>
    <w:rsid w:val="005B7F54"/>
    <w:rsid w:val="005D0023"/>
    <w:rsid w:val="005E21C4"/>
    <w:rsid w:val="005F4D59"/>
    <w:rsid w:val="0060001C"/>
    <w:rsid w:val="00600D31"/>
    <w:rsid w:val="0060786A"/>
    <w:rsid w:val="006237FE"/>
    <w:rsid w:val="00627AF7"/>
    <w:rsid w:val="00630B3B"/>
    <w:rsid w:val="00632540"/>
    <w:rsid w:val="00633F73"/>
    <w:rsid w:val="00645199"/>
    <w:rsid w:val="00645850"/>
    <w:rsid w:val="00661ECF"/>
    <w:rsid w:val="006868EE"/>
    <w:rsid w:val="0068796A"/>
    <w:rsid w:val="00692071"/>
    <w:rsid w:val="00694B28"/>
    <w:rsid w:val="006C4D5B"/>
    <w:rsid w:val="006C5349"/>
    <w:rsid w:val="006C5F2A"/>
    <w:rsid w:val="006C662C"/>
    <w:rsid w:val="006D3DA6"/>
    <w:rsid w:val="006F4A5C"/>
    <w:rsid w:val="007051FC"/>
    <w:rsid w:val="007148E9"/>
    <w:rsid w:val="00715F5C"/>
    <w:rsid w:val="007278C1"/>
    <w:rsid w:val="00733493"/>
    <w:rsid w:val="00737F1D"/>
    <w:rsid w:val="00762F56"/>
    <w:rsid w:val="00770964"/>
    <w:rsid w:val="00782816"/>
    <w:rsid w:val="00785A46"/>
    <w:rsid w:val="007861E3"/>
    <w:rsid w:val="007940D6"/>
    <w:rsid w:val="00797240"/>
    <w:rsid w:val="007B1740"/>
    <w:rsid w:val="007B7D20"/>
    <w:rsid w:val="007C61B5"/>
    <w:rsid w:val="007D3889"/>
    <w:rsid w:val="007D39E4"/>
    <w:rsid w:val="007D43A7"/>
    <w:rsid w:val="007E1695"/>
    <w:rsid w:val="007E2D85"/>
    <w:rsid w:val="007F204C"/>
    <w:rsid w:val="007F56E6"/>
    <w:rsid w:val="008023BD"/>
    <w:rsid w:val="00804060"/>
    <w:rsid w:val="008166C9"/>
    <w:rsid w:val="00822B60"/>
    <w:rsid w:val="00824E43"/>
    <w:rsid w:val="00827C1D"/>
    <w:rsid w:val="00833D8C"/>
    <w:rsid w:val="00834C9A"/>
    <w:rsid w:val="00836FC5"/>
    <w:rsid w:val="0084708C"/>
    <w:rsid w:val="00850AD5"/>
    <w:rsid w:val="00852739"/>
    <w:rsid w:val="00860B2B"/>
    <w:rsid w:val="008629CC"/>
    <w:rsid w:val="008644CF"/>
    <w:rsid w:val="00865EBB"/>
    <w:rsid w:val="00886C36"/>
    <w:rsid w:val="00891D9F"/>
    <w:rsid w:val="00897CDE"/>
    <w:rsid w:val="008A6AC8"/>
    <w:rsid w:val="008B5A7A"/>
    <w:rsid w:val="008C4068"/>
    <w:rsid w:val="008C5591"/>
    <w:rsid w:val="008C6FD9"/>
    <w:rsid w:val="008D04A6"/>
    <w:rsid w:val="008D48B6"/>
    <w:rsid w:val="008D4C1A"/>
    <w:rsid w:val="008D6258"/>
    <w:rsid w:val="008E7898"/>
    <w:rsid w:val="008F0867"/>
    <w:rsid w:val="008F172F"/>
    <w:rsid w:val="008F1B2E"/>
    <w:rsid w:val="008F2044"/>
    <w:rsid w:val="008F2BE1"/>
    <w:rsid w:val="008F4DD1"/>
    <w:rsid w:val="0090215D"/>
    <w:rsid w:val="0090513A"/>
    <w:rsid w:val="009056DB"/>
    <w:rsid w:val="0090626E"/>
    <w:rsid w:val="009109D6"/>
    <w:rsid w:val="00915040"/>
    <w:rsid w:val="00947592"/>
    <w:rsid w:val="00950280"/>
    <w:rsid w:val="009515A6"/>
    <w:rsid w:val="00991A18"/>
    <w:rsid w:val="00994A16"/>
    <w:rsid w:val="009A1F17"/>
    <w:rsid w:val="009A30D3"/>
    <w:rsid w:val="009B0D59"/>
    <w:rsid w:val="009C6855"/>
    <w:rsid w:val="009C692E"/>
    <w:rsid w:val="009C6ECF"/>
    <w:rsid w:val="009D03A7"/>
    <w:rsid w:val="009E0479"/>
    <w:rsid w:val="009F57C9"/>
    <w:rsid w:val="00A0102E"/>
    <w:rsid w:val="00A07D1D"/>
    <w:rsid w:val="00A12960"/>
    <w:rsid w:val="00A1570D"/>
    <w:rsid w:val="00A22386"/>
    <w:rsid w:val="00A56B75"/>
    <w:rsid w:val="00A71C04"/>
    <w:rsid w:val="00A819EE"/>
    <w:rsid w:val="00A83CD7"/>
    <w:rsid w:val="00A8657B"/>
    <w:rsid w:val="00A90986"/>
    <w:rsid w:val="00A914F2"/>
    <w:rsid w:val="00AA0017"/>
    <w:rsid w:val="00AA4BC5"/>
    <w:rsid w:val="00AA5B8B"/>
    <w:rsid w:val="00AB09B3"/>
    <w:rsid w:val="00AC02D1"/>
    <w:rsid w:val="00AC2FCF"/>
    <w:rsid w:val="00AF0210"/>
    <w:rsid w:val="00B06019"/>
    <w:rsid w:val="00B07409"/>
    <w:rsid w:val="00B1006E"/>
    <w:rsid w:val="00B178FB"/>
    <w:rsid w:val="00B20B09"/>
    <w:rsid w:val="00B22DE6"/>
    <w:rsid w:val="00B44819"/>
    <w:rsid w:val="00B5252A"/>
    <w:rsid w:val="00B63DB1"/>
    <w:rsid w:val="00B67138"/>
    <w:rsid w:val="00B6715C"/>
    <w:rsid w:val="00B81CFE"/>
    <w:rsid w:val="00B903AE"/>
    <w:rsid w:val="00B9157F"/>
    <w:rsid w:val="00B95225"/>
    <w:rsid w:val="00B955A9"/>
    <w:rsid w:val="00BA55D3"/>
    <w:rsid w:val="00BA6759"/>
    <w:rsid w:val="00BA7204"/>
    <w:rsid w:val="00BC6826"/>
    <w:rsid w:val="00BD4196"/>
    <w:rsid w:val="00BE53E4"/>
    <w:rsid w:val="00C0295C"/>
    <w:rsid w:val="00C03C06"/>
    <w:rsid w:val="00C121EC"/>
    <w:rsid w:val="00C12C65"/>
    <w:rsid w:val="00C1484A"/>
    <w:rsid w:val="00C14FFF"/>
    <w:rsid w:val="00C445E2"/>
    <w:rsid w:val="00C70F1B"/>
    <w:rsid w:val="00C7129D"/>
    <w:rsid w:val="00C748D1"/>
    <w:rsid w:val="00C8675D"/>
    <w:rsid w:val="00C86851"/>
    <w:rsid w:val="00C91014"/>
    <w:rsid w:val="00CA1CE9"/>
    <w:rsid w:val="00CA2D72"/>
    <w:rsid w:val="00CB1A4E"/>
    <w:rsid w:val="00CC29F6"/>
    <w:rsid w:val="00CD2287"/>
    <w:rsid w:val="00CD5BBB"/>
    <w:rsid w:val="00CE0685"/>
    <w:rsid w:val="00CE775A"/>
    <w:rsid w:val="00CF47CA"/>
    <w:rsid w:val="00D076FB"/>
    <w:rsid w:val="00D37EA5"/>
    <w:rsid w:val="00D73628"/>
    <w:rsid w:val="00D73918"/>
    <w:rsid w:val="00D922B2"/>
    <w:rsid w:val="00D943B6"/>
    <w:rsid w:val="00D95137"/>
    <w:rsid w:val="00D967D7"/>
    <w:rsid w:val="00DA125D"/>
    <w:rsid w:val="00DA35F2"/>
    <w:rsid w:val="00DA45A6"/>
    <w:rsid w:val="00DA67DA"/>
    <w:rsid w:val="00DA7C61"/>
    <w:rsid w:val="00DB19B9"/>
    <w:rsid w:val="00DC3A44"/>
    <w:rsid w:val="00DC4BC2"/>
    <w:rsid w:val="00DE057D"/>
    <w:rsid w:val="00DE33FD"/>
    <w:rsid w:val="00E0020F"/>
    <w:rsid w:val="00E118C7"/>
    <w:rsid w:val="00E1427B"/>
    <w:rsid w:val="00E14E0D"/>
    <w:rsid w:val="00E22B8B"/>
    <w:rsid w:val="00E317D1"/>
    <w:rsid w:val="00E40DF0"/>
    <w:rsid w:val="00E4267B"/>
    <w:rsid w:val="00E47DAC"/>
    <w:rsid w:val="00E63C8A"/>
    <w:rsid w:val="00E70BF6"/>
    <w:rsid w:val="00E912DE"/>
    <w:rsid w:val="00EB263B"/>
    <w:rsid w:val="00EE216C"/>
    <w:rsid w:val="00EF2D29"/>
    <w:rsid w:val="00F11C98"/>
    <w:rsid w:val="00F12E47"/>
    <w:rsid w:val="00F223B2"/>
    <w:rsid w:val="00F22BD1"/>
    <w:rsid w:val="00F2308D"/>
    <w:rsid w:val="00F246E5"/>
    <w:rsid w:val="00F53241"/>
    <w:rsid w:val="00F54ED6"/>
    <w:rsid w:val="00F67790"/>
    <w:rsid w:val="00F75D9A"/>
    <w:rsid w:val="00FA2643"/>
    <w:rsid w:val="00FB1A1B"/>
    <w:rsid w:val="00FB645B"/>
    <w:rsid w:val="00FC09D6"/>
    <w:rsid w:val="00FC34EC"/>
    <w:rsid w:val="00FC3F69"/>
    <w:rsid w:val="00FC5312"/>
    <w:rsid w:val="00FC5383"/>
    <w:rsid w:val="00FC5EA6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2DE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rsid w:val="004C1D6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6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6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unhideWhenUsed/>
    <w:rsid w:val="006868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F5190-77A9-46A5-9C15-F9B868A7C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11</cp:revision>
  <cp:lastPrinted>2018-09-05T12:48:00Z</cp:lastPrinted>
  <dcterms:created xsi:type="dcterms:W3CDTF">2019-02-14T11:39:00Z</dcterms:created>
  <dcterms:modified xsi:type="dcterms:W3CDTF">2019-04-08T11:46:00Z</dcterms:modified>
</cp:coreProperties>
</file>