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3AC6277F" w:rsidR="000E2036" w:rsidRPr="005675B9" w:rsidRDefault="00D9075A" w:rsidP="00C11200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D9075A">
        <w:rPr>
          <w:b/>
          <w:sz w:val="22"/>
          <w:szCs w:val="22"/>
          <w:lang w:val="sr-Cyrl-RS"/>
        </w:rPr>
        <w:t>ПОЈЕДНОСТАВЉЕЊЕ ПОСТУПКА ИЗДАВАЊА САГЛАСНОСТИ НА ПРОЦЕНУ РИЗИКА ОД КАТАСТРОФА</w:t>
      </w:r>
      <w:r>
        <w:rPr>
          <w:b/>
          <w:sz w:val="22"/>
          <w:szCs w:val="22"/>
          <w:lang w:val="sr-Cyrl-RS"/>
        </w:rPr>
        <w:t xml:space="preserve"> </w:t>
      </w:r>
    </w:p>
    <w:p w14:paraId="2986C640" w14:textId="77777777" w:rsidR="0021261F" w:rsidRPr="005675B9" w:rsidRDefault="0021261F" w:rsidP="00C11200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28"/>
      </w:tblGrid>
      <w:tr w:rsidR="000E2036" w:rsidRPr="009C576D" w14:paraId="1976FB87" w14:textId="77777777" w:rsidTr="009D1095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5675B9" w:rsidRDefault="000E2036" w:rsidP="00C11200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28" w:type="dxa"/>
            <w:vAlign w:val="center"/>
          </w:tcPr>
          <w:p w14:paraId="5FD56B01" w14:textId="22AB36DA" w:rsidR="000E2036" w:rsidRPr="005675B9" w:rsidRDefault="005404F7" w:rsidP="00C11200">
            <w:pPr>
              <w:pStyle w:val="NormalWeb"/>
              <w:spacing w:before="120" w:beforeAutospacing="0" w:after="120" w:afterAutospacing="0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5675B9">
              <w:rPr>
                <w:sz w:val="22"/>
                <w:szCs w:val="22"/>
                <w:lang w:val="sr-Cyrl-RS"/>
              </w:rPr>
              <w:t xml:space="preserve">Сагласност </w:t>
            </w:r>
            <w:r w:rsidR="00D27092" w:rsidRPr="005675B9">
              <w:rPr>
                <w:sz w:val="22"/>
                <w:szCs w:val="22"/>
                <w:lang w:val="sr-Cyrl-RS"/>
              </w:rPr>
              <w:t>на процену ризика од катастрофа</w:t>
            </w:r>
          </w:p>
        </w:tc>
      </w:tr>
      <w:tr w:rsidR="000E2036" w:rsidRPr="005675B9" w14:paraId="7A6AA442" w14:textId="77777777" w:rsidTr="009D1095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5675B9" w:rsidRDefault="000E2036" w:rsidP="00C1120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28" w:type="dxa"/>
            <w:vAlign w:val="center"/>
          </w:tcPr>
          <w:p w14:paraId="76B78B5F" w14:textId="3F551903" w:rsidR="000E2036" w:rsidRPr="005675B9" w:rsidRDefault="0021261F" w:rsidP="00C11200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02619E" w:rsidRPr="005675B9">
              <w:rPr>
                <w:bCs/>
                <w:color w:val="000000" w:themeColor="text1"/>
                <w:sz w:val="22"/>
                <w:szCs w:val="22"/>
                <w:lang w:val="en-GB"/>
              </w:rPr>
              <w:t>8</w:t>
            </w:r>
            <w:r w:rsidR="005404F7" w:rsidRPr="005675B9">
              <w:rPr>
                <w:bCs/>
                <w:color w:val="000000" w:themeColor="text1"/>
                <w:sz w:val="22"/>
                <w:szCs w:val="22"/>
                <w:lang w:val="sr-Cyrl-RS"/>
              </w:rPr>
              <w:t>9</w:t>
            </w:r>
          </w:p>
        </w:tc>
      </w:tr>
      <w:tr w:rsidR="00275E2A" w:rsidRPr="005675B9" w14:paraId="2CEE52A6" w14:textId="77777777" w:rsidTr="009D1095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5675B9" w:rsidRDefault="00275E2A" w:rsidP="00C1120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675B9" w:rsidRDefault="00275E2A" w:rsidP="00C1120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28" w:type="dxa"/>
            <w:vAlign w:val="center"/>
          </w:tcPr>
          <w:p w14:paraId="5795E7E6" w14:textId="70564AC0" w:rsidR="00092B84" w:rsidRPr="005675B9" w:rsidRDefault="0021261F" w:rsidP="00C1120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675B9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9C576D" w14:paraId="10DA1CD3" w14:textId="77777777" w:rsidTr="009D1095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5675B9" w:rsidRDefault="00275E2A" w:rsidP="00C1120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675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675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28" w:type="dxa"/>
          </w:tcPr>
          <w:p w14:paraId="6D8016AE" w14:textId="5ADEF5F7" w:rsidR="00645199" w:rsidRPr="005675B9" w:rsidRDefault="0002619E" w:rsidP="00C1120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50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</w:t>
            </w:r>
            <w:r w:rsidR="0099344E"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смањењу ризика од катастрофа и управљању ванредним ситуацијама</w:t>
            </w: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("Сл. гласник РС", бр</w:t>
            </w:r>
            <w:r w:rsidR="0099344E"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ој</w:t>
            </w: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 </w:t>
            </w:r>
            <w:r w:rsidR="0099344E"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87/2018</w:t>
            </w: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711DD5A2" w14:textId="3397EEAA" w:rsidR="005404F7" w:rsidRPr="005675B9" w:rsidRDefault="005404F7" w:rsidP="00C1120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Уредба о садржају и начину израде планова заштите и спасавања у ванредним ситуацијама ("Сл. </w:t>
            </w:r>
            <w:r w:rsidR="00506DBF"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гласник РС" број 8/2011</w:t>
            </w: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63F50BB2" w:rsidR="005404F7" w:rsidRPr="005675B9" w:rsidRDefault="005404F7" w:rsidP="00C1120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Упутство о методологији за израду процене угрожености од елементарних непогода и других несрећа и планова заштите и спасавања у ванредним с</w:t>
            </w:r>
            <w:r w:rsidR="00506DBF"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итуацијама ("Сл. гласник РС" број </w:t>
            </w: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18/17 од 7. марта 2017. године)</w:t>
            </w:r>
          </w:p>
        </w:tc>
      </w:tr>
      <w:tr w:rsidR="00D73918" w:rsidRPr="005675B9" w14:paraId="724CF23D" w14:textId="77777777" w:rsidTr="009D1095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5675B9" w:rsidRDefault="00D73918" w:rsidP="00C11200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675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675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675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675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675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28" w:type="dxa"/>
            <w:vAlign w:val="center"/>
          </w:tcPr>
          <w:p w14:paraId="55CB4618" w14:textId="40E2E58E" w:rsidR="00D73918" w:rsidRPr="005675B9" w:rsidRDefault="00343907" w:rsidP="00C1120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4B58AF" w:rsidRPr="005675B9" w14:paraId="58812BCA" w14:textId="77777777" w:rsidTr="009D1095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4B58AF" w:rsidRPr="005675B9" w:rsidRDefault="004B58AF" w:rsidP="00C1120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728" w:type="dxa"/>
          </w:tcPr>
          <w:p w14:paraId="19A48B50" w14:textId="7C1645AC" w:rsidR="004B58AF" w:rsidRPr="005675B9" w:rsidRDefault="009D1095" w:rsidP="00C1120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675B9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691553" w:rsidRPr="005675B9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5675B9" w14:paraId="539113B1" w14:textId="77777777" w:rsidTr="009D1095">
        <w:trPr>
          <w:trHeight w:val="409"/>
        </w:trPr>
        <w:tc>
          <w:tcPr>
            <w:tcW w:w="8995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675B9" w:rsidRDefault="00275E2A" w:rsidP="00C1120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9C576D" w14:paraId="4635A4BE" w14:textId="77777777" w:rsidTr="009D1095">
        <w:tc>
          <w:tcPr>
            <w:tcW w:w="8995" w:type="dxa"/>
            <w:gridSpan w:val="2"/>
          </w:tcPr>
          <w:p w14:paraId="73598F8E" w14:textId="5A1DA8FD" w:rsidR="00D73D27" w:rsidRPr="005675B9" w:rsidRDefault="0021261F" w:rsidP="00C1120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привредним друштвима и другим правним лицима, на шта указује </w:t>
            </w:r>
            <w:r w:rsidR="006D5367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захтев за достављањем документације која се подн</w:t>
            </w:r>
            <w:r w:rsidR="00F1774A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="006D5367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си уз захтев у оригиналу и то искључиво лично или поштом</w:t>
            </w:r>
            <w:r w:rsidR="00F1774A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6D5367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што може ств</w:t>
            </w:r>
            <w:r w:rsidR="00074779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="006D5367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рити значајне издатке и у погледу фина</w:t>
            </w:r>
            <w:r w:rsidR="00D73D27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6D5367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сијских трошкова и у погледу времена</w:t>
            </w: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724839A9" w14:textId="18D30AFF" w:rsidR="0009542A" w:rsidRPr="005675B9" w:rsidRDefault="0021261F" w:rsidP="00C1120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7E1AE022" w14:textId="77777777" w:rsidR="00B54389" w:rsidRDefault="00DA68A8" w:rsidP="00C1120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074779"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  <w:p w14:paraId="4BCB02C2" w14:textId="07D128E7" w:rsidR="00DA68A8" w:rsidRPr="005675B9" w:rsidRDefault="00B54389" w:rsidP="00C11200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такође није успоставио еведенцију издатих сагласности, као ни њену јавну доступност.</w:t>
            </w:r>
          </w:p>
        </w:tc>
      </w:tr>
      <w:tr w:rsidR="00275E2A" w:rsidRPr="005675B9" w14:paraId="31663FC5" w14:textId="77777777" w:rsidTr="009D1095">
        <w:trPr>
          <w:trHeight w:val="454"/>
        </w:trPr>
        <w:tc>
          <w:tcPr>
            <w:tcW w:w="8995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5675B9" w:rsidRDefault="00275E2A" w:rsidP="00C11200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5675B9" w14:paraId="7C9122B7" w14:textId="77777777" w:rsidTr="00C23C32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5675B9" w:rsidRDefault="00AC02D1" w:rsidP="00C11200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9"/>
              <w:gridCol w:w="2016"/>
              <w:gridCol w:w="1769"/>
            </w:tblGrid>
            <w:tr w:rsidR="00CD47EC" w:rsidRPr="005675B9" w14:paraId="158799B9" w14:textId="77777777" w:rsidTr="00640DC0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5675B9" w:rsidRDefault="00CD47EC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1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5675B9" w:rsidRDefault="00CD47EC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5675B9" w:rsidRDefault="00CD47EC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5675B9" w14:paraId="7D283877" w14:textId="77777777" w:rsidTr="00640DC0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5675B9" w:rsidRDefault="00CD47EC" w:rsidP="00C1120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5675B9" w:rsidRDefault="00CD47EC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5675B9" w:rsidRDefault="00CD47EC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1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5675B9" w:rsidRDefault="00CD47EC" w:rsidP="00C1120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C37A7" w:rsidRPr="005675B9" w14:paraId="55AEEA0B" w14:textId="77777777" w:rsidTr="007C37A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CFA64C" w14:textId="325591B9" w:rsidR="007C37A7" w:rsidRPr="005675B9" w:rsidRDefault="007C37A7" w:rsidP="00C1120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Промена назива поступка</w:t>
                  </w:r>
                </w:p>
              </w:tc>
              <w:tc>
                <w:tcPr>
                  <w:tcW w:w="10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2B963E" w14:textId="77777777" w:rsidR="007C37A7" w:rsidRPr="005675B9" w:rsidRDefault="007C37A7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2F79D4" w14:textId="17C42500" w:rsidR="007C37A7" w:rsidRPr="005675B9" w:rsidRDefault="007C37A7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fr-FR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Cs/>
                      <w:color w:val="000000"/>
                      <w:lang w:val="fr-FR" w:eastAsia="en-GB"/>
                    </w:rPr>
                    <w:t>X</w:t>
                  </w:r>
                </w:p>
              </w:tc>
              <w:tc>
                <w:tcPr>
                  <w:tcW w:w="10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61816C" w14:textId="77777777" w:rsidR="007C37A7" w:rsidRPr="005675B9" w:rsidRDefault="007C37A7" w:rsidP="00C1120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5675B9" w14:paraId="155282AD" w14:textId="77777777" w:rsidTr="00640DC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5675B9" w:rsidRDefault="00CD47EC" w:rsidP="00C1120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5675B9" w:rsidRDefault="00CD47EC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5675B9" w14:paraId="044CEA79" w14:textId="77777777" w:rsidTr="00640DC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7D7BD9A2" w:rsidR="00CD47EC" w:rsidRPr="005675B9" w:rsidRDefault="002E218A" w:rsidP="002C751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5675B9" w:rsidRDefault="00CD47EC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5675B9" w:rsidRDefault="00CD47EC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5675B9" w:rsidRDefault="00CD47EC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343907" w:rsidRPr="005675B9" w14:paraId="4AA258AA" w14:textId="77777777" w:rsidTr="00640DC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E60D8A" w14:textId="2C783980" w:rsidR="00343907" w:rsidRPr="005675B9" w:rsidRDefault="00343907" w:rsidP="00C11200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10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A2410C" w14:textId="77777777" w:rsidR="00343907" w:rsidRPr="005675B9" w:rsidRDefault="00343907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A64200" w14:textId="77777777" w:rsidR="00343907" w:rsidRPr="005675B9" w:rsidRDefault="00343907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3ECF44" w14:textId="77777777" w:rsidR="00343907" w:rsidRPr="005675B9" w:rsidRDefault="00343907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40DC0" w:rsidRPr="005675B9" w14:paraId="1C721AB7" w14:textId="77777777" w:rsidTr="00640DC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E5FE6B" w14:textId="13590953" w:rsidR="00640DC0" w:rsidRPr="005675B9" w:rsidRDefault="00640DC0" w:rsidP="00C1120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</w:t>
                  </w:r>
                  <w:r w:rsidR="002C7512" w:rsidRPr="005675B9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5E0C77" w14:textId="77777777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10F08B" w14:textId="7414C31E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E8F0FD" w14:textId="77777777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40DC0" w:rsidRPr="005675B9" w14:paraId="027D2946" w14:textId="77777777" w:rsidTr="00640DC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C4E19A" w14:textId="59C7772A" w:rsidR="00640DC0" w:rsidRPr="005675B9" w:rsidRDefault="00640DC0" w:rsidP="00C1120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</w:t>
                  </w:r>
                  <w:r w:rsidR="002C7512" w:rsidRPr="005675B9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0FC262" w14:textId="77777777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A129F5" w14:textId="677BEAAD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10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D35552" w14:textId="77777777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40DC0" w:rsidRPr="005675B9" w14:paraId="64B4FA4E" w14:textId="77777777" w:rsidTr="00640DC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CA0C92" w14:textId="741FF695" w:rsidR="00640DC0" w:rsidRPr="005675B9" w:rsidRDefault="00640DC0" w:rsidP="00C11200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5675B9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70E1F1" w14:textId="0203DC53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98AEB2" w14:textId="692808A8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50E6DA" w14:textId="18FC41B1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40DC0" w:rsidRPr="005675B9" w14:paraId="12FFF1A6" w14:textId="77777777" w:rsidTr="00640DC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57D5D8" w14:textId="158BA482" w:rsidR="00640DC0" w:rsidRPr="005675B9" w:rsidRDefault="00640DC0" w:rsidP="00C1120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106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37E68" w14:textId="77777777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054BCD" w14:textId="77777777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9D728" w14:textId="77777777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40DC0" w:rsidRPr="005675B9" w14:paraId="1962C509" w14:textId="77777777" w:rsidTr="00640DC0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52F7BBC6" w:rsidR="00640DC0" w:rsidRPr="005675B9" w:rsidRDefault="00640DC0" w:rsidP="00C11200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5675B9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Вођење евиденције и јавна доступност</w:t>
                  </w:r>
                </w:p>
              </w:tc>
              <w:tc>
                <w:tcPr>
                  <w:tcW w:w="10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56A6A9DA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52CEEEE7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675B9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04EB6C4E" w:rsidR="00640DC0" w:rsidRPr="005675B9" w:rsidRDefault="00640DC0" w:rsidP="00C1120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F18BA1A" w14:textId="77777777" w:rsidR="007D39E4" w:rsidRPr="005675B9" w:rsidRDefault="007D39E4" w:rsidP="00C11200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2A845F9" w14:textId="48C65F53" w:rsidR="007D39E4" w:rsidRPr="005675B9" w:rsidRDefault="007D39E4" w:rsidP="00C11200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5675B9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5675B9" w:rsidRDefault="00FD3964" w:rsidP="00C11200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9C576D" w14:paraId="72ECB386" w14:textId="77777777" w:rsidTr="00C23C32">
        <w:tc>
          <w:tcPr>
            <w:tcW w:w="9062" w:type="dxa"/>
          </w:tcPr>
          <w:p w14:paraId="23D7AC70" w14:textId="1706C7DA" w:rsidR="00506DBF" w:rsidRPr="005675B9" w:rsidRDefault="00506DBF" w:rsidP="00C1120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D12A783" w14:textId="77777777" w:rsidR="007C37A7" w:rsidRPr="005675B9" w:rsidRDefault="007C37A7" w:rsidP="00C1120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5675B9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Промена назива поступка</w:t>
            </w:r>
          </w:p>
          <w:p w14:paraId="3FB12887" w14:textId="77777777" w:rsidR="007C37A7" w:rsidRPr="005675B9" w:rsidRDefault="007C37A7" w:rsidP="00C11200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BABB16D" w14:textId="49009C70" w:rsidR="007C37A7" w:rsidRPr="005675B9" w:rsidRDefault="008F2F34" w:rsidP="00C1120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5675B9">
              <w:rPr>
                <w:sz w:val="22"/>
                <w:szCs w:val="22"/>
                <w:lang w:val="sr-Cyrl-RS"/>
              </w:rPr>
              <w:t>Дана 21.11.2018. године на снагу је ступио нов</w:t>
            </w:r>
            <w:r w:rsidR="002A50E7" w:rsidRPr="005675B9">
              <w:rPr>
                <w:sz w:val="22"/>
                <w:szCs w:val="22"/>
                <w:lang w:val="sr-Cyrl-RS"/>
              </w:rPr>
              <w:t xml:space="preserve"> Закон </w:t>
            </w:r>
            <w:r w:rsidR="007C37A7" w:rsidRPr="005675B9">
              <w:rPr>
                <w:sz w:val="22"/>
                <w:szCs w:val="22"/>
                <w:lang w:val="sr-Cyrl-RS"/>
              </w:rPr>
              <w:t xml:space="preserve">о смањењу ризика од катастрофа и управљању ванредним ситуацијама ("Сл. гласник РС", број  87/2018) </w:t>
            </w:r>
            <w:r w:rsidRPr="005675B9">
              <w:rPr>
                <w:sz w:val="22"/>
                <w:szCs w:val="22"/>
                <w:lang w:val="sr-Cyrl-RS"/>
              </w:rPr>
              <w:t>којим је Закон о ванредним ситуацијама („Службени гласник РС”, бр. 111/09, 92/11 и 93/12) престао да важи. У складу са чланом 15, став 7. новог</w:t>
            </w:r>
            <w:r w:rsidR="00097CDD" w:rsidRPr="005675B9">
              <w:rPr>
                <w:sz w:val="22"/>
                <w:szCs w:val="22"/>
                <w:lang w:val="sr-Cyrl-RS"/>
              </w:rPr>
              <w:t xml:space="preserve"> Закона о смањењу ризика од катастрофа и управљању ванредним ситуацијама потребно је ускладити</w:t>
            </w:r>
            <w:r w:rsidR="007C37A7" w:rsidRPr="005675B9">
              <w:rPr>
                <w:sz w:val="22"/>
                <w:szCs w:val="22"/>
                <w:lang w:val="sr-Cyrl-RS"/>
              </w:rPr>
              <w:t xml:space="preserve"> назив поступка</w:t>
            </w:r>
            <w:r w:rsidR="00D73D27" w:rsidRPr="005675B9">
              <w:rPr>
                <w:sz w:val="22"/>
                <w:szCs w:val="22"/>
                <w:lang w:val="sr-Cyrl-RS"/>
              </w:rPr>
              <w:t>, наведен у е-попису (</w:t>
            </w:r>
            <w:r w:rsidR="00EC7480" w:rsidRPr="005675B9">
              <w:rPr>
                <w:sz w:val="22"/>
                <w:szCs w:val="22"/>
                <w:lang w:val="sr-Cyrl-RS"/>
              </w:rPr>
              <w:t xml:space="preserve">„Сагласност на процену угрожености од </w:t>
            </w:r>
            <w:r w:rsidR="00BD658F" w:rsidRPr="005675B9">
              <w:rPr>
                <w:sz w:val="22"/>
                <w:szCs w:val="22"/>
                <w:lang w:val="sr-Cyrl-RS"/>
              </w:rPr>
              <w:t>елементарних непогода и других несрежа“)</w:t>
            </w:r>
            <w:r w:rsidR="007C37A7" w:rsidRPr="005675B9">
              <w:rPr>
                <w:sz w:val="22"/>
                <w:szCs w:val="22"/>
                <w:lang w:val="sr-Cyrl-RS"/>
              </w:rPr>
              <w:t xml:space="preserve"> </w:t>
            </w:r>
            <w:r w:rsidR="00097CDD" w:rsidRPr="005675B9">
              <w:rPr>
                <w:sz w:val="22"/>
                <w:szCs w:val="22"/>
                <w:lang w:val="sr-Cyrl-RS"/>
              </w:rPr>
              <w:t>тако да сада гласи: „</w:t>
            </w:r>
            <w:r w:rsidR="007C37A7" w:rsidRPr="005675B9">
              <w:rPr>
                <w:sz w:val="22"/>
                <w:szCs w:val="22"/>
                <w:lang w:val="sr-Cyrl-RS"/>
              </w:rPr>
              <w:t>Сагласност на процену ризика од катастрофа</w:t>
            </w:r>
            <w:r w:rsidR="00097CDD" w:rsidRPr="005675B9">
              <w:rPr>
                <w:sz w:val="22"/>
                <w:szCs w:val="22"/>
                <w:lang w:val="sr-Cyrl-RS"/>
              </w:rPr>
              <w:t>“</w:t>
            </w:r>
            <w:r w:rsidR="007C37A7" w:rsidRPr="005675B9">
              <w:rPr>
                <w:sz w:val="22"/>
                <w:szCs w:val="22"/>
                <w:lang w:val="sr-Cyrl-RS"/>
              </w:rPr>
              <w:t xml:space="preserve">. </w:t>
            </w:r>
          </w:p>
          <w:p w14:paraId="4EE4D8A3" w14:textId="77777777" w:rsidR="00097CDD" w:rsidRPr="005675B9" w:rsidRDefault="00097CDD" w:rsidP="00C1120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 </w:t>
            </w:r>
          </w:p>
          <w:p w14:paraId="0310842F" w14:textId="77777777" w:rsidR="007C37A7" w:rsidRPr="005675B9" w:rsidRDefault="007C37A7" w:rsidP="00C11200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545EFA0" w14:textId="77777777" w:rsidR="002C7512" w:rsidRPr="005675B9" w:rsidRDefault="002C7512" w:rsidP="00C1120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5675B9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административног захтева </w:t>
            </w:r>
          </w:p>
          <w:p w14:paraId="7A2DAEC3" w14:textId="77777777" w:rsidR="002C7512" w:rsidRPr="005675B9" w:rsidRDefault="002C7512" w:rsidP="002C7512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54336112" w:rsidR="00DA68A8" w:rsidRPr="005675B9" w:rsidRDefault="00833F48" w:rsidP="002C7512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5675B9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5675B9" w:rsidRDefault="00833F48" w:rsidP="00C11200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675B9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5675B9" w:rsidRDefault="00DA68A8" w:rsidP="00C1120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5675B9" w:rsidRDefault="00CC48FF" w:rsidP="00C11200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CF79933" w14:textId="77777777" w:rsidR="003F526B" w:rsidRPr="009C0B96" w:rsidRDefault="003F526B" w:rsidP="003F526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1BCECEE" w14:textId="77777777" w:rsidR="003F526B" w:rsidRPr="009C0B96" w:rsidRDefault="003F526B" w:rsidP="003F526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7DA482B" w14:textId="77777777" w:rsidR="003F526B" w:rsidRPr="009C0B96" w:rsidRDefault="003F526B" w:rsidP="003F526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C0F6E10" w14:textId="77777777" w:rsidR="003F526B" w:rsidRPr="009C0B96" w:rsidRDefault="003F526B" w:rsidP="003F526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76FE50D9" w14:textId="77777777" w:rsidR="003F526B" w:rsidRPr="009C0B96" w:rsidRDefault="003F526B" w:rsidP="003F526B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5708A8C" w14:textId="77777777" w:rsidR="003F526B" w:rsidRPr="009C0B96" w:rsidRDefault="003F526B" w:rsidP="003F526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97FDE20" w14:textId="77777777" w:rsidR="003F526B" w:rsidRPr="009C0B96" w:rsidRDefault="003F526B" w:rsidP="003F526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9792D1E" w14:textId="77777777" w:rsidR="003F526B" w:rsidRPr="009C0B96" w:rsidRDefault="003F526B" w:rsidP="003F526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18C4BA48" w14:textId="77777777" w:rsidR="003F526B" w:rsidRPr="009C0B96" w:rsidRDefault="003F526B" w:rsidP="003F526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E2B2297" w14:textId="77777777" w:rsidR="003F526B" w:rsidRPr="009C0B96" w:rsidRDefault="003F526B" w:rsidP="003F526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7DACACD" w14:textId="77777777" w:rsidR="003F526B" w:rsidRPr="009C0B96" w:rsidRDefault="003F526B" w:rsidP="003F526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FA31368" w14:textId="77777777" w:rsidR="003F526B" w:rsidRPr="009C0B96" w:rsidRDefault="003F526B" w:rsidP="003F526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E2C5D11" w14:textId="77777777" w:rsidR="003F526B" w:rsidRPr="009C0B96" w:rsidRDefault="003F526B" w:rsidP="003F526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6FB1850" w14:textId="77777777" w:rsidR="003F526B" w:rsidRPr="009C0B96" w:rsidRDefault="003F526B" w:rsidP="003F526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9E08550" w14:textId="77777777" w:rsidR="003F526B" w:rsidRPr="009C0B96" w:rsidRDefault="003F526B" w:rsidP="003F526B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5671625" w14:textId="77777777" w:rsidR="003F526B" w:rsidRPr="009C0B96" w:rsidRDefault="003F526B" w:rsidP="003F526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EC9593D" w14:textId="77777777" w:rsidR="003F526B" w:rsidRPr="009C0B96" w:rsidRDefault="003F526B" w:rsidP="003F526B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D716429" w14:textId="77777777" w:rsidR="003F526B" w:rsidRPr="009C0B96" w:rsidRDefault="003F526B" w:rsidP="003F52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21C3B0E" w14:textId="77777777" w:rsidR="003F526B" w:rsidRPr="009C0B96" w:rsidRDefault="003F526B" w:rsidP="003F52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01270D7" w14:textId="77777777" w:rsidR="003F526B" w:rsidRPr="009C0B96" w:rsidRDefault="003F526B" w:rsidP="003F52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E7F9908" w14:textId="77777777" w:rsidR="003F526B" w:rsidRPr="009C0B96" w:rsidRDefault="003F526B" w:rsidP="003F526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01EB934" w14:textId="77777777" w:rsidR="003F526B" w:rsidRPr="009C0B96" w:rsidRDefault="003F526B" w:rsidP="003F526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5B3A595" w14:textId="77777777" w:rsidR="003F526B" w:rsidRPr="009C0B96" w:rsidRDefault="003F526B" w:rsidP="003F526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7E4069E" w14:textId="77777777" w:rsidR="003F526B" w:rsidRPr="009C0B96" w:rsidRDefault="003F526B" w:rsidP="003F526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1DEBA30" w14:textId="77777777" w:rsidR="003F526B" w:rsidRPr="009C0B96" w:rsidRDefault="003F526B" w:rsidP="003F526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8996E4C" w14:textId="77777777" w:rsidR="003F526B" w:rsidRPr="009C0B96" w:rsidRDefault="003F526B" w:rsidP="003F526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1292F8E" w14:textId="77777777" w:rsidR="003F526B" w:rsidRPr="009C0B96" w:rsidRDefault="003F526B" w:rsidP="003F526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4121B2D" w14:textId="77777777" w:rsidR="003F526B" w:rsidRDefault="003F526B" w:rsidP="003F526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624F805" w14:textId="77777777" w:rsidR="003F526B" w:rsidRPr="009C0B96" w:rsidRDefault="003F526B" w:rsidP="003F526B">
            <w:pPr>
              <w:pStyle w:val="ListParagraph"/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5675B9" w:rsidRDefault="00CC48FF" w:rsidP="00C11200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5675B9" w:rsidRDefault="00CC48FF" w:rsidP="00C11200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5652243D" w:rsidR="00833F48" w:rsidRPr="005675B9" w:rsidRDefault="00833F48" w:rsidP="00C11200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28699F" w:rsidRPr="005675B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неопходна</w:t>
            </w:r>
            <w:r w:rsidRPr="005675B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28451F30" w14:textId="77777777" w:rsidR="00640DC0" w:rsidRPr="005675B9" w:rsidRDefault="00640DC0" w:rsidP="00C11200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44A29842" w14:textId="77777777" w:rsidR="00640DC0" w:rsidRPr="005675B9" w:rsidRDefault="00640DC0" w:rsidP="00C1120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5675B9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2CB7E7CE" w14:textId="77777777" w:rsidR="00640DC0" w:rsidRPr="005675B9" w:rsidRDefault="00640DC0" w:rsidP="00C11200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6449CC9" w14:textId="521FCF12" w:rsidR="00640DC0" w:rsidRPr="005675B9" w:rsidRDefault="00640DC0" w:rsidP="00C11200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5675B9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</w:t>
            </w:r>
            <w:r w:rsidR="002C7512" w:rsidRPr="005675B9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ације</w:t>
            </w:r>
          </w:p>
          <w:p w14:paraId="6C54BAC3" w14:textId="77777777" w:rsidR="00640DC0" w:rsidRPr="005675B9" w:rsidRDefault="00640DC0" w:rsidP="00C11200">
            <w:pPr>
              <w:pStyle w:val="NormalWeb"/>
              <w:numPr>
                <w:ilvl w:val="0"/>
                <w:numId w:val="46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Документ 1: Процена угрожености од елементарних непогода и других несрећа</w:t>
            </w:r>
          </w:p>
          <w:p w14:paraId="098DC354" w14:textId="77777777" w:rsidR="00640DC0" w:rsidRPr="005675B9" w:rsidRDefault="00640DC0" w:rsidP="00C1120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675B9">
              <w:rPr>
                <w:sz w:val="22"/>
                <w:szCs w:val="22"/>
                <w:lang w:val="sr-Cyrl-RS"/>
              </w:rPr>
              <w:t xml:space="preserve">Надлежан орган потражује достављање наведеног документа у оригиналу. </w:t>
            </w:r>
          </w:p>
          <w:p w14:paraId="1E8B23FE" w14:textId="304AD493" w:rsidR="00640DC0" w:rsidRPr="005675B9" w:rsidRDefault="00640DC0" w:rsidP="00C1120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675B9">
              <w:rPr>
                <w:sz w:val="22"/>
                <w:szCs w:val="22"/>
                <w:lang w:val="sr-Cyrl-RS"/>
              </w:rPr>
              <w:t>С обзиром да се ради о процени угрожености од елементарних непогода и других несрећа коју израђује привредно друштво, као и развој информационе технологије, предлаже се достављање овог документа у форми електронски читљивог докуме</w:t>
            </w:r>
            <w:r w:rsidR="00F51FAD" w:rsidRPr="005675B9">
              <w:rPr>
                <w:sz w:val="22"/>
                <w:szCs w:val="22"/>
                <w:lang w:val="sr-Cyrl-RS"/>
              </w:rPr>
              <w:t>н</w:t>
            </w:r>
            <w:r w:rsidRPr="005675B9">
              <w:rPr>
                <w:sz w:val="22"/>
                <w:szCs w:val="22"/>
                <w:lang w:val="sr-Cyrl-RS"/>
              </w:rPr>
              <w:t xml:space="preserve">та или достављање </w:t>
            </w:r>
            <w:r w:rsidRPr="005675B9">
              <w:rPr>
                <w:sz w:val="22"/>
                <w:szCs w:val="22"/>
                <w:lang w:val="sr-Cyrl-RS"/>
              </w:rPr>
              <w:lastRenderedPageBreak/>
              <w:t xml:space="preserve">документа у копији, с обзиром да ће достављање документације у предложеној форми смањити трошкове за привредног субјекта.  </w:t>
            </w:r>
          </w:p>
          <w:p w14:paraId="5AF07CC5" w14:textId="2104ABCA" w:rsidR="00640DC0" w:rsidRPr="005675B9" w:rsidRDefault="00640DC0" w:rsidP="00C1120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 </w:t>
            </w:r>
          </w:p>
          <w:p w14:paraId="4B3F2AF7" w14:textId="77777777" w:rsidR="005721BE" w:rsidRPr="005675B9" w:rsidRDefault="005721BE" w:rsidP="00C1120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B51B66D" w14:textId="1BB16EE7" w:rsidR="00091411" w:rsidRPr="005675B9" w:rsidRDefault="00091411" w:rsidP="00C11200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 xml:space="preserve">Документ 4: Доказ о уплати републичкe административнe таксe за захтев </w:t>
            </w:r>
          </w:p>
          <w:p w14:paraId="38D06185" w14:textId="77777777" w:rsidR="00091411" w:rsidRPr="005675B9" w:rsidRDefault="00091411" w:rsidP="00C11200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140011F" w14:textId="7AD6F29C" w:rsidR="00C11200" w:rsidRPr="005675B9" w:rsidRDefault="00C11200" w:rsidP="00C1120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5A63D0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7F77DC9F" w14:textId="593FE11E" w:rsidR="00C11200" w:rsidRPr="005675B9" w:rsidRDefault="00C11200" w:rsidP="00C1120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5675B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3457C237" w14:textId="77777777" w:rsidR="00C11200" w:rsidRPr="005675B9" w:rsidRDefault="00C11200" w:rsidP="00C1120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</w:rPr>
              <w:t>K</w:t>
            </w: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5675B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5675B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25C27499" w14:textId="77777777" w:rsidR="00C11200" w:rsidRPr="005675B9" w:rsidRDefault="00C11200" w:rsidP="00C11200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FFFE966" w14:textId="77777777" w:rsidR="00C11200" w:rsidRPr="005675B9" w:rsidRDefault="00C11200" w:rsidP="00C1120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7A9C367" w14:textId="77777777" w:rsidR="00C11200" w:rsidRPr="005675B9" w:rsidRDefault="00C11200" w:rsidP="00C11200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6B9F5A0" w14:textId="77777777" w:rsidR="00C11200" w:rsidRPr="005675B9" w:rsidRDefault="00C11200" w:rsidP="00C11200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7710BF3B" w14:textId="77777777" w:rsidR="00C11200" w:rsidRPr="005675B9" w:rsidRDefault="00C11200" w:rsidP="00C11200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2AC2E3E" w14:textId="77777777" w:rsidR="00DF6E84" w:rsidRPr="005675B9" w:rsidRDefault="00C11200" w:rsidP="00C11200">
            <w:pPr>
              <w:pStyle w:val="ListParagraph"/>
              <w:numPr>
                <w:ilvl w:val="0"/>
                <w:numId w:val="4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3FF26985" w14:textId="77777777" w:rsidR="00DF6E84" w:rsidRPr="005675B9" w:rsidRDefault="00DF6E84" w:rsidP="00DF6E84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BF40196" w14:textId="15FB3E1D" w:rsidR="00DF6E84" w:rsidRPr="005675B9" w:rsidRDefault="00DF6E84" w:rsidP="00DF6E84">
            <w:pPr>
              <w:pStyle w:val="ListParagraph"/>
              <w:numPr>
                <w:ilvl w:val="0"/>
                <w:numId w:val="4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5A63D0"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0ACB2985" w14:textId="77777777" w:rsidR="00C11200" w:rsidRPr="005675B9" w:rsidRDefault="00C11200" w:rsidP="00C11200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F0481A0" w14:textId="77777777" w:rsidR="00C11200" w:rsidRPr="005675B9" w:rsidRDefault="00C11200" w:rsidP="00C1120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22D6C462" w14:textId="77777777" w:rsidR="00091411" w:rsidRPr="005675B9" w:rsidRDefault="00091411" w:rsidP="00C1120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4389F06" w14:textId="77777777" w:rsidR="00091411" w:rsidRPr="005675B9" w:rsidRDefault="00091411" w:rsidP="00C1120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98CF184" w14:textId="77777777" w:rsidR="00640DC0" w:rsidRPr="005675B9" w:rsidRDefault="00640DC0" w:rsidP="00C1120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DF1D8AC" w14:textId="003C280A" w:rsidR="00640DC0" w:rsidRDefault="00640DC0" w:rsidP="00C11200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5675B9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1ED8C646" w14:textId="77777777" w:rsidR="00D14DF7" w:rsidRPr="005675B9" w:rsidRDefault="00D14DF7" w:rsidP="00C11200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</w:p>
          <w:p w14:paraId="021216D4" w14:textId="77777777" w:rsidR="00640DC0" w:rsidRPr="005675B9" w:rsidRDefault="00640DC0" w:rsidP="00C11200">
            <w:pPr>
              <w:pStyle w:val="ListParagraph"/>
              <w:numPr>
                <w:ilvl w:val="0"/>
                <w:numId w:val="45"/>
              </w:num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3: Захтев за добијање сагласности на Процену угрожености од елементарних непогода и других несрећа</w:t>
            </w:r>
          </w:p>
          <w:p w14:paraId="0B027C6A" w14:textId="77777777" w:rsidR="00640DC0" w:rsidRPr="005675B9" w:rsidRDefault="00640DC0" w:rsidP="00C1120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675B9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3.2), то се предлаже елиминација документа захтева који у слободној форми сачињава подносилац. </w:t>
            </w:r>
          </w:p>
          <w:p w14:paraId="796BA73A" w14:textId="0F09813A" w:rsidR="00640DC0" w:rsidRPr="005675B9" w:rsidRDefault="00640DC0" w:rsidP="00C11200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5675B9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5675B9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5675B9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AAF4BBC" w14:textId="77777777" w:rsidR="00640DC0" w:rsidRPr="005675B9" w:rsidRDefault="00640DC0" w:rsidP="00C11200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13601E4E" w14:textId="682E0184" w:rsidR="00833F48" w:rsidRPr="005675B9" w:rsidRDefault="00DB3954" w:rsidP="00C1120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bookmarkStart w:id="0" w:name="_Hlk528068414"/>
            <w:r w:rsidRPr="005675B9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A65B380" w14:textId="4327D0DE" w:rsidR="00DB3954" w:rsidRPr="005675B9" w:rsidRDefault="00DB3954" w:rsidP="00C11200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</w:t>
            </w: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</w:t>
            </w:r>
            <w:r w:rsidR="006A6592"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</w:t>
            </w:r>
            <w:r w:rsidR="006A6592"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 w:rsidR="006A6592" w:rsidRPr="005675B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bookmarkEnd w:id="0"/>
          <w:p w14:paraId="4E477097" w14:textId="305FA60D" w:rsidR="00115492" w:rsidRPr="005675B9" w:rsidRDefault="0028699F" w:rsidP="00C11200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неопходна измена прописа. </w:t>
            </w:r>
          </w:p>
          <w:p w14:paraId="60721ADC" w14:textId="77777777" w:rsidR="00640DC0" w:rsidRPr="005675B9" w:rsidRDefault="00640DC0" w:rsidP="00C11200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0D25E62" w14:textId="365B3EB5" w:rsidR="00640DC0" w:rsidRPr="005675B9" w:rsidRDefault="00640DC0" w:rsidP="00C1120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bookmarkStart w:id="1" w:name="_Hlk528664567"/>
            <w:r w:rsidRPr="005675B9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0147D278" w14:textId="77777777" w:rsidR="00640DC0" w:rsidRPr="005675B9" w:rsidRDefault="00640DC0" w:rsidP="00C11200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5F4B8D71" w14:textId="17E6EB02" w:rsidR="00343907" w:rsidRPr="005675B9" w:rsidRDefault="00343907" w:rsidP="00C11200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5675B9">
              <w:rPr>
                <w:b/>
                <w:i/>
                <w:sz w:val="22"/>
                <w:szCs w:val="22"/>
                <w:lang w:val="sr-Cyrl-RS"/>
              </w:rPr>
              <w:t>Вођење евиденције и јавна доступност</w:t>
            </w:r>
          </w:p>
          <w:p w14:paraId="707E0928" w14:textId="77777777" w:rsidR="00343907" w:rsidRPr="005675B9" w:rsidRDefault="00343907" w:rsidP="00C1120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F8F6B41" w14:textId="77777777" w:rsidR="00777A76" w:rsidRPr="005675B9" w:rsidRDefault="00343907" w:rsidP="00C1120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5675B9">
              <w:rPr>
                <w:sz w:val="22"/>
                <w:szCs w:val="22"/>
                <w:lang w:val="sr-Cyrl-RS"/>
              </w:rPr>
              <w:t xml:space="preserve">Предлаже се да надлежни орган води регистар /евиденцију издатих аката  у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 </w:t>
            </w:r>
          </w:p>
          <w:p w14:paraId="0EB56B05" w14:textId="77777777" w:rsidR="00777A76" w:rsidRPr="005675B9" w:rsidRDefault="00777A76" w:rsidP="00C11200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6941DC9A" w14:textId="77777777" w:rsidR="00AA4477" w:rsidRPr="005675B9" w:rsidRDefault="00AA4477" w:rsidP="00AA4477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5675B9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55F37C5C" w14:textId="77777777" w:rsidR="00343907" w:rsidRPr="005675B9" w:rsidRDefault="00343907" w:rsidP="00C1120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5675B9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5675B9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bookmarkEnd w:id="1"/>
          <w:p w14:paraId="7DEC725F" w14:textId="1BA6C1E3" w:rsidR="00CB5A92" w:rsidRPr="005675B9" w:rsidRDefault="00CB5A92" w:rsidP="00C11200">
            <w:pPr>
              <w:pStyle w:val="NormalWeb"/>
              <w:spacing w:before="120" w:beforeAutospacing="0" w:after="120" w:afterAutospacing="0"/>
              <w:jc w:val="both"/>
              <w:rPr>
                <w:color w:val="00B050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9C576D" w14:paraId="675008AD" w14:textId="77777777" w:rsidTr="00640DC0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26653B67" w:rsidR="00275E2A" w:rsidRPr="005675B9" w:rsidRDefault="00275E2A" w:rsidP="00C11200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5675B9">
              <w:rPr>
                <w:b/>
                <w:sz w:val="22"/>
                <w:szCs w:val="22"/>
                <w:lang w:val="sr-Cyrl-RS"/>
              </w:rPr>
              <w:t>У</w:t>
            </w:r>
            <w:r w:rsidRPr="005675B9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5675B9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5675B9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5675B9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40DC0" w:rsidRPr="009C576D" w14:paraId="243310FD" w14:textId="77777777" w:rsidTr="00640DC0">
        <w:tc>
          <w:tcPr>
            <w:tcW w:w="9060" w:type="dxa"/>
          </w:tcPr>
          <w:p w14:paraId="02D1BE85" w14:textId="77777777" w:rsidR="00640DC0" w:rsidRPr="005675B9" w:rsidRDefault="00640DC0" w:rsidP="00C1120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386A6BE" w14:textId="77777777" w:rsidR="00640DC0" w:rsidRPr="005675B9" w:rsidRDefault="00640DC0" w:rsidP="00C1120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640DC0" w:rsidRPr="005675B9" w:rsidRDefault="00640DC0" w:rsidP="00C11200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640DC0" w:rsidRPr="003F526B" w14:paraId="1251D6FF" w14:textId="77777777" w:rsidTr="00640DC0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640DC0" w:rsidRPr="005675B9" w:rsidRDefault="00640DC0" w:rsidP="00C11200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40DC0" w:rsidRPr="009C576D" w14:paraId="585359C0" w14:textId="77777777" w:rsidTr="00640DC0">
        <w:trPr>
          <w:trHeight w:val="708"/>
        </w:trPr>
        <w:tc>
          <w:tcPr>
            <w:tcW w:w="9060" w:type="dxa"/>
          </w:tcPr>
          <w:p w14:paraId="5A24E57F" w14:textId="77777777" w:rsidR="00640DC0" w:rsidRPr="005675B9" w:rsidRDefault="00640DC0" w:rsidP="00C1120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4852AA7" w14:textId="77777777" w:rsidR="00640DC0" w:rsidRPr="005675B9" w:rsidRDefault="00640DC0" w:rsidP="00C1120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640DC0" w:rsidRPr="005675B9" w:rsidRDefault="00640DC0" w:rsidP="00C11200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40DC0" w:rsidRPr="005675B9" w14:paraId="6F69BD61" w14:textId="77777777" w:rsidTr="00640DC0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640DC0" w:rsidRPr="005675B9" w:rsidRDefault="00640DC0" w:rsidP="00C11200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675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40DC0" w:rsidRPr="005675B9" w14:paraId="162E5FCE" w14:textId="77777777" w:rsidTr="00640DC0">
        <w:trPr>
          <w:trHeight w:val="567"/>
        </w:trPr>
        <w:tc>
          <w:tcPr>
            <w:tcW w:w="9060" w:type="dxa"/>
            <w:shd w:val="clear" w:color="auto" w:fill="auto"/>
          </w:tcPr>
          <w:p w14:paraId="4693263A" w14:textId="70432EBA" w:rsidR="00640DC0" w:rsidRPr="005675B9" w:rsidRDefault="00E06588" w:rsidP="00E06588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2" w:name="_GoBack"/>
            <w:bookmarkEnd w:id="2"/>
            <w:r w:rsidRPr="005675B9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поступка. Препорукама се утиче на побољшање пословног амбијента.</w:t>
            </w:r>
          </w:p>
        </w:tc>
      </w:tr>
    </w:tbl>
    <w:p w14:paraId="316DC6AF" w14:textId="77777777" w:rsidR="003E3C16" w:rsidRPr="005675B9" w:rsidRDefault="003E3C16" w:rsidP="00C11200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5675B9" w:rsidRDefault="008629CC" w:rsidP="00C11200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5675B9" w:rsidRDefault="008629CC" w:rsidP="00C11200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5675B9" w:rsidRDefault="00C42B27" w:rsidP="00C11200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5675B9" w:rsidRDefault="00C42B27" w:rsidP="00C11200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5675B9" w:rsidRDefault="00C42B27" w:rsidP="00C11200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5675B9" w:rsidRDefault="003E3C16" w:rsidP="00C11200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5675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2E090C" w14:textId="77777777" w:rsidR="0092079B" w:rsidRDefault="0092079B" w:rsidP="002A202F">
      <w:r>
        <w:separator/>
      </w:r>
    </w:p>
  </w:endnote>
  <w:endnote w:type="continuationSeparator" w:id="0">
    <w:p w14:paraId="6F0C4C4A" w14:textId="77777777" w:rsidR="0092079B" w:rsidRDefault="0092079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43242F9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3F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F60CA" w14:textId="77777777" w:rsidR="0092079B" w:rsidRDefault="0092079B" w:rsidP="002A202F">
      <w:r>
        <w:separator/>
      </w:r>
    </w:p>
  </w:footnote>
  <w:footnote w:type="continuationSeparator" w:id="0">
    <w:p w14:paraId="6975F32B" w14:textId="77777777" w:rsidR="0092079B" w:rsidRDefault="0092079B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E35F92"/>
    <w:multiLevelType w:val="hybridMultilevel"/>
    <w:tmpl w:val="80A6F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952E0"/>
    <w:multiLevelType w:val="hybridMultilevel"/>
    <w:tmpl w:val="28C80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3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D66710"/>
    <w:multiLevelType w:val="hybridMultilevel"/>
    <w:tmpl w:val="5010DC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934C1"/>
    <w:multiLevelType w:val="hybridMultilevel"/>
    <w:tmpl w:val="3320A5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66556"/>
    <w:multiLevelType w:val="hybridMultilevel"/>
    <w:tmpl w:val="AF0E4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2B43325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7"/>
  </w:num>
  <w:num w:numId="4">
    <w:abstractNumId w:val="12"/>
  </w:num>
  <w:num w:numId="5">
    <w:abstractNumId w:val="8"/>
  </w:num>
  <w:num w:numId="6">
    <w:abstractNumId w:val="26"/>
  </w:num>
  <w:num w:numId="7">
    <w:abstractNumId w:val="45"/>
  </w:num>
  <w:num w:numId="8">
    <w:abstractNumId w:val="20"/>
  </w:num>
  <w:num w:numId="9">
    <w:abstractNumId w:val="39"/>
  </w:num>
  <w:num w:numId="10">
    <w:abstractNumId w:val="36"/>
  </w:num>
  <w:num w:numId="11">
    <w:abstractNumId w:val="34"/>
  </w:num>
  <w:num w:numId="12">
    <w:abstractNumId w:val="32"/>
  </w:num>
  <w:num w:numId="13">
    <w:abstractNumId w:val="29"/>
  </w:num>
  <w:num w:numId="14">
    <w:abstractNumId w:val="37"/>
  </w:num>
  <w:num w:numId="15">
    <w:abstractNumId w:val="31"/>
  </w:num>
  <w:num w:numId="16">
    <w:abstractNumId w:val="22"/>
  </w:num>
  <w:num w:numId="17">
    <w:abstractNumId w:val="19"/>
  </w:num>
  <w:num w:numId="18">
    <w:abstractNumId w:val="42"/>
  </w:num>
  <w:num w:numId="19">
    <w:abstractNumId w:val="13"/>
  </w:num>
  <w:num w:numId="20">
    <w:abstractNumId w:val="46"/>
  </w:num>
  <w:num w:numId="21">
    <w:abstractNumId w:val="15"/>
  </w:num>
  <w:num w:numId="22">
    <w:abstractNumId w:val="11"/>
  </w:num>
  <w:num w:numId="23">
    <w:abstractNumId w:val="30"/>
  </w:num>
  <w:num w:numId="24">
    <w:abstractNumId w:val="2"/>
  </w:num>
  <w:num w:numId="25">
    <w:abstractNumId w:val="18"/>
  </w:num>
  <w:num w:numId="26">
    <w:abstractNumId w:val="9"/>
  </w:num>
  <w:num w:numId="27">
    <w:abstractNumId w:val="1"/>
  </w:num>
  <w:num w:numId="28">
    <w:abstractNumId w:val="3"/>
  </w:num>
  <w:num w:numId="29">
    <w:abstractNumId w:val="41"/>
  </w:num>
  <w:num w:numId="30">
    <w:abstractNumId w:val="21"/>
  </w:num>
  <w:num w:numId="31">
    <w:abstractNumId w:val="43"/>
  </w:num>
  <w:num w:numId="32">
    <w:abstractNumId w:val="28"/>
  </w:num>
  <w:num w:numId="33">
    <w:abstractNumId w:val="5"/>
  </w:num>
  <w:num w:numId="34">
    <w:abstractNumId w:val="4"/>
  </w:num>
  <w:num w:numId="35">
    <w:abstractNumId w:val="33"/>
  </w:num>
  <w:num w:numId="36">
    <w:abstractNumId w:val="10"/>
  </w:num>
  <w:num w:numId="37">
    <w:abstractNumId w:val="44"/>
  </w:num>
  <w:num w:numId="38">
    <w:abstractNumId w:val="38"/>
  </w:num>
  <w:num w:numId="39">
    <w:abstractNumId w:val="6"/>
  </w:num>
  <w:num w:numId="40">
    <w:abstractNumId w:val="17"/>
  </w:num>
  <w:num w:numId="41">
    <w:abstractNumId w:val="24"/>
  </w:num>
  <w:num w:numId="42">
    <w:abstractNumId w:val="35"/>
  </w:num>
  <w:num w:numId="43">
    <w:abstractNumId w:val="40"/>
  </w:num>
  <w:num w:numId="44">
    <w:abstractNumId w:val="23"/>
  </w:num>
  <w:num w:numId="45">
    <w:abstractNumId w:val="7"/>
  </w:num>
  <w:num w:numId="46">
    <w:abstractNumId w:val="25"/>
  </w:num>
  <w:num w:numId="47">
    <w:abstractNumId w:val="14"/>
  </w:num>
  <w:num w:numId="48">
    <w:abstractNumId w:val="0"/>
  </w:num>
  <w:num w:numId="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A7A"/>
    <w:rsid w:val="000050B3"/>
    <w:rsid w:val="0001024E"/>
    <w:rsid w:val="0001445B"/>
    <w:rsid w:val="00015362"/>
    <w:rsid w:val="00020306"/>
    <w:rsid w:val="00023EF9"/>
    <w:rsid w:val="0002619E"/>
    <w:rsid w:val="00026C2F"/>
    <w:rsid w:val="00027945"/>
    <w:rsid w:val="00034CDF"/>
    <w:rsid w:val="00036812"/>
    <w:rsid w:val="00041202"/>
    <w:rsid w:val="00044F35"/>
    <w:rsid w:val="00044F63"/>
    <w:rsid w:val="00050616"/>
    <w:rsid w:val="00061070"/>
    <w:rsid w:val="00062D08"/>
    <w:rsid w:val="0006491A"/>
    <w:rsid w:val="00074779"/>
    <w:rsid w:val="00083993"/>
    <w:rsid w:val="00091411"/>
    <w:rsid w:val="00092B84"/>
    <w:rsid w:val="0009542A"/>
    <w:rsid w:val="00097CDD"/>
    <w:rsid w:val="000A53F3"/>
    <w:rsid w:val="000A5CDC"/>
    <w:rsid w:val="000B2791"/>
    <w:rsid w:val="000B54D7"/>
    <w:rsid w:val="000B55AC"/>
    <w:rsid w:val="000D5029"/>
    <w:rsid w:val="000D7EB5"/>
    <w:rsid w:val="000E2036"/>
    <w:rsid w:val="000F5E72"/>
    <w:rsid w:val="00115492"/>
    <w:rsid w:val="001156BA"/>
    <w:rsid w:val="00121AD2"/>
    <w:rsid w:val="00144CEE"/>
    <w:rsid w:val="0015182D"/>
    <w:rsid w:val="00153E70"/>
    <w:rsid w:val="00160B3C"/>
    <w:rsid w:val="00161847"/>
    <w:rsid w:val="00170CA7"/>
    <w:rsid w:val="001953AC"/>
    <w:rsid w:val="001969BA"/>
    <w:rsid w:val="001A023F"/>
    <w:rsid w:val="001A3FAC"/>
    <w:rsid w:val="001A6472"/>
    <w:rsid w:val="001D0EDE"/>
    <w:rsid w:val="001D20E2"/>
    <w:rsid w:val="001D7BFA"/>
    <w:rsid w:val="001E1537"/>
    <w:rsid w:val="001E38DE"/>
    <w:rsid w:val="001F7B31"/>
    <w:rsid w:val="0020601F"/>
    <w:rsid w:val="0021261F"/>
    <w:rsid w:val="00212DA5"/>
    <w:rsid w:val="0021347C"/>
    <w:rsid w:val="00216148"/>
    <w:rsid w:val="00226012"/>
    <w:rsid w:val="002323AC"/>
    <w:rsid w:val="00261404"/>
    <w:rsid w:val="00275E2A"/>
    <w:rsid w:val="00285980"/>
    <w:rsid w:val="0028699F"/>
    <w:rsid w:val="00287AFC"/>
    <w:rsid w:val="00296938"/>
    <w:rsid w:val="002A202F"/>
    <w:rsid w:val="002A50E7"/>
    <w:rsid w:val="002A5164"/>
    <w:rsid w:val="002B19B4"/>
    <w:rsid w:val="002B7102"/>
    <w:rsid w:val="002C603E"/>
    <w:rsid w:val="002C7512"/>
    <w:rsid w:val="002D4078"/>
    <w:rsid w:val="002E16FB"/>
    <w:rsid w:val="002E218A"/>
    <w:rsid w:val="002F1BEC"/>
    <w:rsid w:val="002F4757"/>
    <w:rsid w:val="00310A12"/>
    <w:rsid w:val="00313093"/>
    <w:rsid w:val="0031340C"/>
    <w:rsid w:val="00322199"/>
    <w:rsid w:val="003223C7"/>
    <w:rsid w:val="00323017"/>
    <w:rsid w:val="00324BAC"/>
    <w:rsid w:val="00326555"/>
    <w:rsid w:val="003410E0"/>
    <w:rsid w:val="0034288D"/>
    <w:rsid w:val="00343907"/>
    <w:rsid w:val="00350EAD"/>
    <w:rsid w:val="003651DB"/>
    <w:rsid w:val="003715A0"/>
    <w:rsid w:val="0037171F"/>
    <w:rsid w:val="00376FD1"/>
    <w:rsid w:val="00383EE2"/>
    <w:rsid w:val="0039002C"/>
    <w:rsid w:val="00396685"/>
    <w:rsid w:val="00396EC4"/>
    <w:rsid w:val="003B44DB"/>
    <w:rsid w:val="003B4BC9"/>
    <w:rsid w:val="003B6298"/>
    <w:rsid w:val="003E2EB1"/>
    <w:rsid w:val="003E3C16"/>
    <w:rsid w:val="003F526B"/>
    <w:rsid w:val="004005B4"/>
    <w:rsid w:val="00407D96"/>
    <w:rsid w:val="00415A20"/>
    <w:rsid w:val="004257FB"/>
    <w:rsid w:val="00432495"/>
    <w:rsid w:val="004365F8"/>
    <w:rsid w:val="00444DA7"/>
    <w:rsid w:val="004531C4"/>
    <w:rsid w:val="00457882"/>
    <w:rsid w:val="00463CC7"/>
    <w:rsid w:val="00465A72"/>
    <w:rsid w:val="004809C4"/>
    <w:rsid w:val="00482AA6"/>
    <w:rsid w:val="0048433C"/>
    <w:rsid w:val="004847B1"/>
    <w:rsid w:val="00487D35"/>
    <w:rsid w:val="0049545B"/>
    <w:rsid w:val="004B05B1"/>
    <w:rsid w:val="004B07D1"/>
    <w:rsid w:val="004B58AF"/>
    <w:rsid w:val="004C1E43"/>
    <w:rsid w:val="004D0C94"/>
    <w:rsid w:val="004D3BD0"/>
    <w:rsid w:val="004D45B1"/>
    <w:rsid w:val="004D68A7"/>
    <w:rsid w:val="004E29D1"/>
    <w:rsid w:val="004E5F7C"/>
    <w:rsid w:val="00500566"/>
    <w:rsid w:val="00506DBF"/>
    <w:rsid w:val="005073A3"/>
    <w:rsid w:val="00510C06"/>
    <w:rsid w:val="00513BFE"/>
    <w:rsid w:val="00520DBF"/>
    <w:rsid w:val="00523608"/>
    <w:rsid w:val="0052450C"/>
    <w:rsid w:val="00525C0A"/>
    <w:rsid w:val="00535608"/>
    <w:rsid w:val="005404F7"/>
    <w:rsid w:val="005460B7"/>
    <w:rsid w:val="00556688"/>
    <w:rsid w:val="00557488"/>
    <w:rsid w:val="0056162B"/>
    <w:rsid w:val="0056707B"/>
    <w:rsid w:val="005675B9"/>
    <w:rsid w:val="005721BE"/>
    <w:rsid w:val="00581A9D"/>
    <w:rsid w:val="005865D5"/>
    <w:rsid w:val="005904C4"/>
    <w:rsid w:val="00596166"/>
    <w:rsid w:val="005971E2"/>
    <w:rsid w:val="005A2503"/>
    <w:rsid w:val="005A63D0"/>
    <w:rsid w:val="005B1DE6"/>
    <w:rsid w:val="005B49DA"/>
    <w:rsid w:val="005B4F04"/>
    <w:rsid w:val="005B7CB9"/>
    <w:rsid w:val="005D0023"/>
    <w:rsid w:val="005E14A3"/>
    <w:rsid w:val="005E21C4"/>
    <w:rsid w:val="005E7E97"/>
    <w:rsid w:val="005F4D59"/>
    <w:rsid w:val="0060001C"/>
    <w:rsid w:val="00600D31"/>
    <w:rsid w:val="0060786A"/>
    <w:rsid w:val="00621751"/>
    <w:rsid w:val="0062303E"/>
    <w:rsid w:val="006237FE"/>
    <w:rsid w:val="00627AF7"/>
    <w:rsid w:val="00630C76"/>
    <w:rsid w:val="00632540"/>
    <w:rsid w:val="00633EFC"/>
    <w:rsid w:val="00633F73"/>
    <w:rsid w:val="00635454"/>
    <w:rsid w:val="00640DC0"/>
    <w:rsid w:val="00645199"/>
    <w:rsid w:val="00645850"/>
    <w:rsid w:val="00664303"/>
    <w:rsid w:val="00691553"/>
    <w:rsid w:val="00692071"/>
    <w:rsid w:val="00694B28"/>
    <w:rsid w:val="006A6592"/>
    <w:rsid w:val="006C5349"/>
    <w:rsid w:val="006C5F2A"/>
    <w:rsid w:val="006C662C"/>
    <w:rsid w:val="006C7167"/>
    <w:rsid w:val="006D5367"/>
    <w:rsid w:val="006E23DE"/>
    <w:rsid w:val="006F4A5C"/>
    <w:rsid w:val="00715F5C"/>
    <w:rsid w:val="007177AE"/>
    <w:rsid w:val="007278C1"/>
    <w:rsid w:val="00733493"/>
    <w:rsid w:val="00733F8A"/>
    <w:rsid w:val="00737F1D"/>
    <w:rsid w:val="00751522"/>
    <w:rsid w:val="0076211E"/>
    <w:rsid w:val="00777A76"/>
    <w:rsid w:val="00782816"/>
    <w:rsid w:val="007831C7"/>
    <w:rsid w:val="00785A46"/>
    <w:rsid w:val="007861E3"/>
    <w:rsid w:val="007940D6"/>
    <w:rsid w:val="007A05F9"/>
    <w:rsid w:val="007A0BA2"/>
    <w:rsid w:val="007B0E25"/>
    <w:rsid w:val="007B1740"/>
    <w:rsid w:val="007C37A7"/>
    <w:rsid w:val="007C61B5"/>
    <w:rsid w:val="007D0CAA"/>
    <w:rsid w:val="007D1596"/>
    <w:rsid w:val="007D3889"/>
    <w:rsid w:val="007D39E4"/>
    <w:rsid w:val="007D43A7"/>
    <w:rsid w:val="007E1695"/>
    <w:rsid w:val="007F204C"/>
    <w:rsid w:val="00804060"/>
    <w:rsid w:val="00815C17"/>
    <w:rsid w:val="008166C9"/>
    <w:rsid w:val="00824E43"/>
    <w:rsid w:val="00830A35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5EBB"/>
    <w:rsid w:val="00876146"/>
    <w:rsid w:val="0087652B"/>
    <w:rsid w:val="00886C36"/>
    <w:rsid w:val="008A20C1"/>
    <w:rsid w:val="008A6AC8"/>
    <w:rsid w:val="008A7D05"/>
    <w:rsid w:val="008C5591"/>
    <w:rsid w:val="008D04A6"/>
    <w:rsid w:val="008D4C1A"/>
    <w:rsid w:val="008D7778"/>
    <w:rsid w:val="008E31AD"/>
    <w:rsid w:val="008E670D"/>
    <w:rsid w:val="008F0867"/>
    <w:rsid w:val="008F172F"/>
    <w:rsid w:val="008F2044"/>
    <w:rsid w:val="008F2BE1"/>
    <w:rsid w:val="008F2F34"/>
    <w:rsid w:val="008F3306"/>
    <w:rsid w:val="008F4DD1"/>
    <w:rsid w:val="009056DB"/>
    <w:rsid w:val="00915EE6"/>
    <w:rsid w:val="0092079B"/>
    <w:rsid w:val="00947592"/>
    <w:rsid w:val="00950280"/>
    <w:rsid w:val="009727DE"/>
    <w:rsid w:val="0097696A"/>
    <w:rsid w:val="00991A18"/>
    <w:rsid w:val="0099344E"/>
    <w:rsid w:val="00994A16"/>
    <w:rsid w:val="009A30D3"/>
    <w:rsid w:val="009C576D"/>
    <w:rsid w:val="009D03A7"/>
    <w:rsid w:val="009D1095"/>
    <w:rsid w:val="009E0479"/>
    <w:rsid w:val="00A0102E"/>
    <w:rsid w:val="00A06736"/>
    <w:rsid w:val="00A12960"/>
    <w:rsid w:val="00A1570D"/>
    <w:rsid w:val="00A22386"/>
    <w:rsid w:val="00A2725C"/>
    <w:rsid w:val="00A56B75"/>
    <w:rsid w:val="00A71C04"/>
    <w:rsid w:val="00A94C1B"/>
    <w:rsid w:val="00AA0017"/>
    <w:rsid w:val="00AA425A"/>
    <w:rsid w:val="00AA4477"/>
    <w:rsid w:val="00AA4BC5"/>
    <w:rsid w:val="00AB09B3"/>
    <w:rsid w:val="00AB5CC6"/>
    <w:rsid w:val="00AC02D1"/>
    <w:rsid w:val="00AE1A12"/>
    <w:rsid w:val="00AE7CA3"/>
    <w:rsid w:val="00B047F3"/>
    <w:rsid w:val="00B05E86"/>
    <w:rsid w:val="00B06019"/>
    <w:rsid w:val="00B07409"/>
    <w:rsid w:val="00B1006E"/>
    <w:rsid w:val="00B147AC"/>
    <w:rsid w:val="00B14A75"/>
    <w:rsid w:val="00B178FB"/>
    <w:rsid w:val="00B20741"/>
    <w:rsid w:val="00B47B99"/>
    <w:rsid w:val="00B5252A"/>
    <w:rsid w:val="00B5388B"/>
    <w:rsid w:val="00B54389"/>
    <w:rsid w:val="00B57D2B"/>
    <w:rsid w:val="00B63DB1"/>
    <w:rsid w:val="00B67138"/>
    <w:rsid w:val="00B6715C"/>
    <w:rsid w:val="00B704A7"/>
    <w:rsid w:val="00B81CFE"/>
    <w:rsid w:val="00B903AE"/>
    <w:rsid w:val="00B9157F"/>
    <w:rsid w:val="00B95225"/>
    <w:rsid w:val="00BA55D3"/>
    <w:rsid w:val="00BA6759"/>
    <w:rsid w:val="00BA7204"/>
    <w:rsid w:val="00BB3E92"/>
    <w:rsid w:val="00BB45DD"/>
    <w:rsid w:val="00BC0E5E"/>
    <w:rsid w:val="00BD658F"/>
    <w:rsid w:val="00C0295C"/>
    <w:rsid w:val="00C03C06"/>
    <w:rsid w:val="00C11200"/>
    <w:rsid w:val="00C121EC"/>
    <w:rsid w:val="00C12C65"/>
    <w:rsid w:val="00C25240"/>
    <w:rsid w:val="00C42B27"/>
    <w:rsid w:val="00C445E2"/>
    <w:rsid w:val="00C7129D"/>
    <w:rsid w:val="00C748D1"/>
    <w:rsid w:val="00C82093"/>
    <w:rsid w:val="00C85190"/>
    <w:rsid w:val="00C903DB"/>
    <w:rsid w:val="00C91014"/>
    <w:rsid w:val="00C91CF6"/>
    <w:rsid w:val="00CB1A4E"/>
    <w:rsid w:val="00CB5A92"/>
    <w:rsid w:val="00CC29F6"/>
    <w:rsid w:val="00CC48FF"/>
    <w:rsid w:val="00CD2287"/>
    <w:rsid w:val="00CD47EC"/>
    <w:rsid w:val="00CD5BBB"/>
    <w:rsid w:val="00CE0685"/>
    <w:rsid w:val="00CF0648"/>
    <w:rsid w:val="00D14DF7"/>
    <w:rsid w:val="00D217BF"/>
    <w:rsid w:val="00D21A38"/>
    <w:rsid w:val="00D27092"/>
    <w:rsid w:val="00D60C59"/>
    <w:rsid w:val="00D73628"/>
    <w:rsid w:val="00D73918"/>
    <w:rsid w:val="00D73D27"/>
    <w:rsid w:val="00D9075A"/>
    <w:rsid w:val="00D967D7"/>
    <w:rsid w:val="00DA125D"/>
    <w:rsid w:val="00DA68A8"/>
    <w:rsid w:val="00DB2794"/>
    <w:rsid w:val="00DB3954"/>
    <w:rsid w:val="00DB604A"/>
    <w:rsid w:val="00DC0F2A"/>
    <w:rsid w:val="00DC4BC2"/>
    <w:rsid w:val="00DD0AD0"/>
    <w:rsid w:val="00DD42C1"/>
    <w:rsid w:val="00DE057D"/>
    <w:rsid w:val="00DE43CD"/>
    <w:rsid w:val="00DF6E84"/>
    <w:rsid w:val="00E0020F"/>
    <w:rsid w:val="00E06588"/>
    <w:rsid w:val="00E118C7"/>
    <w:rsid w:val="00E1427B"/>
    <w:rsid w:val="00E14E0D"/>
    <w:rsid w:val="00E22B8B"/>
    <w:rsid w:val="00E40DF0"/>
    <w:rsid w:val="00E4267B"/>
    <w:rsid w:val="00E47DAC"/>
    <w:rsid w:val="00E50721"/>
    <w:rsid w:val="00E63C8A"/>
    <w:rsid w:val="00E70BF6"/>
    <w:rsid w:val="00E750CE"/>
    <w:rsid w:val="00E800D7"/>
    <w:rsid w:val="00EB617F"/>
    <w:rsid w:val="00EC7480"/>
    <w:rsid w:val="00EE5584"/>
    <w:rsid w:val="00F11C98"/>
    <w:rsid w:val="00F123FE"/>
    <w:rsid w:val="00F12E47"/>
    <w:rsid w:val="00F16155"/>
    <w:rsid w:val="00F17354"/>
    <w:rsid w:val="00F1774A"/>
    <w:rsid w:val="00F223B2"/>
    <w:rsid w:val="00F51FAD"/>
    <w:rsid w:val="00F53241"/>
    <w:rsid w:val="00F61CF7"/>
    <w:rsid w:val="00F67790"/>
    <w:rsid w:val="00F74844"/>
    <w:rsid w:val="00F92546"/>
    <w:rsid w:val="00F955F1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D787D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F1774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6143-9758-4426-A347-D854308C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1496</Words>
  <Characters>8529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Ognjen Bogdanović</cp:lastModifiedBy>
  <cp:revision>25</cp:revision>
  <cp:lastPrinted>2018-09-10T06:55:00Z</cp:lastPrinted>
  <dcterms:created xsi:type="dcterms:W3CDTF">2019-03-01T11:57:00Z</dcterms:created>
  <dcterms:modified xsi:type="dcterms:W3CDTF">2019-04-10T13:38:00Z</dcterms:modified>
</cp:coreProperties>
</file>