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EF0C6" w14:textId="06B09FFD" w:rsidR="000E2036" w:rsidRPr="00111BF7" w:rsidRDefault="007C3A3D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111BF7">
        <w:rPr>
          <w:b/>
          <w:sz w:val="22"/>
          <w:szCs w:val="22"/>
          <w:lang w:val="sr-Cyrl-RS"/>
        </w:rPr>
        <w:t>ПОЈЕДНОСТАВЉЕЊЕ ПОСТУПКА ИЗДАВАЊА ОВЛАШЋЕЊА ЗА ОБАВЉАЊЕ ПОСЛОВА КОНТРОЛИСАЊА МОБИЛНИХ УРЕЂАЈА ЗА ГАШЕЊЕ ПОЖАРА</w:t>
      </w:r>
    </w:p>
    <w:p w14:paraId="2986C640" w14:textId="77777777" w:rsidR="0021261F" w:rsidRPr="00111BF7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3"/>
      </w:tblGrid>
      <w:tr w:rsidR="000E2036" w:rsidRPr="00CB197B" w14:paraId="1976FB87" w14:textId="77777777" w:rsidTr="0060209C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111BF7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5" w:type="dxa"/>
            <w:vAlign w:val="center"/>
          </w:tcPr>
          <w:p w14:paraId="5FD56B01" w14:textId="24DDE042" w:rsidR="000E2036" w:rsidRPr="00111BF7" w:rsidRDefault="00144CEE" w:rsidP="0060209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111BF7">
              <w:rPr>
                <w:sz w:val="22"/>
                <w:szCs w:val="22"/>
                <w:lang w:val="sr-Cyrl-RS"/>
              </w:rPr>
              <w:t>Oвлашћењe за обављање послова контролисања мобилних уређаја за гашење пожара</w:t>
            </w:r>
          </w:p>
        </w:tc>
      </w:tr>
      <w:tr w:rsidR="000E2036" w:rsidRPr="00111BF7" w14:paraId="7A6AA442" w14:textId="77777777" w:rsidTr="001D7BFA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111BF7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11BF7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76B78B5F" w14:textId="392EE99B" w:rsidR="000E2036" w:rsidRPr="00111BF7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111BF7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Pr="00111BF7">
              <w:rPr>
                <w:bCs/>
                <w:color w:val="000000" w:themeColor="text1"/>
                <w:sz w:val="22"/>
                <w:szCs w:val="22"/>
                <w:lang w:val="en-GB"/>
              </w:rPr>
              <w:t>6</w:t>
            </w:r>
            <w:r w:rsidR="00144CEE" w:rsidRPr="00111BF7">
              <w:rPr>
                <w:bCs/>
                <w:color w:val="000000" w:themeColor="text1"/>
                <w:sz w:val="22"/>
                <w:szCs w:val="22"/>
                <w:lang w:val="en-GB"/>
              </w:rPr>
              <w:t>7</w:t>
            </w:r>
          </w:p>
        </w:tc>
      </w:tr>
      <w:tr w:rsidR="00275E2A" w:rsidRPr="00111BF7" w14:paraId="2CEE52A6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111BF7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11BF7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111BF7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11BF7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795E7E6" w14:textId="70564AC0" w:rsidR="00092B84" w:rsidRPr="00111BF7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111BF7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CB197B" w14:paraId="10DA1CD3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111BF7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11BF7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111BF7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111BF7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5" w:type="dxa"/>
          </w:tcPr>
          <w:p w14:paraId="2E118C6E" w14:textId="5A257D3F" w:rsidR="00DA68A8" w:rsidRPr="00111BF7" w:rsidRDefault="00DA68A8" w:rsidP="00DA68A8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Закон о заштити од пожара ("Сл. гласник РС", бр. 111/2009, 20/2015)</w:t>
            </w:r>
          </w:p>
          <w:p w14:paraId="2CCB5DCC" w14:textId="25445FA4" w:rsidR="00645199" w:rsidRPr="00111BF7" w:rsidRDefault="002A5164" w:rsidP="002A5164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("Сл. гласник РС", бр. 52/2015, 59/2016)</w:t>
            </w:r>
          </w:p>
        </w:tc>
      </w:tr>
      <w:tr w:rsidR="00D73918" w:rsidRPr="00CB197B" w14:paraId="724CF23D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111BF7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111BF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111BF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111BF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111BF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111BF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95" w:type="dxa"/>
            <w:vAlign w:val="center"/>
          </w:tcPr>
          <w:p w14:paraId="55CB4618" w14:textId="666F6AC2" w:rsidR="00D73918" w:rsidRPr="00111BF7" w:rsidRDefault="008D7778" w:rsidP="00CB197B">
            <w:pPr>
              <w:numPr>
                <w:ilvl w:val="0"/>
                <w:numId w:val="26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("Сл. гласник РС", бр. 52/2015, 59/2016)</w:t>
            </w:r>
          </w:p>
        </w:tc>
      </w:tr>
      <w:tr w:rsidR="00275E2A" w:rsidRPr="00111BF7" w14:paraId="58812BCA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275E2A" w:rsidRPr="00111BF7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11BF7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111BF7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795" w:type="dxa"/>
          </w:tcPr>
          <w:p w14:paraId="19A48B50" w14:textId="2522EFDA" w:rsidR="00F74844" w:rsidRPr="00111BF7" w:rsidRDefault="00C72D6E" w:rsidP="00C72D6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2019. </w:t>
            </w:r>
            <w:r w:rsidR="00332E68"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111BF7" w14:paraId="539113B1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111BF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11BF7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CB197B" w14:paraId="4635A4BE" w14:textId="77777777" w:rsidTr="00275E2A">
        <w:tc>
          <w:tcPr>
            <w:tcW w:w="9062" w:type="dxa"/>
            <w:gridSpan w:val="2"/>
          </w:tcPr>
          <w:p w14:paraId="724839A9" w14:textId="013ED5C8" w:rsidR="0009542A" w:rsidRPr="00111BF7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значајно административно оптерећење и трошкове привредним друштвима и другим правним лицима, на шта указује непотребно бројна документација</w:t>
            </w:r>
            <w:r w:rsidRPr="00111BF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, 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уз непоштовање обавезе прибављања података које издају други јавни органи, по службеној дужности, </w:t>
            </w:r>
            <w:r w:rsidR="00070F2F"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примена дужих рокова, одређених општим прописом, који су дужи од реално потребних рокова</w:t>
            </w:r>
            <w:r w:rsidR="00DB28E5"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DA68A8"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3E3B4631" w14:textId="77777777" w:rsidR="00DF6C6C" w:rsidRPr="00111BF7" w:rsidRDefault="00DF6C6C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Начин утврђивања испуњености услова, као и документација којом се доказује испуњеност услова нису довољно јасно и прецизно прописани, што доприноси правној несигурности привредних субјеката.</w:t>
            </w:r>
          </w:p>
          <w:p w14:paraId="02A70DBF" w14:textId="77777777" w:rsidR="00AC1CC6" w:rsidRPr="00111BF7" w:rsidRDefault="00DA68A8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</w:t>
            </w:r>
            <w:r w:rsidR="0044090A"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подношење захтева електронским путем, као ни</w:t>
            </w: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  <w:p w14:paraId="4BCB02C2" w14:textId="146F0888" w:rsidR="00DA68A8" w:rsidRPr="00111BF7" w:rsidRDefault="00AC1CC6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Не воде се евиденције о овлашћеним лицима, које су вишеструко значајно за пословање ових правних лица и ступање у пословне односе са другим пословним субјектима.</w:t>
            </w:r>
          </w:p>
        </w:tc>
      </w:tr>
      <w:tr w:rsidR="00275E2A" w:rsidRPr="00111BF7" w14:paraId="31663FC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111BF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11BF7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111BF7" w14:paraId="7C9122B7" w14:textId="77777777" w:rsidTr="00C23C32">
        <w:trPr>
          <w:trHeight w:val="2259"/>
        </w:trPr>
        <w:tc>
          <w:tcPr>
            <w:tcW w:w="9062" w:type="dxa"/>
            <w:shd w:val="clear" w:color="auto" w:fill="auto"/>
          </w:tcPr>
          <w:p w14:paraId="799352E9" w14:textId="7B14D98C" w:rsidR="00AC02D1" w:rsidRPr="00111BF7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CD47EC" w:rsidRPr="00111BF7" w14:paraId="158799B9" w14:textId="77777777" w:rsidTr="00E84E53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4EF54B9" w14:textId="77777777" w:rsidR="00CD47EC" w:rsidRPr="00111BF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921ADE" w14:textId="77777777" w:rsidR="00CD47EC" w:rsidRPr="00111BF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1D926F" w14:textId="77777777" w:rsidR="00CD47EC" w:rsidRPr="00111BF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CD47EC" w:rsidRPr="00111BF7" w14:paraId="7D283877" w14:textId="77777777" w:rsidTr="00E84E53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1092E" w14:textId="77777777" w:rsidR="00CD47EC" w:rsidRPr="00111BF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469DB51" w14:textId="77777777" w:rsidR="00CD47EC" w:rsidRPr="00111BF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0F6F59" w14:textId="77777777" w:rsidR="00CD47EC" w:rsidRPr="00111BF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F504B" w14:textId="77777777" w:rsidR="00CD47EC" w:rsidRPr="00111BF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CD47EC" w:rsidRPr="00111BF7" w14:paraId="02758F13" w14:textId="77777777" w:rsidTr="00E84E53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0B2AAA" w14:textId="77777777" w:rsidR="00CD47EC" w:rsidRPr="00111BF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7071EE" w14:textId="77777777" w:rsidR="00CD47EC" w:rsidRPr="00111BF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CF9DD0" w14:textId="77777777" w:rsidR="00CD47EC" w:rsidRPr="00111BF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E6130C" w14:textId="77777777" w:rsidR="00CD47EC" w:rsidRPr="00111BF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111BF7" w14:paraId="68A83625" w14:textId="77777777" w:rsidTr="00E84E53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25C893" w14:textId="77777777" w:rsidR="00CD47EC" w:rsidRPr="00111BF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Утврђивање правног  основа и потребне документације </w:t>
                  </w:r>
                  <w:r w:rsidRPr="00111BF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8C7D1A" w14:textId="77777777" w:rsidR="00CD47EC" w:rsidRPr="00111BF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111BF7" w14:paraId="7B233646" w14:textId="77777777" w:rsidTr="00E84E53">
              <w:trPr>
                <w:trHeight w:val="552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FC345C" w14:textId="77777777" w:rsidR="00DA68A8" w:rsidRPr="00111BF7" w:rsidRDefault="00DA68A8" w:rsidP="00DA68A8">
                  <w:pPr>
                    <w:pStyle w:val="NormalWeb"/>
                    <w:spacing w:before="0" w:beforeAutospacing="0" w:after="0" w:afterAutospacing="0"/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111BF7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Прописивање начина провере испуњености услова и потребне документације</w:t>
                  </w:r>
                </w:p>
                <w:p w14:paraId="18321245" w14:textId="54748416" w:rsidR="00CD47EC" w:rsidRPr="00111BF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F398F6" w14:textId="77777777" w:rsidR="00CD47EC" w:rsidRPr="00111BF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40028A" w14:textId="77777777" w:rsidR="00CD47EC" w:rsidRPr="00111BF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AE3490" w14:textId="77777777" w:rsidR="00CD47EC" w:rsidRPr="00111BF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1</w:t>
                  </w:r>
                </w:p>
              </w:tc>
            </w:tr>
            <w:tr w:rsidR="00CD47EC" w:rsidRPr="00111BF7" w14:paraId="155282AD" w14:textId="77777777" w:rsidTr="00E84E53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623F4" w14:textId="77777777" w:rsidR="00CD47EC" w:rsidRPr="00111BF7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FDF951" w14:textId="77777777" w:rsidR="00CD47EC" w:rsidRPr="00111BF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111BF7" w14:paraId="044CEA79" w14:textId="77777777" w:rsidTr="00E84E53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BF00E" w14:textId="48583BF0" w:rsidR="00CD47EC" w:rsidRPr="00111BF7" w:rsidRDefault="002E218A" w:rsidP="00FA1914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50E51" w14:textId="77777777" w:rsidR="00CD47EC" w:rsidRPr="00111BF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33355" w14:textId="77777777" w:rsidR="00CD47EC" w:rsidRPr="00111BF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53206" w14:textId="77777777" w:rsidR="00CD47EC" w:rsidRPr="00111BF7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E84E53" w:rsidRPr="00111BF7" w14:paraId="73B699EE" w14:textId="77777777" w:rsidTr="00E84E53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BAB826" w14:textId="059F8BB8" w:rsidR="00E84E53" w:rsidRPr="00111BF7" w:rsidRDefault="00E84E53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ADE853" w14:textId="77777777" w:rsidR="00E84E53" w:rsidRPr="00111BF7" w:rsidRDefault="00E84E53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B9204E" w:rsidRPr="00111BF7" w14:paraId="5F069FE1" w14:textId="77777777" w:rsidTr="00E84E53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7888850" w14:textId="7C0041D2" w:rsidR="00B9204E" w:rsidRPr="00111BF7" w:rsidRDefault="00B9204E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Елиминација документ</w:t>
                  </w:r>
                  <w:r w:rsidR="00FA1914" w:rsidRPr="00111BF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E25740" w14:textId="77777777" w:rsidR="00B9204E" w:rsidRPr="00111BF7" w:rsidRDefault="00B9204E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53A2B8F" w14:textId="4F4EAB38" w:rsidR="00B9204E" w:rsidRPr="00111BF7" w:rsidRDefault="00E84E53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A5E9CA" w14:textId="77777777" w:rsidR="00B9204E" w:rsidRPr="00111BF7" w:rsidRDefault="00B9204E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E84E53" w:rsidRPr="00111BF7" w14:paraId="7F6BDD6B" w14:textId="77777777" w:rsidTr="00E84E53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1ABBFA" w14:textId="25474A40" w:rsidR="00E84E53" w:rsidRPr="00111BF7" w:rsidRDefault="00E84E53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Промена форме документа</w:t>
                  </w:r>
                  <w:r w:rsidR="00FA1914" w:rsidRPr="00111BF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AA3817" w14:textId="77777777" w:rsidR="00E84E53" w:rsidRPr="00111BF7" w:rsidRDefault="00E84E53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36B521" w14:textId="336A27D1" w:rsidR="00E84E53" w:rsidRPr="00111BF7" w:rsidRDefault="00E84E53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CF869C" w14:textId="77777777" w:rsidR="00E84E53" w:rsidRPr="00111BF7" w:rsidRDefault="00E84E53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E84E53" w:rsidRPr="00111BF7" w14:paraId="31441DF2" w14:textId="77777777" w:rsidTr="00E84E53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288F3D" w14:textId="4CA7CC24" w:rsidR="00E84E53" w:rsidRPr="00111BF7" w:rsidRDefault="00E84E53" w:rsidP="00F236C0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111BF7">
                    <w:rPr>
                      <w:rFonts w:ascii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Подношење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D3B7F0" w14:textId="77777777" w:rsidR="00E84E53" w:rsidRPr="00111BF7" w:rsidRDefault="00E84E53" w:rsidP="00F236C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F236C0" w:rsidRPr="00111BF7" w14:paraId="7A8F1658" w14:textId="77777777" w:rsidTr="00E84E53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52984A" w14:textId="5C4F554C" w:rsidR="00F236C0" w:rsidRPr="00111BF7" w:rsidRDefault="00F236C0" w:rsidP="00F236C0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111BF7">
                    <w:rPr>
                      <w:rFonts w:ascii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A8F625" w14:textId="77777777" w:rsidR="00F236C0" w:rsidRPr="00111BF7" w:rsidRDefault="00F236C0" w:rsidP="00F236C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F7CA2C" w14:textId="6A8824BD" w:rsidR="00F236C0" w:rsidRPr="00111BF7" w:rsidRDefault="00F236C0" w:rsidP="00F236C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13E6EE" w14:textId="77777777" w:rsidR="00F236C0" w:rsidRPr="00111BF7" w:rsidRDefault="00F236C0" w:rsidP="00F236C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F236C0" w:rsidRPr="00111BF7" w14:paraId="6B74956C" w14:textId="77777777" w:rsidTr="00E84E53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BD5BF8" w14:textId="77777777" w:rsidR="00F236C0" w:rsidRPr="00111BF7" w:rsidRDefault="00F236C0" w:rsidP="00F236C0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Рокови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7E32EE" w14:textId="77777777" w:rsidR="00F236C0" w:rsidRPr="00111BF7" w:rsidRDefault="00F236C0" w:rsidP="00F236C0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F236C0" w:rsidRPr="00111BF7" w14:paraId="1DF823A6" w14:textId="77777777" w:rsidTr="00E84E53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953C94" w14:textId="5584AB88" w:rsidR="00F236C0" w:rsidRPr="00111BF7" w:rsidRDefault="00F236C0" w:rsidP="00F236C0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Прописивање рока посебним прописом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41ECC7" w14:textId="6CF24AF0" w:rsidR="00F236C0" w:rsidRPr="00111BF7" w:rsidRDefault="00F236C0" w:rsidP="00F236C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Х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25879B" w14:textId="2631BB0C" w:rsidR="00F236C0" w:rsidRPr="00111BF7" w:rsidRDefault="00F236C0" w:rsidP="00F236C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CFFBB5" w14:textId="5CE17786" w:rsidR="00F236C0" w:rsidRPr="00111BF7" w:rsidRDefault="00F236C0" w:rsidP="00F236C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1 </w:t>
                  </w:r>
                </w:p>
              </w:tc>
            </w:tr>
            <w:tr w:rsidR="00E84E53" w:rsidRPr="00111BF7" w14:paraId="12FFF1A6" w14:textId="77777777" w:rsidTr="00E84E53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57D5D8" w14:textId="158BA482" w:rsidR="00E84E53" w:rsidRPr="00111BF7" w:rsidRDefault="00E84E53" w:rsidP="00F236C0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Евиденције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39D728" w14:textId="77777777" w:rsidR="00E84E53" w:rsidRPr="00111BF7" w:rsidRDefault="00E84E53" w:rsidP="00F236C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F236C0" w:rsidRPr="00111BF7" w14:paraId="1962C509" w14:textId="77777777" w:rsidTr="00E84E53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A29A0" w14:textId="16F09E3E" w:rsidR="00F236C0" w:rsidRPr="00111BF7" w:rsidRDefault="00D768F2" w:rsidP="00F236C0">
                  <w:pPr>
                    <w:pStyle w:val="NormalWeb"/>
                    <w:spacing w:before="0" w:beforeAutospacing="0" w:after="0" w:afterAutospacing="0"/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111BF7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В</w:t>
                  </w:r>
                  <w:r w:rsidR="00F236C0" w:rsidRPr="00111BF7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ођењ</w:t>
                  </w:r>
                  <w:r w:rsidRPr="00111BF7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</w:t>
                  </w:r>
                  <w:r w:rsidR="00F236C0" w:rsidRPr="00111BF7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 xml:space="preserve"> евиденције и јавна доступност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FBA8EF" w14:textId="585FC184" w:rsidR="00F236C0" w:rsidRPr="00111BF7" w:rsidRDefault="00F236C0" w:rsidP="00F236C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8C8915" w14:textId="2A642863" w:rsidR="00F236C0" w:rsidRPr="00111BF7" w:rsidRDefault="00D768F2" w:rsidP="00F236C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111BF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739D35" w14:textId="509DFF80" w:rsidR="00F236C0" w:rsidRPr="00111BF7" w:rsidRDefault="00F236C0" w:rsidP="00F236C0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F18BA1A" w14:textId="77777777" w:rsidR="007D39E4" w:rsidRPr="00111BF7" w:rsidRDefault="007D39E4" w:rsidP="00B67138">
            <w:pPr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32A845F9" w14:textId="48C65F53" w:rsidR="007D39E4" w:rsidRPr="00111BF7" w:rsidRDefault="007D39E4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111BF7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111BF7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11BF7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CB197B" w14:paraId="72ECB386" w14:textId="77777777" w:rsidTr="00C23C32">
        <w:tc>
          <w:tcPr>
            <w:tcW w:w="9062" w:type="dxa"/>
          </w:tcPr>
          <w:p w14:paraId="3E637809" w14:textId="44A90DD2" w:rsidR="00287AFC" w:rsidRPr="00111BF7" w:rsidRDefault="00287AFC" w:rsidP="00287AFC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D1F8B05" w14:textId="7017068E" w:rsidR="00833F48" w:rsidRPr="00111BF7" w:rsidRDefault="00833F48" w:rsidP="008A20C1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111BF7">
              <w:rPr>
                <w:b/>
                <w:sz w:val="22"/>
                <w:szCs w:val="22"/>
                <w:u w:val="single"/>
                <w:lang w:val="sr-Cyrl-RS"/>
              </w:rPr>
              <w:t>Прибављање података по службеној дужности</w:t>
            </w:r>
          </w:p>
          <w:p w14:paraId="2A5C12E8" w14:textId="77777777" w:rsidR="0097696A" w:rsidRPr="00111BF7" w:rsidRDefault="0097696A" w:rsidP="0097696A">
            <w:pPr>
              <w:pStyle w:val="odluka-zakon"/>
              <w:shd w:val="clear" w:color="auto" w:fill="FFFFFF"/>
              <w:spacing w:before="225" w:after="225"/>
              <w:jc w:val="both"/>
              <w:rPr>
                <w:sz w:val="22"/>
                <w:szCs w:val="22"/>
                <w:lang w:val="sr-Cyrl-RS"/>
              </w:rPr>
            </w:pPr>
            <w:r w:rsidRPr="00111BF7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6DEDF0B2" w14:textId="19BA5E69" w:rsidR="00833F48" w:rsidRPr="00111BF7" w:rsidRDefault="00833F48" w:rsidP="008A20C1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Документ 2: </w:t>
            </w:r>
            <w:r w:rsidR="004257FB" w:rsidRPr="00111BF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Извод о регистрацији привредног субјекта</w:t>
            </w:r>
          </w:p>
          <w:p w14:paraId="1501F4A1" w14:textId="77777777" w:rsidR="00E800D7" w:rsidRPr="00111BF7" w:rsidRDefault="00E800D7" w:rsidP="00E800D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Прибављање података о регистрованим субјектима по службеној дужности је потребно спровести </w:t>
            </w: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увидом у регистар привредних субјеката АПР-а.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Како би се ово омогућило, у обрасцу захтева је потребно затражити и матични број привредног субјекта.</w:t>
            </w:r>
          </w:p>
          <w:p w14:paraId="3026F190" w14:textId="77777777" w:rsidR="004D372B" w:rsidRPr="00111BF7" w:rsidRDefault="004D372B" w:rsidP="00E800D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726C206" w14:textId="77469A3B" w:rsidR="004257FB" w:rsidRPr="00111BF7" w:rsidRDefault="004257FB" w:rsidP="004257FB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Документ: Уговори о раду са лицима која обављају послове за које се издаје овлашћење</w:t>
            </w:r>
          </w:p>
          <w:p w14:paraId="34EE4A47" w14:textId="6A0CD43A" w:rsidR="004257FB" w:rsidRPr="00111BF7" w:rsidRDefault="004257FB" w:rsidP="004257FB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Документ: Потврде о поднетој пријави осигурања за лица која обављају послове за које се издаје овлашћење</w:t>
            </w:r>
          </w:p>
          <w:p w14:paraId="758E1B31" w14:textId="27F3984E" w:rsidR="004C1E43" w:rsidRPr="00111BF7" w:rsidRDefault="004C1E43" w:rsidP="004C1E4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Ови документи</w:t>
            </w:r>
            <w:r w:rsidR="004257FB"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потражују од подносиоца захтева као доказ да има запослена лица одговарајуће струке и да су запослени пријављени на обавезно социјално осигурање. </w:t>
            </w:r>
          </w:p>
          <w:p w14:paraId="67B6214E" w14:textId="77777777" w:rsidR="004C1E43" w:rsidRPr="00111BF7" w:rsidRDefault="004C1E43" w:rsidP="004C1E4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68116BD" w14:textId="77777777" w:rsidR="006327AB" w:rsidRPr="00111BF7" w:rsidRDefault="006327AB" w:rsidP="006327A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bookmarkStart w:id="0" w:name="_Hlk523229423"/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тако што ће се проверити радни статус запослених лица путем информационог система еЗУП на порталу е-Управа</w:t>
            </w:r>
            <w:r w:rsidRPr="00111BF7">
              <w:rPr>
                <w:rStyle w:val="FootnoteReference"/>
                <w:rFonts w:ascii="Times New Roman" w:hAnsi="Times New Roman"/>
                <w:sz w:val="22"/>
                <w:szCs w:val="22"/>
              </w:rPr>
              <w:footnoteReference w:id="1"/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увидом у базу Централног регистра обавезног социјалног осигурања – ЦРОСО или путем </w:t>
            </w:r>
            <w:r w:rsidRPr="00111BF7">
              <w:rPr>
                <w:rFonts w:ascii="Times New Roman" w:hAnsi="Times New Roman"/>
                <w:sz w:val="22"/>
                <w:szCs w:val="22"/>
              </w:rPr>
              <w:t>web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сервиса, у складу са Споразумом о размени података, закљученом између Министарства унутрашњих послова и ЦРОСО-а.  </w:t>
            </w:r>
          </w:p>
          <w:bookmarkEnd w:id="0"/>
          <w:p w14:paraId="12703DBD" w14:textId="5558FC13" w:rsidR="00BF0CFF" w:rsidRPr="00111BF7" w:rsidRDefault="00BF0CFF" w:rsidP="004C1E43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128ACF0" w14:textId="76FD3A39" w:rsidR="004C1E43" w:rsidRPr="00111BF7" w:rsidRDefault="004C1E43" w:rsidP="004C1E4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Како би се ово омогућило, у обрасцу захтева је потребно затражити неопходне информације о лицима, за које је потребно утврдити ову чињеницу (име и презиме, ЈМБГ уз изјаву о заштити подата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ка)</w:t>
            </w:r>
            <w:r w:rsidRPr="00111BF7">
              <w:rPr>
                <w:rStyle w:val="FootnoteReference"/>
                <w:rFonts w:ascii="Times New Roman" w:hAnsi="Times New Roman"/>
                <w:sz w:val="22"/>
                <w:szCs w:val="22"/>
                <w:lang w:val="sr-Cyrl-RS"/>
              </w:rPr>
              <w:footnoteReference w:id="2"/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5FF1D10B" w14:textId="77777777" w:rsidR="00E9118D" w:rsidRPr="00111BF7" w:rsidRDefault="00E9118D" w:rsidP="004C1E4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981425D" w14:textId="6F325453" w:rsidR="004C1E43" w:rsidRPr="00111BF7" w:rsidRDefault="00596166" w:rsidP="00596166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Доказ о основу коришћења простора за рад (Потврда о власништву простора, Купопродајни уговор или Уговор о закупу простора за рад) </w:t>
            </w:r>
          </w:p>
          <w:p w14:paraId="17D68EF7" w14:textId="62F26CFD" w:rsidR="00596166" w:rsidRPr="00111BF7" w:rsidRDefault="00596166" w:rsidP="00596166">
            <w:pPr>
              <w:spacing w:after="15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Када је у питању потврда о </w:t>
            </w:r>
            <w:r w:rsidR="00D60C59" w:rsidRPr="00111BF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књижном </w:t>
            </w:r>
            <w:r w:rsidRPr="00111BF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власништву простора, предлаже се да надлежан орган прибави потребне податке путем еЗУП-а, из регистра непокретности Републичког геодетског завода. </w:t>
            </w:r>
          </w:p>
          <w:p w14:paraId="1D375E11" w14:textId="0A6D8279" w:rsidR="00596166" w:rsidRPr="00111BF7" w:rsidRDefault="00596166" w:rsidP="00596166">
            <w:pPr>
              <w:spacing w:after="15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Како би се ово омогућило, у обрасцу захтева је потребно од подносиоца захтева затражити неопходне информације о томе да је подносилац власник простора, бр. катастарске парцеле и катастарској општини. </w:t>
            </w:r>
          </w:p>
          <w:p w14:paraId="65160C30" w14:textId="785B3EE9" w:rsidR="00596166" w:rsidRPr="00111BF7" w:rsidRDefault="00DB2794" w:rsidP="009A31BD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Доказ о компетентности, односно акредитацији правног лица за обављање послова контролисања за врсте послова за које је поднет захтев за издавање овлашћења</w:t>
            </w:r>
          </w:p>
          <w:p w14:paraId="3486E926" w14:textId="506BC8E3" w:rsidR="00B147AC" w:rsidRPr="00111BF7" w:rsidRDefault="00DB2794" w:rsidP="00B147A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прибављање података по службеној дужности од Акредитационог тела Србије</w:t>
            </w:r>
            <w:r w:rsidR="00B147AC"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. Прибављање података по службеној дужности се може спровести на један од следећих начина:</w:t>
            </w:r>
          </w:p>
          <w:p w14:paraId="36AB26D4" w14:textId="77777777" w:rsidR="00B147AC" w:rsidRPr="00111BF7" w:rsidRDefault="00B147AC" w:rsidP="00B147AC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Путем</w:t>
            </w: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информационог система еЗУП на порталу е-Управа</w:t>
            </w:r>
            <w:r w:rsidRPr="00111BF7">
              <w:rPr>
                <w:rStyle w:val="FootnoteReference"/>
                <w:rFonts w:ascii="Times New Roman" w:eastAsia="Times New Roman" w:hAnsi="Times New Roman"/>
                <w:sz w:val="22"/>
                <w:szCs w:val="22"/>
                <w:lang w:val="sr-Cyrl-RS"/>
              </w:rPr>
              <w:footnoteReference w:id="3"/>
            </w: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: </w:t>
            </w:r>
          </w:p>
          <w:p w14:paraId="5EFD6C8E" w14:textId="1AE4CD2B" w:rsidR="00B147AC" w:rsidRPr="00111BF7" w:rsidRDefault="00B147AC" w:rsidP="00B147AC">
            <w:pPr>
              <w:pStyle w:val="ListParagraph"/>
              <w:numPr>
                <w:ilvl w:val="1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Увидом у постојеће базе података различитих органа (када Акредитационо тело буде обезбедило приступ бази) или</w:t>
            </w:r>
          </w:p>
          <w:p w14:paraId="3B3A5FC0" w14:textId="77777777" w:rsidR="00B147AC" w:rsidRPr="00111BF7" w:rsidRDefault="00B147AC" w:rsidP="00B147AC">
            <w:pPr>
              <w:pStyle w:val="NormalWeb"/>
              <w:numPr>
                <w:ilvl w:val="1"/>
                <w:numId w:val="38"/>
              </w:numPr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111BF7">
              <w:rPr>
                <w:sz w:val="22"/>
                <w:szCs w:val="22"/>
                <w:lang w:val="sr-Cyrl-RS"/>
              </w:rPr>
              <w:t>Коришћењем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 (потребно да систему приступе оба органа).</w:t>
            </w:r>
          </w:p>
          <w:p w14:paraId="49780C43" w14:textId="4E3DB0A3" w:rsidR="00B147AC" w:rsidRPr="00111BF7" w:rsidRDefault="00B147AC" w:rsidP="00B147AC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Путем имејл кореспонденције са Акредитационим телом. Предуслов за ову активност је поседовање е-налога електронске поште и електронског квалификованог сертификата овлашћеног службеног лица. </w:t>
            </w:r>
          </w:p>
          <w:p w14:paraId="2FAE40CC" w14:textId="095FA46B" w:rsidR="005B49DA" w:rsidRPr="00111BF7" w:rsidRDefault="005B49DA" w:rsidP="005B49DA">
            <w:pPr>
              <w:spacing w:before="100" w:beforeAutospacing="1" w:afterAutospacing="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ru-RU"/>
              </w:rPr>
              <w:t>Како би се ово омогућило, у обрасцу захтева је потребно затражити неопходне информације о акредитацији привредног субјекта, за које је потребно утврдити ову чињеницу (бр. и датум издавања акта и сл.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="004D372B"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6AE7A10B" w14:textId="531A0F31" w:rsidR="0060209C" w:rsidRPr="00111BF7" w:rsidRDefault="00B147AC" w:rsidP="00B147AC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111BF7">
              <w:rPr>
                <w:rFonts w:eastAsia="Calibri"/>
                <w:b/>
                <w:sz w:val="22"/>
                <w:szCs w:val="22"/>
                <w:lang w:val="sr-Cyrl-RS"/>
              </w:rPr>
              <w:lastRenderedPageBreak/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111BF7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2C1E7D80" w14:textId="77777777" w:rsidR="000A34F5" w:rsidRPr="00111BF7" w:rsidRDefault="000A34F5" w:rsidP="00CC48FF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111BF7">
              <w:rPr>
                <w:b/>
                <w:bCs/>
                <w:color w:val="000000"/>
                <w:sz w:val="22"/>
                <w:szCs w:val="22"/>
                <w:u w:val="single"/>
                <w:lang w:val="sr-Cyrl-RS" w:eastAsia="en-GB"/>
              </w:rPr>
              <w:t xml:space="preserve">Утврђивање правног  основа и потребне документације </w:t>
            </w:r>
            <w:r w:rsidRPr="00111BF7">
              <w:rPr>
                <w:i/>
                <w:iCs/>
                <w:color w:val="000000"/>
                <w:sz w:val="22"/>
                <w:szCs w:val="22"/>
                <w:u w:val="single"/>
                <w:lang w:val="sr-Cyrl-RS" w:eastAsia="en-GB"/>
              </w:rPr>
              <w:t xml:space="preserve"> </w:t>
            </w:r>
          </w:p>
          <w:p w14:paraId="1D09AC1A" w14:textId="77777777" w:rsidR="000A34F5" w:rsidRPr="00111BF7" w:rsidRDefault="000A34F5" w:rsidP="000A34F5">
            <w:pPr>
              <w:pStyle w:val="NormalWeb"/>
              <w:spacing w:before="0" w:beforeAutospacing="0" w:after="0" w:afterAutospacing="0"/>
              <w:rPr>
                <w:i/>
                <w:iCs/>
                <w:color w:val="000000"/>
                <w:sz w:val="22"/>
                <w:szCs w:val="22"/>
                <w:lang w:val="sr-Cyrl-RS" w:eastAsia="en-GB"/>
              </w:rPr>
            </w:pPr>
          </w:p>
          <w:p w14:paraId="5999380A" w14:textId="28C15C96" w:rsidR="00833F48" w:rsidRPr="00111BF7" w:rsidRDefault="00833F48" w:rsidP="000A34F5">
            <w:pPr>
              <w:pStyle w:val="NormalWeb"/>
              <w:spacing w:before="0" w:beforeAutospacing="0" w:after="0" w:afterAutospacing="0"/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Прописивање </w:t>
            </w:r>
            <w:r w:rsidR="00DA68A8" w:rsidRPr="00111BF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начина провере испуњености услова и</w:t>
            </w:r>
            <w:r w:rsidR="00DA68A8" w:rsidRPr="00111BF7">
              <w:rPr>
                <w:i/>
                <w:iCs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  <w:r w:rsidRPr="00111BF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потребне документације</w:t>
            </w:r>
          </w:p>
          <w:p w14:paraId="528BE578" w14:textId="2B034CD7" w:rsidR="00833F48" w:rsidRPr="00111BF7" w:rsidRDefault="00833F48" w:rsidP="00833F48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Како би се обезбедила потпуна правна сигурност привредних субјеката, предлаже се прописавање начина провере испуњености услова и потребне документације, која се доставља приликом подношења захтева.</w:t>
            </w:r>
          </w:p>
          <w:p w14:paraId="74ECB218" w14:textId="77777777" w:rsidR="00D60C59" w:rsidRPr="00111BF7" w:rsidRDefault="00833F48" w:rsidP="007D1596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Потребно је подзаконским актом прецизирати да</w:t>
            </w:r>
            <w:r w:rsidR="00D60C59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:</w:t>
            </w:r>
          </w:p>
          <w:p w14:paraId="38948CF9" w14:textId="0C10F907" w:rsidR="00833F48" w:rsidRPr="00111BF7" w:rsidRDefault="00833F48" w:rsidP="0096220A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испуњеност прописаних услова у погледу </w:t>
            </w:r>
            <w:r w:rsidR="007D1596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регистрације привредног субјекта, </w:t>
            </w:r>
            <w:r w:rsidR="008D7778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укњиженог </w:t>
            </w:r>
            <w:r w:rsidR="0076211E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власништва простора, </w:t>
            </w:r>
            <w:r w:rsidR="007D1596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акредитације привредног субјекта, </w:t>
            </w: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запослења лица одговарајуће струке, поседовања лиценце и уверења о положеном стручном испиту проверава надлежни орган, по службеној дужности</w:t>
            </w:r>
            <w:r w:rsidR="00D60C59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;</w:t>
            </w:r>
          </w:p>
          <w:p w14:paraId="35F10074" w14:textId="74166B38" w:rsidR="00833F48" w:rsidRPr="00111BF7" w:rsidRDefault="00833F48" w:rsidP="0096220A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испуњеност прописаних услова у погледу поседовања </w:t>
            </w:r>
            <w:r w:rsidR="00D60C59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опреме, уређаја и алата потребних за обављање послова за коју се издаје овлашћење,</w:t>
            </w: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надлежни орган проверава на лицу места, у пословном простору подносиоца захтева.</w:t>
            </w:r>
          </w:p>
          <w:p w14:paraId="36F85713" w14:textId="77777777" w:rsidR="00833F48" w:rsidRPr="00111BF7" w:rsidRDefault="00833F48" w:rsidP="00CC48FF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Такође, подзаконским актом је потребно прецизирати да се уз захтев подноси искључиво следећа документација):</w:t>
            </w:r>
          </w:p>
          <w:p w14:paraId="3792C1F6" w14:textId="203F9EB9" w:rsidR="0076211E" w:rsidRPr="00111BF7" w:rsidRDefault="0076211E" w:rsidP="0076211E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Списак запослених лица која ће обављати послове за које се издаје овлашћење</w:t>
            </w:r>
            <w:r w:rsidR="00856CC5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1427CDEA" w14:textId="01C68640" w:rsidR="0076211E" w:rsidRPr="00111BF7" w:rsidRDefault="0076211E" w:rsidP="0076211E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Докази о образовном профилу и степену образовања лица која ће обављати послове за које се издаје овлашћење</w:t>
            </w:r>
            <w:r w:rsidR="00856CC5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- копије </w:t>
            </w:r>
          </w:p>
          <w:p w14:paraId="3FE0D6F8" w14:textId="3818F6B4" w:rsidR="0076211E" w:rsidRPr="00111BF7" w:rsidRDefault="0076211E" w:rsidP="0076211E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Доказ о основу коришћења простора за рад</w:t>
            </w:r>
            <w:r w:rsidR="008D7778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, </w:t>
            </w:r>
            <w:r w:rsidR="00287AFC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када</w:t>
            </w:r>
            <w:r w:rsidR="008D7778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није у питању књижно власништво</w:t>
            </w: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(Купопродајни уговор</w:t>
            </w:r>
            <w:r w:rsidR="008D7778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, </w:t>
            </w: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Уговор о закупу простора за рад</w:t>
            </w:r>
            <w:r w:rsidR="008D7778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и сл)</w:t>
            </w:r>
            <w:r w:rsidR="00856CC5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 - копија </w:t>
            </w:r>
          </w:p>
          <w:p w14:paraId="4C484ECD" w14:textId="77777777" w:rsidR="00287AFC" w:rsidRPr="00111BF7" w:rsidRDefault="00287AFC" w:rsidP="00C31534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Списак прописане опреме, уређаја и алата за обављање послова за које се издаје овлашћење са наведеним фабричким и инвентарским бројем </w:t>
            </w:r>
          </w:p>
          <w:p w14:paraId="7532C0FB" w14:textId="30BD2CBD" w:rsidR="008D7778" w:rsidRPr="00111BF7" w:rsidRDefault="008D7778" w:rsidP="00C31534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Докази о испуњености услова за опрему, уређаје и алате за обављање послова за које се издаје овлашћење, а који подлежу одредбама прописа о испуњавању метролошких услова</w:t>
            </w:r>
            <w:r w:rsidR="00856CC5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- копије </w:t>
            </w:r>
          </w:p>
          <w:p w14:paraId="2E2447D6" w14:textId="00DBD78B" w:rsidR="00833F48" w:rsidRPr="00111BF7" w:rsidRDefault="00833F48" w:rsidP="00CC48FF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Доказ</w:t>
            </w:r>
            <w:r w:rsidR="008D7778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/и</w:t>
            </w: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о уплати таксе/и.  </w:t>
            </w:r>
          </w:p>
          <w:p w14:paraId="31D88D08" w14:textId="77777777" w:rsidR="00287AFC" w:rsidRPr="00111BF7" w:rsidRDefault="00287AFC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69C0A782" w14:textId="77777777" w:rsidR="00E9118D" w:rsidRPr="00111BF7" w:rsidRDefault="00833F48" w:rsidP="00E9118D">
            <w:pPr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потребно је изменити и допунити </w:t>
            </w:r>
            <w:r w:rsidR="008D7778" w:rsidRPr="00111BF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Правилник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("Сл. гласник РС", бр. 52/2015-4, 59/2016-20).</w:t>
            </w:r>
          </w:p>
          <w:p w14:paraId="615CBC48" w14:textId="71197213" w:rsidR="00C82093" w:rsidRPr="00111BF7" w:rsidRDefault="00C82093" w:rsidP="00833F48">
            <w:pPr>
              <w:pStyle w:val="ListParagraph"/>
              <w:spacing w:before="120" w:after="120"/>
              <w:ind w:left="67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62071477" w14:textId="77777777" w:rsidR="000A34F5" w:rsidRPr="00111BF7" w:rsidRDefault="000A34F5" w:rsidP="00CC48FF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111BF7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Образац административног захтева</w:t>
            </w:r>
          </w:p>
          <w:p w14:paraId="283D96FD" w14:textId="77777777" w:rsidR="000A34F5" w:rsidRPr="00111BF7" w:rsidRDefault="000A34F5" w:rsidP="000A34F5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09DE7EA1" w14:textId="0122B19B" w:rsidR="00DA68A8" w:rsidRPr="00111BF7" w:rsidRDefault="00833F48" w:rsidP="000A34F5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Увођење обрасца захтева</w:t>
            </w:r>
          </w:p>
          <w:p w14:paraId="40D01857" w14:textId="4D13C0F6" w:rsidR="00833F48" w:rsidRPr="00111BF7" w:rsidRDefault="00833F48" w:rsidP="00DA68A8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F06187D" w14:textId="77777777" w:rsidR="00DA68A8" w:rsidRPr="00111BF7" w:rsidRDefault="00DA68A8" w:rsidP="00DA68A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508F5998" w14:textId="05CC4D01" w:rsidR="00CC48FF" w:rsidRPr="00111BF7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33717E5F" w14:textId="77777777" w:rsidR="00111BF7" w:rsidRPr="00111BF7" w:rsidRDefault="00111BF7" w:rsidP="00C03AB0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2409C114" w14:textId="77777777" w:rsidR="00111BF7" w:rsidRPr="00111BF7" w:rsidRDefault="00111BF7" w:rsidP="00C03AB0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111BF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2540E972" w14:textId="77777777" w:rsidR="00111BF7" w:rsidRPr="00111BF7" w:rsidRDefault="00111BF7" w:rsidP="00C03AB0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46487156" w14:textId="77777777" w:rsidR="00111BF7" w:rsidRPr="00111BF7" w:rsidRDefault="00111BF7" w:rsidP="00C03AB0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матични број, адреса електронске поште);</w:t>
            </w:r>
          </w:p>
          <w:p w14:paraId="6430CF8D" w14:textId="77777777" w:rsidR="00111BF7" w:rsidRPr="00111BF7" w:rsidRDefault="00111BF7" w:rsidP="00C03AB0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((информације о власнику простора, бр. катастарске парцеле и катастарској општини, име и презиме и ЈМБГ запослених лица за које се проверава пријава осигурања, уз изјаву о заштити података, име и презиме и ЈМБГ лица са лиценцом и положеним стручним испитом, уз изјаву о заштити података, подаци о књижном власнику, бр. катастарске парцеле, катастарска општина, бр. и датум издавања акта о акредитацији и сл.)</w:t>
            </w:r>
            <w:r w:rsidRPr="00111BF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F972FDC" w14:textId="77777777" w:rsidR="00111BF7" w:rsidRPr="00111BF7" w:rsidRDefault="00111BF7" w:rsidP="00C03AB0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2613EA62" w14:textId="77777777" w:rsidR="00111BF7" w:rsidRPr="00111BF7" w:rsidRDefault="00111BF7" w:rsidP="00C03AB0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743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651374CF" w14:textId="77777777" w:rsidR="00111BF7" w:rsidRPr="00111BF7" w:rsidRDefault="00111BF7" w:rsidP="00C03AB0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743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367526C8" w14:textId="77777777" w:rsidR="00111BF7" w:rsidRPr="00111BF7" w:rsidRDefault="00111BF7" w:rsidP="00C03AB0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743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75D8A9E" w14:textId="77777777" w:rsidR="00111BF7" w:rsidRPr="00111BF7" w:rsidRDefault="00111BF7" w:rsidP="00C03AB0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743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6A9B9F92" w14:textId="77777777" w:rsidR="00111BF7" w:rsidRPr="00111BF7" w:rsidRDefault="00111BF7" w:rsidP="00C03AB0">
            <w:pPr>
              <w:numPr>
                <w:ilvl w:val="1"/>
                <w:numId w:val="32"/>
              </w:numPr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6F458B83" w14:textId="77777777" w:rsidR="00111BF7" w:rsidRPr="00111BF7" w:rsidRDefault="00111BF7" w:rsidP="00C03AB0">
            <w:pPr>
              <w:shd w:val="clear" w:color="auto" w:fill="FFFFFF"/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5A061ADF" w14:textId="77777777" w:rsidR="00111BF7" w:rsidRPr="00111BF7" w:rsidRDefault="00111BF7" w:rsidP="00C03AB0">
            <w:pPr>
              <w:shd w:val="clear" w:color="auto" w:fill="FFFFFF"/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3741C7A3" w14:textId="77777777" w:rsidR="00111BF7" w:rsidRPr="00111BF7" w:rsidRDefault="00111BF7" w:rsidP="00C03AB0">
            <w:pPr>
              <w:shd w:val="clear" w:color="auto" w:fill="FFFFFF"/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71947DE5" w14:textId="77777777" w:rsidR="00111BF7" w:rsidRPr="00111BF7" w:rsidRDefault="00111BF7" w:rsidP="00C03AB0">
            <w:pPr>
              <w:shd w:val="clear" w:color="auto" w:fill="FFFFFF"/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68AEB78B" w14:textId="77777777" w:rsidR="00111BF7" w:rsidRPr="00111BF7" w:rsidRDefault="00111BF7" w:rsidP="00C03AB0">
            <w:pPr>
              <w:numPr>
                <w:ilvl w:val="1"/>
                <w:numId w:val="32"/>
              </w:numPr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11C44B5B" w14:textId="77777777" w:rsidR="00111BF7" w:rsidRPr="00111BF7" w:rsidRDefault="00111BF7" w:rsidP="00C03AB0">
            <w:pPr>
              <w:numPr>
                <w:ilvl w:val="1"/>
                <w:numId w:val="32"/>
              </w:numPr>
              <w:ind w:left="74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328B9F34" w14:textId="77777777" w:rsidR="00111BF7" w:rsidRPr="00111BF7" w:rsidRDefault="00111BF7" w:rsidP="00CB197B">
            <w:pPr>
              <w:ind w:left="42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16749C2" w14:textId="77777777" w:rsidR="00111BF7" w:rsidRPr="00111BF7" w:rsidRDefault="00111BF7" w:rsidP="00CB197B">
            <w:pPr>
              <w:ind w:left="42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2857656" w14:textId="77777777" w:rsidR="00111BF7" w:rsidRPr="00111BF7" w:rsidRDefault="00111BF7" w:rsidP="00CB197B">
            <w:pPr>
              <w:ind w:left="42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3519996F" w14:textId="77777777" w:rsidR="00111BF7" w:rsidRPr="00111BF7" w:rsidRDefault="00111BF7" w:rsidP="00CB197B">
            <w:pPr>
              <w:ind w:left="42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2200926" w14:textId="77777777" w:rsidR="00111BF7" w:rsidRPr="00111BF7" w:rsidRDefault="00111BF7" w:rsidP="00C03AB0">
            <w:pPr>
              <w:numPr>
                <w:ilvl w:val="1"/>
                <w:numId w:val="32"/>
              </w:numPr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</w:t>
            </w:r>
            <w:bookmarkStart w:id="1" w:name="_GoBack"/>
            <w:bookmarkEnd w:id="1"/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 решавање предмета </w:t>
            </w:r>
          </w:p>
          <w:p w14:paraId="120BB7C5" w14:textId="77777777" w:rsidR="00111BF7" w:rsidRPr="00111BF7" w:rsidRDefault="00111BF7" w:rsidP="00C03AB0">
            <w:pPr>
              <w:numPr>
                <w:ilvl w:val="1"/>
                <w:numId w:val="32"/>
              </w:numPr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6695C68C" w14:textId="77777777" w:rsidR="00111BF7" w:rsidRPr="00111BF7" w:rsidRDefault="00111BF7" w:rsidP="00CB197B">
            <w:pPr>
              <w:pStyle w:val="ListParagraph"/>
              <w:numPr>
                <w:ilvl w:val="0"/>
                <w:numId w:val="33"/>
              </w:numPr>
              <w:ind w:left="87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1AEEDBBA" w14:textId="77777777" w:rsidR="00111BF7" w:rsidRPr="00111BF7" w:rsidRDefault="00111BF7" w:rsidP="00CB197B">
            <w:pPr>
              <w:pStyle w:val="ListParagraph"/>
              <w:numPr>
                <w:ilvl w:val="0"/>
                <w:numId w:val="33"/>
              </w:numPr>
              <w:ind w:left="87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58703381" w14:textId="77777777" w:rsidR="00111BF7" w:rsidRPr="00111BF7" w:rsidRDefault="00111BF7" w:rsidP="00CB197B">
            <w:pPr>
              <w:pStyle w:val="ListParagraph"/>
              <w:numPr>
                <w:ilvl w:val="0"/>
                <w:numId w:val="33"/>
              </w:numPr>
              <w:ind w:left="87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6374B9E5" w14:textId="77777777" w:rsidR="00111BF7" w:rsidRPr="00111BF7" w:rsidRDefault="00111BF7" w:rsidP="00CB197B">
            <w:pPr>
              <w:pStyle w:val="ListParagraph"/>
              <w:numPr>
                <w:ilvl w:val="0"/>
                <w:numId w:val="33"/>
              </w:numPr>
              <w:ind w:left="87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100C84D3" w14:textId="77777777" w:rsidR="00111BF7" w:rsidRPr="00111BF7" w:rsidRDefault="00111BF7" w:rsidP="00CB197B">
            <w:pPr>
              <w:pStyle w:val="ListParagraph"/>
              <w:numPr>
                <w:ilvl w:val="0"/>
                <w:numId w:val="33"/>
              </w:numPr>
              <w:ind w:left="87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13C3FFA5" w14:textId="77777777" w:rsidR="00CC48FF" w:rsidRPr="00111BF7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13327A5" w14:textId="77777777" w:rsidR="00CC48FF" w:rsidRPr="00111BF7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0284C275" w14:textId="77777777" w:rsidR="00CC48FF" w:rsidRPr="00111BF7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8F4F11" w14:textId="0753C0C4" w:rsidR="00833F48" w:rsidRPr="00111BF7" w:rsidRDefault="00833F48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 xml:space="preserve">За примену ове препоруке, није </w:t>
            </w:r>
            <w:r w:rsidR="00CC48FF" w:rsidRPr="00111BF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потребна</w:t>
            </w:r>
            <w:r w:rsidRPr="00111BF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измена прописа. </w:t>
            </w:r>
          </w:p>
          <w:p w14:paraId="2D791CBD" w14:textId="77777777" w:rsidR="00626479" w:rsidRPr="00111BF7" w:rsidRDefault="00626479" w:rsidP="00E9118D">
            <w:pPr>
              <w:rPr>
                <w:rFonts w:ascii="Times New Roman" w:hAnsi="Times New Roman"/>
                <w:color w:val="00B050"/>
                <w:sz w:val="22"/>
                <w:szCs w:val="22"/>
                <w:lang w:val="sr-Cyrl-RS"/>
              </w:rPr>
            </w:pPr>
          </w:p>
          <w:p w14:paraId="392AA2BF" w14:textId="77777777" w:rsidR="00D768F2" w:rsidRPr="00111BF7" w:rsidRDefault="00D768F2" w:rsidP="00D768F2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111BF7">
              <w:rPr>
                <w:b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33B2595F" w14:textId="77777777" w:rsidR="00D768F2" w:rsidRPr="00111BF7" w:rsidRDefault="00D768F2" w:rsidP="00D768F2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5C1B5F23" w14:textId="77777777" w:rsidR="00D768F2" w:rsidRPr="00111BF7" w:rsidRDefault="00D768F2" w:rsidP="00D768F2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111BF7">
              <w:rPr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211DA273" w14:textId="77777777" w:rsidR="00D768F2" w:rsidRPr="00111BF7" w:rsidRDefault="00D768F2" w:rsidP="00D768F2">
            <w:pPr>
              <w:pStyle w:val="NormalWeb"/>
              <w:spacing w:before="0" w:beforeAutospacing="0" w:after="0" w:afterAutospacing="0"/>
              <w:ind w:left="99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08EDDC5D" w14:textId="77777777" w:rsidR="00D768F2" w:rsidRPr="00111BF7" w:rsidRDefault="00D768F2" w:rsidP="00D768F2">
            <w:pPr>
              <w:pStyle w:val="NormalWeb"/>
              <w:numPr>
                <w:ilvl w:val="0"/>
                <w:numId w:val="41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11BF7">
              <w:rPr>
                <w:b/>
                <w:sz w:val="22"/>
                <w:szCs w:val="22"/>
                <w:lang w:val="sr-Cyrl-RS"/>
              </w:rPr>
              <w:t xml:space="preserve">Документ 10: Захтев </w:t>
            </w:r>
          </w:p>
          <w:p w14:paraId="282B934F" w14:textId="77777777" w:rsidR="00D768F2" w:rsidRPr="00111BF7" w:rsidRDefault="00D768F2" w:rsidP="00D768F2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111BF7">
              <w:rPr>
                <w:sz w:val="22"/>
                <w:szCs w:val="22"/>
                <w:lang w:val="sr-Cyrl-RS"/>
              </w:rPr>
              <w:t xml:space="preserve">Како се захтев подноси у слободној форми, те како је дата препорука да се за захтев уведе стандардна форма обрасца (видети тачку 3.3), то се предлаже елиминација документа захтева који у слободној форми сачињава подносилац. </w:t>
            </w:r>
          </w:p>
          <w:p w14:paraId="2ABF0808" w14:textId="4157826E" w:rsidR="00D768F2" w:rsidRPr="00111BF7" w:rsidRDefault="00D768F2" w:rsidP="00D768F2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111BF7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111BF7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111BF7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18EAC745" w14:textId="77777777" w:rsidR="00FD1501" w:rsidRPr="00111BF7" w:rsidRDefault="00FD1501" w:rsidP="006E6A10">
            <w:pPr>
              <w:pStyle w:val="NormalWeb"/>
              <w:spacing w:before="0" w:beforeAutospacing="0" w:after="0" w:afterAutospacing="0"/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2AC43643" w14:textId="5B16E8B8" w:rsidR="006E6A10" w:rsidRPr="00111BF7" w:rsidRDefault="006E6A10" w:rsidP="006E6A1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111BF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документ</w:t>
            </w:r>
            <w:r w:rsidR="000A34F5" w:rsidRPr="00111BF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ације</w:t>
            </w:r>
          </w:p>
          <w:p w14:paraId="44627478" w14:textId="77777777" w:rsidR="006E6A10" w:rsidRPr="00111BF7" w:rsidRDefault="006E6A10" w:rsidP="006E6A10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111BF7">
              <w:rPr>
                <w:b/>
                <w:sz w:val="22"/>
                <w:szCs w:val="22"/>
                <w:lang w:val="sr-Cyrl-RS"/>
              </w:rPr>
              <w:t>•</w:t>
            </w:r>
            <w:r w:rsidRPr="00111BF7">
              <w:rPr>
                <w:b/>
                <w:sz w:val="22"/>
                <w:szCs w:val="22"/>
                <w:lang w:val="sr-Cyrl-RS"/>
              </w:rPr>
              <w:tab/>
              <w:t>Документ 9 и 11: Доказ о уплати Републичке административне таксе – за захтев и за издавање овлашћења правном лицу за бављење пословима контролисања</w:t>
            </w:r>
          </w:p>
          <w:p w14:paraId="42C16756" w14:textId="6A554DAE" w:rsidR="00895164" w:rsidRPr="00111BF7" w:rsidRDefault="00895164" w:rsidP="00895164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органи </w:t>
            </w:r>
            <w:r w:rsidR="00911ECD"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често траже 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10A61E6B" w14:textId="417C93EB" w:rsidR="00895164" w:rsidRPr="00111BF7" w:rsidRDefault="00895164" w:rsidP="00895164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111BF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</w:t>
            </w:r>
            <w:r w:rsidR="00585976"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уплати таксе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4FE9AFFC" w14:textId="77777777" w:rsidR="00895164" w:rsidRPr="00111BF7" w:rsidRDefault="00895164" w:rsidP="0089516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</w:rPr>
              <w:t>K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111BF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111BF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53112A77" w14:textId="77777777" w:rsidR="00895164" w:rsidRPr="00111BF7" w:rsidRDefault="00895164" w:rsidP="00895164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49701DA" w14:textId="77777777" w:rsidR="00895164" w:rsidRPr="00111BF7" w:rsidRDefault="00895164" w:rsidP="0089516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402EF43E" w14:textId="77777777" w:rsidR="00895164" w:rsidRPr="00111BF7" w:rsidRDefault="00895164" w:rsidP="00895164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45CC583" w14:textId="77777777" w:rsidR="00895164" w:rsidRPr="00111BF7" w:rsidRDefault="00895164" w:rsidP="00895164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56122E5F" w14:textId="77777777" w:rsidR="00895164" w:rsidRPr="00111BF7" w:rsidRDefault="00895164" w:rsidP="00895164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289CF0D" w14:textId="77777777" w:rsidR="00895164" w:rsidRPr="00111BF7" w:rsidRDefault="00895164" w:rsidP="00895164">
            <w:pPr>
              <w:pStyle w:val="ListParagraph"/>
              <w:numPr>
                <w:ilvl w:val="0"/>
                <w:numId w:val="45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19D4B159" w14:textId="77777777" w:rsidR="00BD2369" w:rsidRPr="00111BF7" w:rsidRDefault="00BD2369" w:rsidP="00BD2369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A006563" w14:textId="392EBAF3" w:rsidR="00BD2369" w:rsidRPr="00111BF7" w:rsidRDefault="00BD2369" w:rsidP="00BD2369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911ECD"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4BD8E5B6" w14:textId="77777777" w:rsidR="00895164" w:rsidRPr="00111BF7" w:rsidRDefault="00895164" w:rsidP="00895164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AF1559A" w14:textId="77777777" w:rsidR="00895164" w:rsidRPr="00111BF7" w:rsidRDefault="00895164" w:rsidP="0089516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776DD0A8" w14:textId="77777777" w:rsidR="00895164" w:rsidRPr="00111BF7" w:rsidRDefault="00895164" w:rsidP="006E6A1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734506FF" w14:textId="77777777" w:rsidR="006E6A10" w:rsidRPr="00111BF7" w:rsidRDefault="006E6A10" w:rsidP="006E6A10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11BF7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6DFA5F65" w14:textId="77777777" w:rsidR="00D768F2" w:rsidRPr="00111BF7" w:rsidRDefault="00D768F2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07AEF825" w14:textId="6F6BFF5C" w:rsidR="00F236C0" w:rsidRPr="00111BF7" w:rsidRDefault="00F236C0" w:rsidP="006C7167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111BF7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62996C57" w14:textId="3CD0A332" w:rsidR="00F236C0" w:rsidRPr="00111BF7" w:rsidRDefault="00F236C0" w:rsidP="00F236C0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</w:t>
            </w: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5A65F985" w14:textId="77777777" w:rsidR="0060209C" w:rsidRPr="00111BF7" w:rsidRDefault="0060209C" w:rsidP="0060209C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5E726228" w14:textId="77777777" w:rsidR="00F236C0" w:rsidRPr="00111BF7" w:rsidRDefault="00F236C0" w:rsidP="00F236C0">
            <w:pPr>
              <w:pStyle w:val="NormalWeb"/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5283F5D3" w14:textId="17064C41" w:rsidR="000A34F5" w:rsidRPr="00111BF7" w:rsidRDefault="000A34F5" w:rsidP="006C7167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111BF7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Рокови</w:t>
            </w:r>
          </w:p>
          <w:p w14:paraId="2B7A89D4" w14:textId="77777777" w:rsidR="000A34F5" w:rsidRPr="00111BF7" w:rsidRDefault="000A34F5" w:rsidP="000A34F5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13601E4E" w14:textId="45505E91" w:rsidR="00833F48" w:rsidRPr="00111BF7" w:rsidRDefault="00A06736" w:rsidP="000A34F5">
            <w:pPr>
              <w:pStyle w:val="NormalWeb"/>
              <w:spacing w:before="0" w:beforeAutospacing="0" w:after="0" w:afterAutospacing="0"/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Прописивање рок</w:t>
            </w:r>
            <w:r w:rsidR="006C7167" w:rsidRPr="00111BF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а</w:t>
            </w:r>
            <w:r w:rsidRPr="00111BF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посебним прописом</w:t>
            </w:r>
          </w:p>
          <w:p w14:paraId="69775966" w14:textId="77777777" w:rsidR="00833F48" w:rsidRPr="00111BF7" w:rsidRDefault="00833F48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22AD7E57" w14:textId="59C93B89" w:rsidR="00833F48" w:rsidRPr="00111BF7" w:rsidRDefault="00833F48" w:rsidP="00833F48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Посебним прописом није прописан рок за решавање уредног захтева, тако да се у оквиру овог поступка примењуј</w:t>
            </w:r>
            <w:r w:rsidR="00121AD2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  <w:t>e</w:t>
            </w: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рок</w:t>
            </w:r>
            <w:r w:rsidR="00121AD2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од 60 дана од покретања поступка</w:t>
            </w: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, прописан чланом 145. Закона о општем управном поступку ("Службени гласник РС" број 18 од 1. марта 2016.)</w:t>
            </w:r>
            <w:r w:rsidR="00121AD2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329D6C96" w14:textId="77777777" w:rsidR="00833F48" w:rsidRPr="00111BF7" w:rsidRDefault="00833F48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2844888" w14:textId="2AEF59AC" w:rsidR="00833F48" w:rsidRPr="00111BF7" w:rsidRDefault="00833F48" w:rsidP="00121AD2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Како је у обрасцу е-пописа наведено да је просечан рок за решавање уредног захтева </w:t>
            </w:r>
            <w:r w:rsidR="00121AD2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10</w:t>
            </w: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-20 дана, закључује се да просечно време решавања по захтеву није у корелацији са роковима, прописаним ЗОУП-ом. Руководећи се начелом делотворности и економичности (члан 9. ЗОУП-а), предлаже се прописивање рок</w:t>
            </w:r>
            <w:r w:rsidR="00121AD2"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а од </w:t>
            </w: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30 дана за прикупљање података службеним путем и решавање захтева.</w:t>
            </w:r>
          </w:p>
          <w:p w14:paraId="17DF6A4B" w14:textId="77777777" w:rsidR="00833F48" w:rsidRPr="00111BF7" w:rsidRDefault="00833F48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2DBF2059" w14:textId="1505C284" w:rsidR="007D39E4" w:rsidRPr="00111BF7" w:rsidRDefault="00833F48" w:rsidP="00833F48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потребна је </w:t>
            </w:r>
            <w:r w:rsidR="00121AD2" w:rsidRPr="00111BF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измена и </w:t>
            </w:r>
            <w:r w:rsidRPr="00111BF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допуна </w:t>
            </w:r>
            <w:r w:rsidR="00121AD2" w:rsidRPr="00111BF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Правилника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("Сл. гласник РС", бр. 52/2015-4, 59/2016-20).</w:t>
            </w:r>
          </w:p>
          <w:p w14:paraId="4F4DA2B8" w14:textId="77777777" w:rsidR="00E9118D" w:rsidRPr="00111BF7" w:rsidRDefault="00E9118D" w:rsidP="00E9118D">
            <w:pPr>
              <w:rPr>
                <w:rFonts w:ascii="Times New Roman" w:hAnsi="Times New Roman"/>
                <w:color w:val="00B050"/>
                <w:sz w:val="22"/>
                <w:szCs w:val="22"/>
                <w:lang w:val="sr-Cyrl-RS"/>
              </w:rPr>
            </w:pPr>
          </w:p>
          <w:p w14:paraId="67A822F7" w14:textId="49EA9701" w:rsidR="000A34F5" w:rsidRPr="00111BF7" w:rsidRDefault="000A34F5" w:rsidP="00D768F2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111BF7">
              <w:rPr>
                <w:b/>
                <w:sz w:val="22"/>
                <w:szCs w:val="22"/>
                <w:u w:val="single"/>
                <w:lang w:val="sr-Cyrl-RS"/>
              </w:rPr>
              <w:t>Евиденције</w:t>
            </w:r>
          </w:p>
          <w:p w14:paraId="38525744" w14:textId="77777777" w:rsidR="000A34F5" w:rsidRPr="00111BF7" w:rsidRDefault="000A34F5" w:rsidP="000A34F5">
            <w:pPr>
              <w:pStyle w:val="NormalWeb"/>
              <w:spacing w:before="0" w:beforeAutospacing="0" w:after="0" w:afterAutospacing="0"/>
              <w:ind w:left="99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27F35EC2" w14:textId="77777777" w:rsidR="00D768F2" w:rsidRPr="00111BF7" w:rsidRDefault="00D768F2" w:rsidP="00B675F5">
            <w:pPr>
              <w:pStyle w:val="NormalWeb"/>
              <w:spacing w:before="0" w:beforeAutospacing="0" w:after="0" w:afterAutospacing="0"/>
              <w:rPr>
                <w:b/>
                <w:i/>
                <w:sz w:val="22"/>
                <w:szCs w:val="22"/>
                <w:lang w:val="sr-Cyrl-RS"/>
              </w:rPr>
            </w:pPr>
            <w:r w:rsidRPr="00111BF7">
              <w:rPr>
                <w:b/>
                <w:i/>
                <w:sz w:val="22"/>
                <w:szCs w:val="22"/>
                <w:lang w:val="sr-Cyrl-RS"/>
              </w:rPr>
              <w:t>Вођење евиденције и јавна доступност</w:t>
            </w:r>
          </w:p>
          <w:p w14:paraId="3E86EEBA" w14:textId="77777777" w:rsidR="00D768F2" w:rsidRPr="00111BF7" w:rsidRDefault="00D768F2" w:rsidP="00D768F2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2FF4FA60" w14:textId="77777777" w:rsidR="00393F19" w:rsidRPr="00111BF7" w:rsidRDefault="00D768F2" w:rsidP="00393F1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111BF7">
              <w:rPr>
                <w:sz w:val="22"/>
                <w:szCs w:val="22"/>
                <w:lang w:val="sr-Cyrl-RS"/>
              </w:rPr>
              <w:t xml:space="preserve">Предлаже се да надлежни орган води регистар /евиденцију издатих аката  у електронском облику, у складу са чланом 10. Закона о електронској управи ("Службени гласник" РС, број 27/2018), којим се уводи обавеза свих органа да успостављају и воде регистре и евиденције у електронском облику. </w:t>
            </w:r>
          </w:p>
          <w:p w14:paraId="25BF7C5C" w14:textId="77777777" w:rsidR="00393F19" w:rsidRPr="00111BF7" w:rsidRDefault="00393F19" w:rsidP="00393F1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111BF7">
              <w:rPr>
                <w:sz w:val="22"/>
                <w:szCs w:val="22"/>
                <w:lang w:val="sr-Cyrl-RS"/>
              </w:rPr>
              <w:t>Вођење евиденција предлаже се у отвореном, машински читљивом облику (база података).</w:t>
            </w:r>
          </w:p>
          <w:p w14:paraId="6D8FB25F" w14:textId="77777777" w:rsidR="00393F19" w:rsidRPr="00111BF7" w:rsidRDefault="00393F19" w:rsidP="00393F19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5B4A0EDE" w14:textId="3E12AD50" w:rsidR="00D768F2" w:rsidRPr="00111BF7" w:rsidRDefault="00D768F2" w:rsidP="00393F19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111BF7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111BF7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111BF7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7DEC725F" w14:textId="5FCC4001" w:rsidR="00CB5A92" w:rsidRPr="00111BF7" w:rsidRDefault="00CB5A92" w:rsidP="00833F48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CB197B" w14:paraId="675008AD" w14:textId="77777777" w:rsidTr="007940D6">
        <w:trPr>
          <w:trHeight w:val="625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7DB0162F" w14:textId="77777777" w:rsidR="00275E2A" w:rsidRPr="00111BF7" w:rsidRDefault="00275E2A" w:rsidP="007940D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11BF7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111BF7">
              <w:rPr>
                <w:b/>
                <w:sz w:val="22"/>
                <w:szCs w:val="22"/>
                <w:lang w:val="sr-Cyrl-RS"/>
              </w:rPr>
              <w:t>У</w:t>
            </w:r>
            <w:r w:rsidRPr="00111BF7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111BF7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111BF7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111BF7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632540" w:rsidRPr="00CB197B" w14:paraId="243310FD" w14:textId="77777777" w:rsidTr="00275E2A">
        <w:tc>
          <w:tcPr>
            <w:tcW w:w="9062" w:type="dxa"/>
          </w:tcPr>
          <w:p w14:paraId="79BEB9AE" w14:textId="24E62FFD" w:rsidR="00640D01" w:rsidRPr="00111BF7" w:rsidRDefault="00640D01" w:rsidP="001E1E9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5F885EDC" w14:textId="77777777" w:rsidR="00C22ED0" w:rsidRPr="00111BF7" w:rsidRDefault="00A7274F" w:rsidP="00C22ED0">
            <w:pPr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1EB73C78" w14:textId="0DABFFA2" w:rsidR="001E1E98" w:rsidRPr="00111BF7" w:rsidRDefault="001E1E98" w:rsidP="001E1E9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>ПРАВИЛНИК О ИЗМЕНАМА И ДОПУНАМА</w:t>
            </w:r>
          </w:p>
          <w:p w14:paraId="76978BDA" w14:textId="1F9C640F" w:rsidR="001E1E98" w:rsidRPr="00111BF7" w:rsidRDefault="001E1E98" w:rsidP="001E1E98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  <w:r w:rsidRPr="00111BF7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>ПРАВИЛНИКА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СИСТЕМА)</w:t>
            </w:r>
          </w:p>
          <w:p w14:paraId="2EDD163E" w14:textId="77777777" w:rsidR="001E1E98" w:rsidRPr="00111BF7" w:rsidRDefault="001E1E98" w:rsidP="001E1E98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2AB1FAA" w14:textId="58463C31" w:rsidR="001E1E98" w:rsidRPr="00111BF7" w:rsidRDefault="001E1E98" w:rsidP="001E1E98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lastRenderedPageBreak/>
              <w:t xml:space="preserve">Члан </w:t>
            </w:r>
            <w:r w:rsidR="00C22ED0" w:rsidRPr="00111BF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1.</w:t>
            </w:r>
          </w:p>
          <w:p w14:paraId="29EAA01D" w14:textId="1E954E4A" w:rsidR="001E1E98" w:rsidRPr="00111BF7" w:rsidRDefault="001E1E98" w:rsidP="001E1E98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Правилнику о </w:t>
            </w:r>
            <w:r w:rsidRPr="00111BF7">
              <w:rPr>
                <w:rFonts w:ascii="Times New Roman" w:hAnsi="Times New Roman"/>
                <w:sz w:val="22"/>
                <w:szCs w:val="22"/>
                <w:lang w:val="sr-Latn-RS"/>
              </w:rPr>
              <w:t>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("Сл. гласник РС", бр. 52/2015-4, 59/2016-20)</w:t>
            </w:r>
            <w:r w:rsidR="008B4703"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, у члану 5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. у ставу 2. додаје се нова реченица која гласи:</w:t>
            </w:r>
          </w:p>
          <w:p w14:paraId="290D4CFB" w14:textId="77777777" w:rsidR="001E1E98" w:rsidRPr="00111BF7" w:rsidRDefault="001E1E98" w:rsidP="001E1E9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„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111BF7">
              <w:rPr>
                <w:rFonts w:ascii="Times New Roman" w:hAnsi="Times New Roman"/>
                <w:sz w:val="22"/>
                <w:szCs w:val="22"/>
                <w:lang w:val="sr-Latn-RS"/>
              </w:rPr>
              <w:t>спуњеност прописаних услова у погледу поседовања опреме, уређаја и алата потребних за обављање послова за коју се издаје овлашћење, надлежни орган проверава на лицу места, у пословном простору подносиоца захтева.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“</w:t>
            </w:r>
          </w:p>
          <w:p w14:paraId="7E4F07DB" w14:textId="77777777" w:rsidR="001E1E98" w:rsidRPr="00111BF7" w:rsidRDefault="001E1E98" w:rsidP="001E1E9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8ED521F" w14:textId="77777777" w:rsidR="001E1E98" w:rsidRPr="00111BF7" w:rsidRDefault="001E1E98" w:rsidP="001E1E9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После става 2. додаје се нови став 3. који гласи:</w:t>
            </w:r>
          </w:p>
          <w:p w14:paraId="037448F4" w14:textId="77777777" w:rsidR="001E1E98" w:rsidRPr="00111BF7" w:rsidRDefault="001E1E98" w:rsidP="001E1E9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„Испуњеност услова акредитације за вршење одређених послова оцењивања усаглашености из става 1. овог члана, као и услова прописаних у ставу 1. тач.  1), 2) и 3) овог члана, проверава надлежни орган по службеној дужности.“</w:t>
            </w:r>
          </w:p>
          <w:p w14:paraId="1F1F7C61" w14:textId="77777777" w:rsidR="001E1E98" w:rsidRPr="00111BF7" w:rsidRDefault="001E1E98" w:rsidP="001E1E98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5F35082" w14:textId="6C237A7F" w:rsidR="001E1E98" w:rsidRPr="00111BF7" w:rsidRDefault="001E1E98" w:rsidP="001E1E98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C22ED0" w:rsidRPr="00111BF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2</w:t>
            </w:r>
            <w:r w:rsidRPr="00111BF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326458B4" w14:textId="77777777" w:rsidR="001E1E98" w:rsidRPr="00111BF7" w:rsidRDefault="001E1E98" w:rsidP="001E1E98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У члану 11. после речи: “правилника“, додаје се зарез и речи: „у року од 30 дана од дана пријема захтева“.</w:t>
            </w:r>
          </w:p>
          <w:p w14:paraId="4EABC430" w14:textId="54415FB7" w:rsidR="001E1E98" w:rsidRPr="00111BF7" w:rsidRDefault="001E1E98" w:rsidP="001E1E98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C22ED0" w:rsidRPr="00111BF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</w:t>
            </w:r>
            <w:r w:rsidRPr="00111BF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2E923443" w14:textId="4F036262" w:rsidR="001E1E98" w:rsidRPr="00111BF7" w:rsidRDefault="001C69C3" w:rsidP="001E1E98">
            <w:pPr>
              <w:spacing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У члану 12. став 2</w:t>
            </w:r>
            <w:r w:rsidR="001E1E98"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. после речи „послова“, додају се речи: „</w:t>
            </w:r>
            <w:r w:rsidR="001E1E98"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 се писано или у електронском облику„</w:t>
            </w:r>
          </w:p>
          <w:p w14:paraId="39EBCB7A" w14:textId="77777777" w:rsidR="001E1E98" w:rsidRPr="00111BF7" w:rsidRDefault="001E1E98" w:rsidP="001E1E98">
            <w:pPr>
              <w:spacing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Став 3. мења се и гласи:</w:t>
            </w:r>
          </w:p>
          <w:p w14:paraId="25E9D8B2" w14:textId="77777777" w:rsidR="001E1E98" w:rsidRPr="00111BF7" w:rsidRDefault="001E1E98" w:rsidP="001E1E98">
            <w:pPr>
              <w:pStyle w:val="NormalWeb"/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111BF7">
              <w:rPr>
                <w:sz w:val="22"/>
                <w:szCs w:val="22"/>
                <w:lang w:val="sr-Cyrl-RS"/>
              </w:rPr>
              <w:t xml:space="preserve">„Уз захтев се, у зависности од услова утврђених овим правилником, достављају следећи прилози: </w:t>
            </w:r>
          </w:p>
          <w:p w14:paraId="172AE22F" w14:textId="77777777" w:rsidR="001E1E98" w:rsidRPr="00111BF7" w:rsidRDefault="001E1E98" w:rsidP="001E1E98">
            <w:pPr>
              <w:pStyle w:val="NormalWeb"/>
              <w:numPr>
                <w:ilvl w:val="0"/>
                <w:numId w:val="43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111BF7">
              <w:rPr>
                <w:sz w:val="22"/>
                <w:szCs w:val="22"/>
                <w:lang w:val="sr-Cyrl-RS"/>
              </w:rPr>
              <w:t xml:space="preserve">Списак запослених лица која ће обављати послове за које се издаје овлашћење- копија; </w:t>
            </w:r>
          </w:p>
          <w:p w14:paraId="6333DD6B" w14:textId="77777777" w:rsidR="001E1E98" w:rsidRPr="00111BF7" w:rsidRDefault="001E1E98" w:rsidP="001E1E98">
            <w:pPr>
              <w:pStyle w:val="NormalWeb"/>
              <w:numPr>
                <w:ilvl w:val="0"/>
                <w:numId w:val="43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111BF7">
              <w:rPr>
                <w:sz w:val="22"/>
                <w:szCs w:val="22"/>
                <w:lang w:val="sr-Cyrl-RS"/>
              </w:rPr>
              <w:t>Докази о образовном профилу и степену образовања лица која ће обављати послове за које се издаје овлашћење - копије;</w:t>
            </w:r>
          </w:p>
          <w:p w14:paraId="57C2427D" w14:textId="77777777" w:rsidR="001E1E98" w:rsidRPr="00111BF7" w:rsidRDefault="001E1E98" w:rsidP="001E1E98">
            <w:pPr>
              <w:pStyle w:val="NormalWeb"/>
              <w:numPr>
                <w:ilvl w:val="0"/>
                <w:numId w:val="43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111BF7">
              <w:rPr>
                <w:sz w:val="22"/>
                <w:szCs w:val="22"/>
                <w:lang w:val="sr-Cyrl-RS"/>
              </w:rPr>
              <w:t>Доказ о основу коришћења простора за рад, када није у питању књижно власништво (купопродајни уговор, уговор о закупу простора за рад и сл) - копија;</w:t>
            </w:r>
          </w:p>
          <w:p w14:paraId="527D8F79" w14:textId="77777777" w:rsidR="001E1E98" w:rsidRPr="00111BF7" w:rsidRDefault="001E1E98" w:rsidP="001E1E98">
            <w:pPr>
              <w:pStyle w:val="NormalWeb"/>
              <w:numPr>
                <w:ilvl w:val="0"/>
                <w:numId w:val="43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111BF7">
              <w:rPr>
                <w:sz w:val="22"/>
                <w:szCs w:val="22"/>
                <w:lang w:val="sr-Cyrl-RS"/>
              </w:rPr>
              <w:t>Списак прописане опреме, уређаја и алата за обављање послова за које се издаје овлашћење са наведеним фабричким и инвентарским бројем – копија;</w:t>
            </w:r>
          </w:p>
          <w:p w14:paraId="35F5FB89" w14:textId="77777777" w:rsidR="001E1E98" w:rsidRPr="00111BF7" w:rsidRDefault="001E1E98" w:rsidP="001E1E98">
            <w:pPr>
              <w:pStyle w:val="NormalWeb"/>
              <w:numPr>
                <w:ilvl w:val="0"/>
                <w:numId w:val="43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111BF7">
              <w:rPr>
                <w:sz w:val="22"/>
                <w:szCs w:val="22"/>
                <w:lang w:val="sr-Cyrl-RS"/>
              </w:rPr>
              <w:t>Докази о испуњености услова за опрему, уређаје и алате за обављање послова за које се издаје овлашћење, а који подлежу одредбама прописа о испуњавању метролошких услова - копија и</w:t>
            </w:r>
          </w:p>
          <w:p w14:paraId="38BF83CC" w14:textId="77777777" w:rsidR="001E1E98" w:rsidRPr="00111BF7" w:rsidRDefault="001E1E98" w:rsidP="001E1E98">
            <w:pPr>
              <w:pStyle w:val="NormalWeb"/>
              <w:numPr>
                <w:ilvl w:val="0"/>
                <w:numId w:val="43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111BF7">
              <w:rPr>
                <w:sz w:val="22"/>
                <w:szCs w:val="22"/>
                <w:lang w:val="sr-Cyrl-RS"/>
              </w:rPr>
              <w:t xml:space="preserve">Доказ/и о уплати таксе/и.“ </w:t>
            </w:r>
          </w:p>
          <w:p w14:paraId="262FF876" w14:textId="4104E466" w:rsidR="001E1E98" w:rsidRPr="00111BF7" w:rsidRDefault="001E1E98" w:rsidP="001E1E98">
            <w:pPr>
              <w:spacing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C22ED0" w:rsidRPr="00111BF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4</w:t>
            </w:r>
            <w:r w:rsidRPr="00111BF7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195B880F" w14:textId="77777777" w:rsidR="001E1E98" w:rsidRPr="00111BF7" w:rsidRDefault="001E1E98" w:rsidP="001E1E98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правилник ступа на снагу осмог дана од дана објављивања у „Сл. гласнику РС“.</w:t>
            </w:r>
          </w:p>
          <w:p w14:paraId="694F59C0" w14:textId="77777777" w:rsidR="006F4A5C" w:rsidRPr="00111BF7" w:rsidRDefault="006F4A5C" w:rsidP="001A6472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632540" w:rsidRPr="00CB197B" w14:paraId="1251D6FF" w14:textId="77777777" w:rsidTr="002A202F">
        <w:trPr>
          <w:trHeight w:val="508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561F8583" w14:textId="77777777" w:rsidR="00632540" w:rsidRPr="00111BF7" w:rsidRDefault="00632540" w:rsidP="002A202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11BF7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632540" w:rsidRPr="00CB197B" w14:paraId="585359C0" w14:textId="77777777" w:rsidTr="000B54D7">
        <w:trPr>
          <w:trHeight w:val="708"/>
        </w:trPr>
        <w:tc>
          <w:tcPr>
            <w:tcW w:w="9062" w:type="dxa"/>
          </w:tcPr>
          <w:p w14:paraId="68B1B765" w14:textId="7D87B19D" w:rsidR="003651DB" w:rsidRPr="00111BF7" w:rsidRDefault="003651DB" w:rsidP="00324AF2">
            <w:pPr>
              <w:jc w:val="center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2DCBC66B" w14:textId="77777777" w:rsidR="00640D01" w:rsidRPr="00111BF7" w:rsidRDefault="00640D01" w:rsidP="004034E8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1</w:t>
            </w:r>
          </w:p>
          <w:p w14:paraId="52A1490B" w14:textId="77777777" w:rsidR="004034E8" w:rsidRPr="00111BF7" w:rsidRDefault="004034E8" w:rsidP="004034E8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ПРЕГЛЕД ОДРЕДБИ </w:t>
            </w:r>
          </w:p>
          <w:p w14:paraId="107C121A" w14:textId="77777777" w:rsidR="004034E8" w:rsidRPr="00111BF7" w:rsidRDefault="004034E8" w:rsidP="004034E8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ПРАВИЛНИКА О ПОСЕБНИМ УСЛОВИМА КОЈЕ МОРАЈУ ИСПУЊАВАТИ ПРАВНА ЛИЦА КОЈА ДОБИЈАЈУ ОВЛАШЋЕЊЕ ЗА ОБАВЉАЊЕ ПОСЛОВА </w:t>
            </w:r>
            <w:r w:rsidRPr="00111BF7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КОНТРОЛИСАЊА ИНСТАЛАЦИЈА И УРЕЂАЈА ЗА ГАШЕЊЕ ПОЖАРА И ИНСТАЛАЦИЈА ПОСЕБНИХ СИСТЕМА КОЈЕ СЕ МЕЊАЈУ И ДОПУЊУЈУ</w:t>
            </w:r>
          </w:p>
          <w:p w14:paraId="0EF438F6" w14:textId="1299602A" w:rsidR="00324AF2" w:rsidRPr="00111BF7" w:rsidRDefault="00324AF2" w:rsidP="00324AF2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Члан 5.</w:t>
            </w:r>
          </w:p>
          <w:p w14:paraId="4A39EE9D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Послове контролисања мобилних уређаја за гашење пожара може обављати правно лице које је, сагласно посебном закону, акредитовано за вршење одређених послова оцењивања усаглашености и које испуњава следеће услове:</w:t>
            </w:r>
          </w:p>
          <w:p w14:paraId="2B83CE2F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1) уписано у Регистар привредних субјеката;</w:t>
            </w:r>
          </w:p>
          <w:p w14:paraId="7A89B00C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2) има потребан број запослених лица, у радном односу на неодређено време, која имају уверење о положеном посебном стручном испиту у складу са прописима који уређују заштиту од пожара и то:</w:t>
            </w:r>
          </w:p>
          <w:p w14:paraId="0F33A76F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(1) најмање једно лице које је стекло најмање 240 ЕСПБ бодова на академским или струковним студијама, односно на основним студијама у трајању од најмање четири године, из техничко технолошке научне области којој припадају послови у вези контролисања мобилних уређаја за гашење пожара и које има лиценцу за израду главног пројекта заштите од пожара за делатност А према пропису којим су уређене лиценце из заштите од пожара,</w:t>
            </w:r>
          </w:p>
          <w:p w14:paraId="4BAB1687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(2) најмање два лица са стеченом средњом стручном спремом техничке струке којој припадају послови у вези контролисања мобилних уређаја за гашење пожара;</w:t>
            </w:r>
          </w:p>
          <w:p w14:paraId="7D8C24A3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3) има простор за рад у власништву или закупу, односно у трајном коришћењу обезбеђеном по другом основу, а најмање три просторије, и то:</w:t>
            </w:r>
          </w:p>
          <w:p w14:paraId="04667B21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(1) радионицу,</w:t>
            </w:r>
          </w:p>
          <w:p w14:paraId="6A8E427B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(2) приручни магацин за смештај резервних делова,</w:t>
            </w:r>
          </w:p>
          <w:p w14:paraId="6E9949F0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(3) административни део;</w:t>
            </w:r>
          </w:p>
          <w:p w14:paraId="09B6738D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4) има опрему, уређаје и алате у власништву, и то:</w:t>
            </w:r>
          </w:p>
          <w:p w14:paraId="377BA956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(1) сет алата који обухвата кључеве, клешта, стеге и друго,</w:t>
            </w:r>
          </w:p>
          <w:p w14:paraId="1E1C1C2A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(2) клешта са сопственим идентификационим знаком за пломбирање,</w:t>
            </w:r>
          </w:p>
          <w:p w14:paraId="37713B85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(3) момент кључ са потребним наставцима за притезање,</w:t>
            </w:r>
          </w:p>
          <w:p w14:paraId="0E052301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(4) вагу за контролу тежине бочица са погонским гасом,</w:t>
            </w:r>
          </w:p>
          <w:p w14:paraId="761C8DFD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(5) вагу за контролу тежине пуњења и укупне тежине преносних апарата,</w:t>
            </w:r>
          </w:p>
          <w:p w14:paraId="40801EB1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(6) вагу за контролу тежине пуњења и укупне тежине превозних апарата,</w:t>
            </w:r>
          </w:p>
          <w:p w14:paraId="0E2648D7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(7) пумпу за претакање СО2</w:t>
            </w: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 </w:t>
            </w: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са опремом за пуњење апарата и уређајем за пуњење бочице са погонским гасом,</w:t>
            </w:r>
          </w:p>
          <w:p w14:paraId="6DC52017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(8) пумпу, прикључци и уређаји за хидраулично испитивање појединих типова и врста резервоара апарата када ово испитивање у погледу компетенције испитивача није обухваћено посебним прописом,</w:t>
            </w:r>
          </w:p>
          <w:p w14:paraId="3E6D1734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(9) уређај за испитивање и регулацију сигурносних вентила и манометара,</w:t>
            </w:r>
          </w:p>
          <w:p w14:paraId="7A2001AD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(10) уређај за пражњење и пуњење апарата прахом,</w:t>
            </w:r>
          </w:p>
          <w:p w14:paraId="38ED373E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(11) уређај за пуњење и стављање под притисак апарата под сталним притиском,</w:t>
            </w:r>
          </w:p>
          <w:p w14:paraId="7F6D26DA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(12) уређај за пуњење бочица погонским гасом,</w:t>
            </w:r>
          </w:p>
          <w:p w14:paraId="19787787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(13) прикључке за хидрауличка испитивања СО2, резервоара, затварача, савитљивих цеви,</w:t>
            </w:r>
          </w:p>
          <w:p w14:paraId="3D8E32F6" w14:textId="77777777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lastRenderedPageBreak/>
              <w:t>(14) сто за испитивање сигурносних вентила.</w:t>
            </w:r>
          </w:p>
          <w:p w14:paraId="4AD1BDD9" w14:textId="52E2CB1A" w:rsidR="00324AF2" w:rsidRPr="00111BF7" w:rsidRDefault="00324AF2" w:rsidP="00324AF2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Опрема, уређаји и алати из става 1. тачка 4) овог члана мора бити обележена припадајућим инвентарским бројем службене номенклатуре инвентара и подлежу контроли у периодичним роковима утврђеним посебним прописима, као и контроли у складу са упутством произвођача, а ако произвођач није одредио рокове, тада се испитивање и контрола врши у року не дужем од пет година.</w:t>
            </w:r>
            <w:r w:rsidRPr="00111BF7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ИСПУЊЕНОСТ ПРОПИСАНИХ УСЛОВА У ПОГЛЕДУ ПОСЕДОВАЊА ОПРЕМЕ, УРЕЂАЈА И АЛАТА ПОТРЕБНИХ ЗА ОБАВЉАЊЕ ПОСЛОВА ЗА КОЈУ СЕ ИЗДАЈЕ ОВЛАШЋЕЊЕ, НАДЛЕЖНИ ОРГАН ПРОВЕРАВА НА ЛИЦУ МЕСТА, У ПОСЛОВНОМ ПРОСТОРУ ПОДНОСИОЦА ЗАХТЕВА.</w:t>
            </w:r>
          </w:p>
          <w:p w14:paraId="68E33886" w14:textId="77777777" w:rsidR="001E1E98" w:rsidRPr="00111BF7" w:rsidRDefault="001E1E98" w:rsidP="001E1E98">
            <w:pPr>
              <w:pStyle w:val="NormalWeb"/>
              <w:spacing w:after="12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color w:val="000000" w:themeColor="text1"/>
                <w:sz w:val="22"/>
                <w:szCs w:val="22"/>
                <w:lang w:val="sr-Cyrl-RS"/>
              </w:rPr>
              <w:t xml:space="preserve">ИСПУЊЕНОСТ УСЛОВА АКРЕДИТАЦИЈЕ ЗА ВРШЕЊЕ ОДРЕЂЕНИХ ПОСЛОВА ОЦЕЊИВАЊА УСАГЛАШЕНОСТИ ИЗ СТАВА 1. ОВОГ ЧЛАНА, КАО И УСЛОВА ПРОПИСАНИХ У СТАВУ 1. ТАЧ.  1), 2) И 3) ОВОГ ЧЛАНА, ПРОВЕРАВА НАДЛЕЖНИ ОРГАН ПО СЛУЖБЕНОЈ ДУЖНОСТИ. </w:t>
            </w:r>
          </w:p>
          <w:p w14:paraId="6FFC5B59" w14:textId="77777777" w:rsidR="001E1E98" w:rsidRPr="00111BF7" w:rsidRDefault="001E1E98" w:rsidP="001E1E98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Члан 11.</w:t>
            </w:r>
          </w:p>
          <w:p w14:paraId="3F494A09" w14:textId="77777777" w:rsidR="001E1E98" w:rsidRPr="00111BF7" w:rsidRDefault="001E1E98" w:rsidP="001E1E98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Овлашћење за обављање послова контролисања Министарство унутрашњих послова (у даљем тексту: Министарство), издаје правном лицу које испуњава услове за обављање одређених послова из чл. 4–10. овог правилника, У РОКУ ОД 30 ДАНА ОД ДАНА ПРИЈЕМА ЗАХТЕВА. </w:t>
            </w:r>
          </w:p>
          <w:p w14:paraId="79AA19E7" w14:textId="77777777" w:rsidR="001E1E98" w:rsidRPr="00111BF7" w:rsidRDefault="001E1E98" w:rsidP="001E1E98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Члан 12.</w:t>
            </w:r>
          </w:p>
          <w:p w14:paraId="0DB09C92" w14:textId="77777777" w:rsidR="001E1E98" w:rsidRPr="00111BF7" w:rsidRDefault="001E1E98" w:rsidP="001E1E98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Утврђивање испуњености услова за обављање послова контролисања и издавање овлашћења из чл</w:t>
            </w: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a</w:t>
            </w: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на 11. овог правилника, врши се на основу захтева поднетог од стране правног лица.</w:t>
            </w:r>
          </w:p>
          <w:p w14:paraId="4B734503" w14:textId="77777777" w:rsidR="001E1E98" w:rsidRPr="00111BF7" w:rsidRDefault="001E1E98" w:rsidP="001E1E98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Захтев за издавање овлашћења за обављање одређених послова ПОДНОСИ СЕ ПИСАНО ИЛИ У ЕЛЕКТРОНСКОМ ОБЛИКУ и  садржи:</w:t>
            </w:r>
          </w:p>
          <w:p w14:paraId="202B51DE" w14:textId="77777777" w:rsidR="001E1E98" w:rsidRPr="00111BF7" w:rsidRDefault="001E1E98" w:rsidP="001E1E98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1) тачан назив и адресу седишта правног лица,</w:t>
            </w:r>
          </w:p>
          <w:p w14:paraId="38F079F4" w14:textId="77777777" w:rsidR="001E1E98" w:rsidRPr="00111BF7" w:rsidRDefault="001E1E98" w:rsidP="001E1E98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2) врсту послова за коју се тражи овлашћење.</w:t>
            </w:r>
          </w:p>
          <w:p w14:paraId="7C836A57" w14:textId="77777777" w:rsidR="001E1E98" w:rsidRPr="00111BF7" w:rsidRDefault="001E1E98" w:rsidP="001E1E98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  <w:t>Уз захтев се, у зависности од услова утврђених овим правилником, достављају следећи прилози оверени и потврђени од стране подносиоца захтева, и то:</w:t>
            </w:r>
          </w:p>
          <w:p w14:paraId="5893909A" w14:textId="77777777" w:rsidR="001E1E98" w:rsidRPr="00111BF7" w:rsidRDefault="001E1E98" w:rsidP="001E1E98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  <w:t>1) извод из Регистра привредних субјеката, са подацима о привредном субјекту;</w:t>
            </w:r>
          </w:p>
          <w:p w14:paraId="301F4DAC" w14:textId="77777777" w:rsidR="001E1E98" w:rsidRPr="00111BF7" w:rsidRDefault="001E1E98" w:rsidP="001E1E98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  <w:t>2) списак лица која ће обављати послове за које се издаје овлашћење;</w:t>
            </w:r>
          </w:p>
          <w:p w14:paraId="3BF37E46" w14:textId="77777777" w:rsidR="001E1E98" w:rsidRPr="00111BF7" w:rsidRDefault="001E1E98" w:rsidP="001E1E98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  <w:t>3) списак опреме, уређаја и алата потребне за обављање послова за коју се издаје овлашћење са наведеним фабричким и инвентарским бројевима;</w:t>
            </w:r>
          </w:p>
          <w:p w14:paraId="07402584" w14:textId="77777777" w:rsidR="001E1E98" w:rsidRPr="00111BF7" w:rsidRDefault="001E1E98" w:rsidP="001E1E98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  <w:t>4) доказ о власништву или закупу, односно трајном коришћењу простора за рад, односно доказ да је простор за рад обезбеђен по другом основу;</w:t>
            </w:r>
          </w:p>
          <w:p w14:paraId="42EBE383" w14:textId="77777777" w:rsidR="001E1E98" w:rsidRPr="00111BF7" w:rsidRDefault="001E1E98" w:rsidP="001E1E98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  <w:t>5) докази којима се потврђује образовни профил и степен образовања лица која ће обављати послове за које се издаје овлашћење;</w:t>
            </w:r>
          </w:p>
          <w:p w14:paraId="6E83F905" w14:textId="77777777" w:rsidR="001E1E98" w:rsidRPr="00111BF7" w:rsidRDefault="001E1E98" w:rsidP="001E1E98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  <w:t>6) докази којима подносилац захтева потврђује стални радни однос са лицима која обављају послове за које се издаје овлашћење;</w:t>
            </w:r>
          </w:p>
          <w:p w14:paraId="57F52C40" w14:textId="77777777" w:rsidR="001E1E98" w:rsidRPr="00111BF7" w:rsidRDefault="001E1E98" w:rsidP="001E1E98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  <w:t>7) уверење о положеном посебном стручном испиту у складу са прописима којима се уређује заштита од пожара;</w:t>
            </w:r>
          </w:p>
          <w:p w14:paraId="73AF81C4" w14:textId="77777777" w:rsidR="001E1E98" w:rsidRPr="00111BF7" w:rsidRDefault="001E1E98" w:rsidP="001E1E98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  <w:t>8) доказ о испуњености захтева за опрему, уређаје и алате потребне за обављање послова контролисања која подлеже одредбама прописа о испуњавању метролошких услова;</w:t>
            </w:r>
          </w:p>
          <w:p w14:paraId="2F123956" w14:textId="77777777" w:rsidR="001E1E98" w:rsidRPr="00111BF7" w:rsidRDefault="001E1E98" w:rsidP="001E1E98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  <w:t>9) доказ о компетентности правног лица, односно о акредитацији правног лица за обављање одређених послова за које се подноси захтев за добијање овлашћења;</w:t>
            </w:r>
          </w:p>
          <w:p w14:paraId="692E58E7" w14:textId="77777777" w:rsidR="001E1E98" w:rsidRPr="00111BF7" w:rsidRDefault="001E1E98" w:rsidP="001E1E98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  <w:lastRenderedPageBreak/>
              <w:t>10) доказ о уплати административне таксе.</w:t>
            </w:r>
          </w:p>
          <w:p w14:paraId="32158CC1" w14:textId="77777777" w:rsidR="001E1E98" w:rsidRPr="00111BF7" w:rsidRDefault="001E1E98" w:rsidP="001E1E98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  <w:t>Поред прилога из става 3. овог члана, у зависности од услова утврђених овим правилником, подносилац захтева доставља оверене и потврђене прилоге којима се доказује:</w:t>
            </w:r>
          </w:p>
          <w:p w14:paraId="7FC5A519" w14:textId="77777777" w:rsidR="001E1E98" w:rsidRPr="00111BF7" w:rsidRDefault="001E1E98" w:rsidP="001E1E98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  <w:t>1) поседовање одговарајуће лиценце за пројектовање и извођење за делатност Б1, Б2, Б3, Б5, Б6 односно лиценце за израду главног пројекта заштите од пожара за делатност А према пропису којим су уређене лиценце из заштите од пожара;</w:t>
            </w:r>
          </w:p>
          <w:p w14:paraId="5C5B99E1" w14:textId="77777777" w:rsidR="001E1E98" w:rsidRPr="00111BF7" w:rsidRDefault="001E1E98" w:rsidP="001E1E98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trike/>
                <w:color w:val="000000" w:themeColor="text1"/>
                <w:sz w:val="22"/>
                <w:szCs w:val="22"/>
                <w:lang w:val="sr-Cyrl-RS"/>
              </w:rPr>
              <w:t>2) компетентности правног лица за обављање послова монтаже, сервисирања, чишћења и привременог чувања јонизујућих детектора дима издатог према прописима из области заштите од јонизујућих зрачења.</w:t>
            </w:r>
          </w:p>
          <w:p w14:paraId="412B38DC" w14:textId="77777777" w:rsidR="001E1E98" w:rsidRPr="00111BF7" w:rsidRDefault="001E1E98" w:rsidP="001E1E98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color w:val="000000" w:themeColor="text1"/>
                <w:sz w:val="22"/>
                <w:szCs w:val="22"/>
                <w:lang w:val="sr-Cyrl-RS"/>
              </w:rPr>
              <w:t xml:space="preserve">УЗ ЗАХТЕВ СЕ, У ЗАВИСНОСТИ ОД УСЛОВА УТВРЂЕНИХ ОВИМ ПРАВИЛНИКОМ, ДОСТАВЉАЈУ СЛЕДЕЋИ ПРИЛОЗИ: </w:t>
            </w:r>
          </w:p>
          <w:p w14:paraId="32312DE2" w14:textId="77777777" w:rsidR="001E1E98" w:rsidRPr="00111BF7" w:rsidRDefault="001E1E98" w:rsidP="001E1E98">
            <w:pPr>
              <w:pStyle w:val="NormalWeb"/>
              <w:numPr>
                <w:ilvl w:val="0"/>
                <w:numId w:val="44"/>
              </w:numPr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color w:val="000000" w:themeColor="text1"/>
                <w:sz w:val="22"/>
                <w:szCs w:val="22"/>
                <w:lang w:val="sr-Cyrl-RS"/>
              </w:rPr>
              <w:t xml:space="preserve">СПИСАК ЗАПОСЛЕНИХ ЛИЦА КОЈА ЋЕ ОБАВЉАТИ ПОСЛОВЕ ЗА КОЈЕ СЕ ИЗДАЈЕ ОВЛАШЋЕЊЕ - КОПИЈА; </w:t>
            </w:r>
          </w:p>
          <w:p w14:paraId="23BA0867" w14:textId="77777777" w:rsidR="001E1E98" w:rsidRPr="00111BF7" w:rsidRDefault="001E1E98" w:rsidP="001E1E98">
            <w:pPr>
              <w:pStyle w:val="NormalWeb"/>
              <w:numPr>
                <w:ilvl w:val="0"/>
                <w:numId w:val="44"/>
              </w:numPr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color w:val="000000" w:themeColor="text1"/>
                <w:sz w:val="22"/>
                <w:szCs w:val="22"/>
                <w:lang w:val="sr-Cyrl-RS"/>
              </w:rPr>
              <w:t>ДОКАЗИ О ОБРАЗОВНОМ ПРОФИЛУ И СТЕПЕНУ ОБРАЗОВАЊА ЛИЦА КОЈА ЋЕ ОБАВЉАТИ ПОСЛОВЕ ЗА КОЈЕ СЕ ИЗДАЈЕ ОВЛАШЋЕЊЕ - КОПИЈЕ;</w:t>
            </w:r>
          </w:p>
          <w:p w14:paraId="32E10DF8" w14:textId="77777777" w:rsidR="001E1E98" w:rsidRPr="00111BF7" w:rsidRDefault="001E1E98" w:rsidP="001E1E98">
            <w:pPr>
              <w:pStyle w:val="NormalWeb"/>
              <w:numPr>
                <w:ilvl w:val="0"/>
                <w:numId w:val="44"/>
              </w:numPr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color w:val="000000" w:themeColor="text1"/>
                <w:sz w:val="22"/>
                <w:szCs w:val="22"/>
                <w:lang w:val="sr-Cyrl-RS"/>
              </w:rPr>
              <w:t>ДОКАЗ О ОСНОВУ КОРИШЋЕЊА ПРОСТОРА ЗА РАД, КАДА НИЈЕ У ПИТАЊУ КЊИЖНО ВЛАСНИШТВО (КУПОПРОДАЈНИ УГОВОР, УГОВОР О ЗАКУПУ ПРОСТОРА ЗА РАД И СЛ) - КОПИЈА;</w:t>
            </w:r>
          </w:p>
          <w:p w14:paraId="7EE19F8F" w14:textId="77777777" w:rsidR="001E1E98" w:rsidRPr="00111BF7" w:rsidRDefault="001E1E98" w:rsidP="001E1E98">
            <w:pPr>
              <w:pStyle w:val="NormalWeb"/>
              <w:numPr>
                <w:ilvl w:val="0"/>
                <w:numId w:val="44"/>
              </w:numPr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color w:val="000000" w:themeColor="text1"/>
                <w:sz w:val="22"/>
                <w:szCs w:val="22"/>
                <w:lang w:val="sr-Cyrl-RS"/>
              </w:rPr>
              <w:t xml:space="preserve">СПИСАК ПРОПИСАНЕ ОПРЕМЕ, УРЕЂАЈА И АЛАТА ЗА ОБАВЉАЊЕ ПОСЛОВА ЗА КОЈЕ СЕ ИЗДАЈЕ ОВЛАШЋЕЊЕ СА НАВЕДЕНИМ ФАБРИЧКИМ И ИНВЕНТАРСКИМ БРОЈЕМ – КОПИЈА; </w:t>
            </w:r>
          </w:p>
          <w:p w14:paraId="30B32131" w14:textId="77777777" w:rsidR="001E1E98" w:rsidRPr="00111BF7" w:rsidRDefault="001E1E98" w:rsidP="001E1E98">
            <w:pPr>
              <w:pStyle w:val="NormalWeb"/>
              <w:numPr>
                <w:ilvl w:val="0"/>
                <w:numId w:val="44"/>
              </w:numPr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color w:val="000000" w:themeColor="text1"/>
                <w:sz w:val="22"/>
                <w:szCs w:val="22"/>
                <w:lang w:val="sr-Cyrl-RS"/>
              </w:rPr>
              <w:t>ДОКАЗИ О ИСПУЊЕНОСТИ УСЛОВА ЗА ОПРЕМУ, УРЕЂАЈЕ И АЛАТЕ ЗА ОБАВЉАЊЕ ПОСЛОВА ЗА КОЈЕ СЕ ИЗДАЈЕ ОВЛАШЋЕЊЕ, А КОЈИ ПОДЛЕЖУ ОДРЕДБАМА ПРОПИСА О ИСПУЊАВАЊУ МЕТРОЛОШКИХ УСЛОВА - КОПИЈА И</w:t>
            </w:r>
          </w:p>
          <w:p w14:paraId="630D3289" w14:textId="77777777" w:rsidR="001E1E98" w:rsidRPr="00111BF7" w:rsidRDefault="001E1E98" w:rsidP="001E1E98">
            <w:pPr>
              <w:pStyle w:val="NormalWeb"/>
              <w:numPr>
                <w:ilvl w:val="0"/>
                <w:numId w:val="44"/>
              </w:numPr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111BF7">
              <w:rPr>
                <w:color w:val="000000" w:themeColor="text1"/>
                <w:sz w:val="22"/>
                <w:szCs w:val="22"/>
                <w:lang w:val="sr-Cyrl-RS"/>
              </w:rPr>
              <w:t xml:space="preserve">ДОКАЗ/И О УПЛАТИ ТАКСЕ/И.  </w:t>
            </w:r>
          </w:p>
          <w:p w14:paraId="28DA4344" w14:textId="4A05D6F7" w:rsidR="00632540" w:rsidRPr="00111BF7" w:rsidRDefault="00632540" w:rsidP="002A202F">
            <w:pPr>
              <w:pStyle w:val="NormalWeb"/>
              <w:spacing w:before="0" w:beforeAutospacing="0" w:after="12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632540" w:rsidRPr="00111BF7" w14:paraId="6F69BD61" w14:textId="77777777" w:rsidTr="002A202F">
        <w:trPr>
          <w:trHeight w:val="409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10A6F09F" w14:textId="77777777" w:rsidR="00632540" w:rsidRPr="00111BF7" w:rsidRDefault="00632540" w:rsidP="002A202F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11BF7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632540" w:rsidRPr="00111BF7" w14:paraId="162E5FCE" w14:textId="77777777" w:rsidTr="00275E2A">
        <w:trPr>
          <w:trHeight w:val="567"/>
        </w:trPr>
        <w:tc>
          <w:tcPr>
            <w:tcW w:w="9062" w:type="dxa"/>
            <w:shd w:val="clear" w:color="auto" w:fill="auto"/>
          </w:tcPr>
          <w:p w14:paraId="1B5B10DA" w14:textId="77777777" w:rsidR="00834DF6" w:rsidRPr="00111BF7" w:rsidRDefault="00834DF6" w:rsidP="00834DF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132.149,76 РСД. Усвајање и примена препорука ће донети привредним субјектима годишње директне уштеде од 17.300,89 РСД или 142,25 ЕУР. Ове уштеде износе 13.09% укупних директних трошкова привредних субјеката у поступку. </w:t>
            </w:r>
          </w:p>
          <w:p w14:paraId="360EECBD" w14:textId="5D021409" w:rsidR="00834DF6" w:rsidRPr="00111BF7" w:rsidRDefault="007C3A3D" w:rsidP="00834DF6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</w:p>
          <w:p w14:paraId="6DCA601A" w14:textId="77777777" w:rsidR="007C3A3D" w:rsidRPr="00111BF7" w:rsidRDefault="007C3A3D" w:rsidP="00834DF6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693263A" w14:textId="63F9C9D7" w:rsidR="00A94C1B" w:rsidRPr="00111BF7" w:rsidRDefault="008C111F" w:rsidP="00834DF6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поступка, скраћењу рокова у поступку</w:t>
            </w:r>
            <w:r w:rsidR="009F6F86"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смањењу документације</w:t>
            </w:r>
            <w:r w:rsidR="009F6F86"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111BF7">
              <w:rPr>
                <w:rFonts w:ascii="Times New Roman" w:hAnsi="Times New Roman"/>
                <w:sz w:val="22"/>
                <w:szCs w:val="22"/>
                <w:lang w:val="sr-Cyrl-RS"/>
              </w:rPr>
              <w:t>. Препорукама се утиче на побољшање пословног амбијента.</w:t>
            </w:r>
          </w:p>
        </w:tc>
      </w:tr>
    </w:tbl>
    <w:p w14:paraId="316DC6AF" w14:textId="77777777" w:rsidR="003E3C16" w:rsidRPr="00111BF7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111BF7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6EE9F555" w14:textId="77777777" w:rsidR="00C42B27" w:rsidRPr="00111BF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BBD0ED5" w14:textId="77777777" w:rsidR="00C42B27" w:rsidRPr="00111BF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2D1D5C5A" w14:textId="77777777" w:rsidR="00C42B27" w:rsidRPr="00111BF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183F2127" w14:textId="77777777" w:rsidR="00C42B27" w:rsidRPr="00111BF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799DAC8" w14:textId="77777777" w:rsidR="00C42B27" w:rsidRPr="00111BF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AAEF5D3" w14:textId="77777777" w:rsidR="00C42B27" w:rsidRPr="00111BF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42D39AF" w14:textId="77777777" w:rsidR="00C42B27" w:rsidRPr="00111BF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9FBD68B" w14:textId="77777777" w:rsidR="00C42B27" w:rsidRPr="00111BF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81320AD" w14:textId="77777777" w:rsidR="00C42B27" w:rsidRPr="00111BF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ECF64E9" w14:textId="77777777" w:rsidR="00C42B27" w:rsidRPr="00111BF7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111BF7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111BF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AF1100" w14:textId="77777777" w:rsidR="00812589" w:rsidRDefault="00812589" w:rsidP="002A202F">
      <w:r>
        <w:separator/>
      </w:r>
    </w:p>
  </w:endnote>
  <w:endnote w:type="continuationSeparator" w:id="0">
    <w:p w14:paraId="0AFB4432" w14:textId="77777777" w:rsidR="00812589" w:rsidRDefault="00812589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76145C1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197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A13E4" w14:textId="77777777" w:rsidR="00812589" w:rsidRDefault="00812589" w:rsidP="002A202F">
      <w:r>
        <w:separator/>
      </w:r>
    </w:p>
  </w:footnote>
  <w:footnote w:type="continuationSeparator" w:id="0">
    <w:p w14:paraId="4A478D60" w14:textId="77777777" w:rsidR="00812589" w:rsidRDefault="00812589" w:rsidP="002A202F">
      <w:r>
        <w:continuationSeparator/>
      </w:r>
    </w:p>
  </w:footnote>
  <w:footnote w:id="1">
    <w:p w14:paraId="75FC1BC7" w14:textId="33C7772F" w:rsidR="006327AB" w:rsidRPr="003343BC" w:rsidRDefault="006327AB" w:rsidP="003343BC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22"/>
        </w:rPr>
      </w:pPr>
      <w:r w:rsidRPr="00CF2D2A">
        <w:rPr>
          <w:rStyle w:val="FootnoteReference"/>
        </w:rPr>
        <w:footnoteRef/>
      </w:r>
      <w:r w:rsidRPr="00CF2D2A">
        <w:t xml:space="preserve"> </w:t>
      </w:r>
      <w:proofErr w:type="spellStart"/>
      <w:r w:rsidRPr="00CF2D2A">
        <w:rPr>
          <w:i/>
          <w:sz w:val="18"/>
          <w:szCs w:val="22"/>
        </w:rPr>
        <w:t>Предуслов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за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прибављање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података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путем</w:t>
      </w:r>
      <w:proofErr w:type="spellEnd"/>
      <w:r w:rsidRPr="00CF2D2A">
        <w:rPr>
          <w:i/>
          <w:sz w:val="18"/>
          <w:szCs w:val="22"/>
        </w:rPr>
        <w:t xml:space="preserve"> е-ЗУП-а </w:t>
      </w:r>
      <w:proofErr w:type="spellStart"/>
      <w:r w:rsidRPr="00CF2D2A">
        <w:rPr>
          <w:i/>
          <w:sz w:val="18"/>
          <w:szCs w:val="22"/>
        </w:rPr>
        <w:t>је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приступање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овом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информационом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систему</w:t>
      </w:r>
      <w:proofErr w:type="spellEnd"/>
      <w:r w:rsidRPr="00CF2D2A">
        <w:rPr>
          <w:i/>
          <w:sz w:val="18"/>
          <w:szCs w:val="22"/>
        </w:rPr>
        <w:t xml:space="preserve">, у </w:t>
      </w:r>
      <w:proofErr w:type="spellStart"/>
      <w:r w:rsidRPr="00CF2D2A">
        <w:rPr>
          <w:i/>
          <w:sz w:val="18"/>
          <w:szCs w:val="22"/>
        </w:rPr>
        <w:t>складу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са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Упутством</w:t>
      </w:r>
      <w:proofErr w:type="spellEnd"/>
      <w:r w:rsidRPr="00CF2D2A">
        <w:rPr>
          <w:i/>
          <w:sz w:val="18"/>
          <w:szCs w:val="22"/>
        </w:rPr>
        <w:t xml:space="preserve"> о </w:t>
      </w:r>
      <w:proofErr w:type="spellStart"/>
      <w:r w:rsidRPr="00CF2D2A">
        <w:rPr>
          <w:i/>
          <w:sz w:val="18"/>
          <w:szCs w:val="22"/>
        </w:rPr>
        <w:t>примени</w:t>
      </w:r>
      <w:proofErr w:type="spellEnd"/>
      <w:r w:rsidRPr="00CF2D2A">
        <w:rPr>
          <w:rFonts w:eastAsia="Calibri"/>
          <w:b/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Уредбе</w:t>
      </w:r>
      <w:proofErr w:type="spellEnd"/>
      <w:r w:rsidRPr="00CF2D2A">
        <w:rPr>
          <w:i/>
          <w:sz w:val="18"/>
          <w:szCs w:val="22"/>
        </w:rPr>
        <w:t xml:space="preserve"> о </w:t>
      </w:r>
      <w:proofErr w:type="spellStart"/>
      <w:r w:rsidRPr="00CF2D2A">
        <w:rPr>
          <w:i/>
          <w:sz w:val="18"/>
          <w:szCs w:val="22"/>
        </w:rPr>
        <w:t>прибављању</w:t>
      </w:r>
      <w:proofErr w:type="spellEnd"/>
      <w:r w:rsidRPr="00CF2D2A">
        <w:rPr>
          <w:i/>
          <w:sz w:val="18"/>
          <w:szCs w:val="22"/>
        </w:rPr>
        <w:t xml:space="preserve"> и </w:t>
      </w:r>
      <w:proofErr w:type="spellStart"/>
      <w:r w:rsidRPr="00CF2D2A">
        <w:rPr>
          <w:i/>
          <w:sz w:val="18"/>
          <w:szCs w:val="22"/>
        </w:rPr>
        <w:t>уступању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података</w:t>
      </w:r>
      <w:proofErr w:type="spellEnd"/>
      <w:r w:rsidRPr="00CF2D2A">
        <w:rPr>
          <w:i/>
          <w:sz w:val="18"/>
          <w:szCs w:val="22"/>
        </w:rPr>
        <w:t xml:space="preserve"> о </w:t>
      </w:r>
      <w:proofErr w:type="spellStart"/>
      <w:r w:rsidRPr="00CF2D2A">
        <w:rPr>
          <w:i/>
          <w:sz w:val="18"/>
          <w:szCs w:val="22"/>
        </w:rPr>
        <w:t>чињеницама</w:t>
      </w:r>
      <w:proofErr w:type="spellEnd"/>
      <w:r w:rsidRPr="00CF2D2A">
        <w:rPr>
          <w:i/>
          <w:sz w:val="18"/>
          <w:szCs w:val="22"/>
        </w:rPr>
        <w:t xml:space="preserve"> о </w:t>
      </w:r>
      <w:proofErr w:type="spellStart"/>
      <w:r w:rsidRPr="00CF2D2A">
        <w:rPr>
          <w:i/>
          <w:sz w:val="18"/>
          <w:szCs w:val="22"/>
        </w:rPr>
        <w:t>којима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се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води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службена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евиденција</w:t>
      </w:r>
      <w:proofErr w:type="spellEnd"/>
      <w:r w:rsidRPr="00CF2D2A">
        <w:rPr>
          <w:i/>
          <w:sz w:val="18"/>
          <w:szCs w:val="22"/>
        </w:rPr>
        <w:t xml:space="preserve"> (</w:t>
      </w:r>
      <w:hyperlink r:id="rId1" w:tgtFrame="_blank" w:history="1">
        <w:r w:rsidR="008E7A12" w:rsidRPr="008E7A12">
          <w:rPr>
            <w:rStyle w:val="Hyperlink"/>
            <w:i/>
            <w:iCs/>
            <w:sz w:val="18"/>
            <w:szCs w:val="22"/>
          </w:rPr>
          <w:t>http</w:t>
        </w:r>
        <w:r w:rsidR="008E7A12" w:rsidRPr="008E7A12">
          <w:rPr>
            <w:rStyle w:val="Hyperlink"/>
            <w:i/>
            <w:iCs/>
            <w:sz w:val="18"/>
            <w:szCs w:val="22"/>
            <w:lang w:val="sr-Cyrl-RS"/>
          </w:rPr>
          <w:t>://</w:t>
        </w:r>
        <w:r w:rsidR="008E7A12" w:rsidRPr="008E7A12">
          <w:rPr>
            <w:rStyle w:val="Hyperlink"/>
            <w:i/>
            <w:iCs/>
            <w:sz w:val="18"/>
            <w:szCs w:val="22"/>
          </w:rPr>
          <w:t>mduls</w:t>
        </w:r>
        <w:r w:rsidR="008E7A12" w:rsidRPr="008E7A12">
          <w:rPr>
            <w:rStyle w:val="Hyperlink"/>
            <w:i/>
            <w:iCs/>
            <w:sz w:val="18"/>
            <w:szCs w:val="22"/>
            <w:lang w:val="sr-Cyrl-RS"/>
          </w:rPr>
          <w:t>.</w:t>
        </w:r>
        <w:r w:rsidR="008E7A12" w:rsidRPr="008E7A12">
          <w:rPr>
            <w:rStyle w:val="Hyperlink"/>
            <w:i/>
            <w:iCs/>
            <w:sz w:val="18"/>
            <w:szCs w:val="22"/>
          </w:rPr>
          <w:t>gov</w:t>
        </w:r>
        <w:r w:rsidR="008E7A12" w:rsidRPr="008E7A12">
          <w:rPr>
            <w:rStyle w:val="Hyperlink"/>
            <w:i/>
            <w:iCs/>
            <w:sz w:val="18"/>
            <w:szCs w:val="22"/>
            <w:lang w:val="sr-Cyrl-RS"/>
          </w:rPr>
          <w:t>.</w:t>
        </w:r>
        <w:r w:rsidR="008E7A12" w:rsidRPr="008E7A12">
          <w:rPr>
            <w:rStyle w:val="Hyperlink"/>
            <w:i/>
            <w:iCs/>
            <w:sz w:val="18"/>
            <w:szCs w:val="22"/>
          </w:rPr>
          <w:t>rs</w:t>
        </w:r>
        <w:r w:rsidR="008E7A12" w:rsidRPr="008E7A12">
          <w:rPr>
            <w:rStyle w:val="Hyperlink"/>
            <w:i/>
            <w:iCs/>
            <w:sz w:val="18"/>
            <w:szCs w:val="22"/>
            <w:lang w:val="sr-Cyrl-RS"/>
          </w:rPr>
          <w:t>/</w:t>
        </w:r>
        <w:r w:rsidR="008E7A12" w:rsidRPr="008E7A12">
          <w:rPr>
            <w:rStyle w:val="Hyperlink"/>
            <w:i/>
            <w:iCs/>
            <w:sz w:val="18"/>
            <w:szCs w:val="22"/>
          </w:rPr>
          <w:t>reforma</w:t>
        </w:r>
        <w:r w:rsidR="008E7A12" w:rsidRPr="008E7A12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8E7A12" w:rsidRPr="008E7A12">
          <w:rPr>
            <w:rStyle w:val="Hyperlink"/>
            <w:i/>
            <w:iCs/>
            <w:sz w:val="18"/>
            <w:szCs w:val="22"/>
          </w:rPr>
          <w:t>javne</w:t>
        </w:r>
        <w:r w:rsidR="008E7A12" w:rsidRPr="008E7A12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8E7A12" w:rsidRPr="008E7A12">
          <w:rPr>
            <w:rStyle w:val="Hyperlink"/>
            <w:i/>
            <w:iCs/>
            <w:sz w:val="18"/>
            <w:szCs w:val="22"/>
          </w:rPr>
          <w:t>uprave</w:t>
        </w:r>
        <w:r w:rsidR="008E7A12" w:rsidRPr="008E7A12">
          <w:rPr>
            <w:rStyle w:val="Hyperlink"/>
            <w:i/>
            <w:iCs/>
            <w:sz w:val="18"/>
            <w:szCs w:val="22"/>
            <w:lang w:val="sr-Cyrl-RS"/>
          </w:rPr>
          <w:t>/</w:t>
        </w:r>
        <w:r w:rsidR="008E7A12" w:rsidRPr="008E7A12">
          <w:rPr>
            <w:rStyle w:val="Hyperlink"/>
            <w:i/>
            <w:iCs/>
            <w:sz w:val="18"/>
            <w:szCs w:val="22"/>
          </w:rPr>
          <w:t>reforma</w:t>
        </w:r>
        <w:r w:rsidR="008E7A12" w:rsidRPr="008E7A12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8E7A12" w:rsidRPr="008E7A12">
          <w:rPr>
            <w:rStyle w:val="Hyperlink"/>
            <w:i/>
            <w:iCs/>
            <w:sz w:val="18"/>
            <w:szCs w:val="22"/>
          </w:rPr>
          <w:t>upravnog</w:t>
        </w:r>
        <w:r w:rsidR="008E7A12" w:rsidRPr="008E7A12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8E7A12" w:rsidRPr="008E7A12">
          <w:rPr>
            <w:rStyle w:val="Hyperlink"/>
            <w:i/>
            <w:iCs/>
            <w:sz w:val="18"/>
            <w:szCs w:val="22"/>
          </w:rPr>
          <w:t>postupka</w:t>
        </w:r>
        <w:r w:rsidR="008E7A12" w:rsidRPr="008E7A12">
          <w:rPr>
            <w:rStyle w:val="Hyperlink"/>
            <w:i/>
            <w:iCs/>
            <w:sz w:val="18"/>
            <w:szCs w:val="22"/>
            <w:lang w:val="sr-Cyrl-RS"/>
          </w:rPr>
          <w:t>/</w:t>
        </w:r>
        <w:r w:rsidR="008E7A12" w:rsidRPr="008E7A12">
          <w:rPr>
            <w:rStyle w:val="Hyperlink"/>
            <w:i/>
            <w:iCs/>
            <w:sz w:val="18"/>
            <w:szCs w:val="22"/>
          </w:rPr>
          <w:t>podrska</w:t>
        </w:r>
        <w:r w:rsidR="008E7A12" w:rsidRPr="008E7A12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8E7A12" w:rsidRPr="008E7A12">
          <w:rPr>
            <w:rStyle w:val="Hyperlink"/>
            <w:i/>
            <w:iCs/>
            <w:sz w:val="18"/>
            <w:szCs w:val="22"/>
          </w:rPr>
          <w:t>zaposlenima</w:t>
        </w:r>
        <w:r w:rsidR="008E7A12" w:rsidRPr="008E7A12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8E7A12" w:rsidRPr="008E7A12">
          <w:rPr>
            <w:rStyle w:val="Hyperlink"/>
            <w:i/>
            <w:iCs/>
            <w:sz w:val="18"/>
            <w:szCs w:val="22"/>
          </w:rPr>
          <w:t>u</w:t>
        </w:r>
        <w:r w:rsidR="008E7A12" w:rsidRPr="008E7A12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8E7A12" w:rsidRPr="008E7A12">
          <w:rPr>
            <w:rStyle w:val="Hyperlink"/>
            <w:i/>
            <w:iCs/>
            <w:sz w:val="18"/>
            <w:szCs w:val="22"/>
          </w:rPr>
          <w:t>koriscenju</w:t>
        </w:r>
        <w:r w:rsidR="008E7A12" w:rsidRPr="008E7A12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8E7A12" w:rsidRPr="008E7A12">
          <w:rPr>
            <w:rStyle w:val="Hyperlink"/>
            <w:i/>
            <w:iCs/>
            <w:sz w:val="18"/>
            <w:szCs w:val="22"/>
          </w:rPr>
          <w:t>ezup</w:t>
        </w:r>
        <w:r w:rsidR="008E7A12" w:rsidRPr="008E7A12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8E7A12" w:rsidRPr="008E7A12">
          <w:rPr>
            <w:rStyle w:val="Hyperlink"/>
            <w:i/>
            <w:iCs/>
            <w:sz w:val="18"/>
            <w:szCs w:val="22"/>
          </w:rPr>
          <w:t>a</w:t>
        </w:r>
        <w:r w:rsidR="008E7A12" w:rsidRPr="008E7A12">
          <w:rPr>
            <w:rStyle w:val="Hyperlink"/>
            <w:i/>
            <w:iCs/>
            <w:sz w:val="18"/>
            <w:szCs w:val="22"/>
            <w:lang w:val="sr-Cyrl-RS"/>
          </w:rPr>
          <w:t>/</w:t>
        </w:r>
      </w:hyperlink>
      <w:r w:rsidR="008E7A12" w:rsidRPr="008E7A12">
        <w:rPr>
          <w:i/>
          <w:iCs/>
          <w:sz w:val="18"/>
          <w:szCs w:val="22"/>
        </w:rPr>
        <w:t> </w:t>
      </w:r>
      <w:r w:rsidRPr="00CF2D2A">
        <w:rPr>
          <w:i/>
          <w:sz w:val="18"/>
          <w:szCs w:val="22"/>
        </w:rPr>
        <w:t xml:space="preserve">). </w:t>
      </w:r>
    </w:p>
  </w:footnote>
  <w:footnote w:id="2">
    <w:p w14:paraId="7D02C3A4" w14:textId="3CFCF805" w:rsidR="004C1E43" w:rsidRPr="003343BC" w:rsidRDefault="004C1E43">
      <w:pPr>
        <w:pStyle w:val="FootnoteText"/>
        <w:rPr>
          <w:rFonts w:ascii="Times New Roman" w:hAnsi="Times New Roman"/>
          <w:i/>
          <w:sz w:val="18"/>
          <w:szCs w:val="18"/>
          <w:lang w:val="sr-Cyrl-RS"/>
        </w:rPr>
      </w:pPr>
      <w:r w:rsidRPr="004C1E43">
        <w:rPr>
          <w:rStyle w:val="FootnoteReference"/>
          <w:rFonts w:ascii="Times New Roman" w:hAnsi="Times New Roman"/>
          <w:i/>
          <w:sz w:val="18"/>
          <w:szCs w:val="18"/>
        </w:rPr>
        <w:footnoteRef/>
      </w:r>
      <w:r w:rsidRPr="004C1E43">
        <w:rPr>
          <w:rFonts w:ascii="Times New Roman" w:hAnsi="Times New Roman"/>
          <w:i/>
          <w:sz w:val="18"/>
          <w:szCs w:val="18"/>
        </w:rPr>
        <w:t xml:space="preserve"> </w:t>
      </w:r>
      <w:r w:rsidR="003343BC">
        <w:rPr>
          <w:rFonts w:ascii="Times New Roman" w:hAnsi="Times New Roman"/>
          <w:i/>
          <w:sz w:val="18"/>
          <w:szCs w:val="18"/>
          <w:lang w:val="sr-Cyrl-RS"/>
        </w:rPr>
        <w:t>Ибид.</w:t>
      </w:r>
    </w:p>
  </w:footnote>
  <w:footnote w:id="3">
    <w:p w14:paraId="602B8420" w14:textId="07AEA456" w:rsidR="00B147AC" w:rsidRPr="00924C4E" w:rsidRDefault="00B147AC" w:rsidP="0076211E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18"/>
          <w:lang w:val="sr-Cyrl-RS"/>
        </w:rPr>
      </w:pPr>
      <w:r w:rsidRPr="00924C4E">
        <w:rPr>
          <w:rStyle w:val="FootnoteReference"/>
          <w:i/>
          <w:sz w:val="18"/>
          <w:szCs w:val="18"/>
        </w:rPr>
        <w:footnoteRef/>
      </w:r>
      <w:r w:rsidRPr="00924C4E">
        <w:rPr>
          <w:i/>
          <w:sz w:val="18"/>
          <w:szCs w:val="18"/>
        </w:rPr>
        <w:t xml:space="preserve"> </w:t>
      </w:r>
      <w:r w:rsidR="0076211E">
        <w:rPr>
          <w:i/>
          <w:sz w:val="18"/>
          <w:szCs w:val="18"/>
          <w:lang w:val="sr-Cyrl-RS"/>
        </w:rPr>
        <w:t>Ибид.</w:t>
      </w:r>
      <w:r w:rsidRPr="00924C4E">
        <w:rPr>
          <w:i/>
          <w:sz w:val="18"/>
          <w:szCs w:val="18"/>
          <w:lang w:val="sr-Cyrl-RS"/>
        </w:rPr>
        <w:t xml:space="preserve"> </w:t>
      </w:r>
    </w:p>
    <w:p w14:paraId="00789905" w14:textId="77777777" w:rsidR="00B147AC" w:rsidRPr="00924C4E" w:rsidRDefault="00B147AC" w:rsidP="00B147AC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2778E"/>
    <w:multiLevelType w:val="hybridMultilevel"/>
    <w:tmpl w:val="7B222702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06" w:hanging="696"/>
      </w:pPr>
      <w:rPr>
        <w:rFonts w:ascii="Symbol" w:hAnsi="Symbol"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7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9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1" w15:restartNumberingAfterBreak="0">
    <w:nsid w:val="44855F3F"/>
    <w:multiLevelType w:val="hybridMultilevel"/>
    <w:tmpl w:val="8CA03780"/>
    <w:lvl w:ilvl="0" w:tplc="04090011">
      <w:start w:val="1"/>
      <w:numFmt w:val="decimal"/>
      <w:lvlText w:val="%1)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2" w15:restartNumberingAfterBreak="0">
    <w:nsid w:val="496F7D59"/>
    <w:multiLevelType w:val="hybridMultilevel"/>
    <w:tmpl w:val="464AD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402521"/>
    <w:multiLevelType w:val="hybridMultilevel"/>
    <w:tmpl w:val="BDFC078C"/>
    <w:lvl w:ilvl="0" w:tplc="04090011">
      <w:start w:val="1"/>
      <w:numFmt w:val="decimal"/>
      <w:lvlText w:val="%1)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31A6D49"/>
    <w:multiLevelType w:val="hybridMultilevel"/>
    <w:tmpl w:val="8B9A26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5"/>
  </w:num>
  <w:num w:numId="4">
    <w:abstractNumId w:val="11"/>
  </w:num>
  <w:num w:numId="5">
    <w:abstractNumId w:val="7"/>
  </w:num>
  <w:num w:numId="6">
    <w:abstractNumId w:val="24"/>
  </w:num>
  <w:num w:numId="7">
    <w:abstractNumId w:val="42"/>
  </w:num>
  <w:num w:numId="8">
    <w:abstractNumId w:val="18"/>
  </w:num>
  <w:num w:numId="9">
    <w:abstractNumId w:val="36"/>
  </w:num>
  <w:num w:numId="10">
    <w:abstractNumId w:val="33"/>
  </w:num>
  <w:num w:numId="11">
    <w:abstractNumId w:val="32"/>
  </w:num>
  <w:num w:numId="12">
    <w:abstractNumId w:val="30"/>
  </w:num>
  <w:num w:numId="13">
    <w:abstractNumId w:val="27"/>
  </w:num>
  <w:num w:numId="14">
    <w:abstractNumId w:val="34"/>
  </w:num>
  <w:num w:numId="15">
    <w:abstractNumId w:val="29"/>
  </w:num>
  <w:num w:numId="16">
    <w:abstractNumId w:val="20"/>
  </w:num>
  <w:num w:numId="17">
    <w:abstractNumId w:val="17"/>
  </w:num>
  <w:num w:numId="18">
    <w:abstractNumId w:val="39"/>
  </w:num>
  <w:num w:numId="19">
    <w:abstractNumId w:val="12"/>
  </w:num>
  <w:num w:numId="20">
    <w:abstractNumId w:val="43"/>
  </w:num>
  <w:num w:numId="21">
    <w:abstractNumId w:val="13"/>
  </w:num>
  <w:num w:numId="22">
    <w:abstractNumId w:val="10"/>
  </w:num>
  <w:num w:numId="23">
    <w:abstractNumId w:val="28"/>
  </w:num>
  <w:num w:numId="24">
    <w:abstractNumId w:val="2"/>
  </w:num>
  <w:num w:numId="25">
    <w:abstractNumId w:val="16"/>
  </w:num>
  <w:num w:numId="26">
    <w:abstractNumId w:val="8"/>
  </w:num>
  <w:num w:numId="27">
    <w:abstractNumId w:val="1"/>
  </w:num>
  <w:num w:numId="28">
    <w:abstractNumId w:val="3"/>
  </w:num>
  <w:num w:numId="29">
    <w:abstractNumId w:val="38"/>
  </w:num>
  <w:num w:numId="30">
    <w:abstractNumId w:val="19"/>
  </w:num>
  <w:num w:numId="31">
    <w:abstractNumId w:val="40"/>
  </w:num>
  <w:num w:numId="32">
    <w:abstractNumId w:val="26"/>
  </w:num>
  <w:num w:numId="33">
    <w:abstractNumId w:val="5"/>
  </w:num>
  <w:num w:numId="34">
    <w:abstractNumId w:val="4"/>
  </w:num>
  <w:num w:numId="35">
    <w:abstractNumId w:val="31"/>
  </w:num>
  <w:num w:numId="36">
    <w:abstractNumId w:val="9"/>
  </w:num>
  <w:num w:numId="37">
    <w:abstractNumId w:val="41"/>
  </w:num>
  <w:num w:numId="38">
    <w:abstractNumId w:val="35"/>
  </w:num>
  <w:num w:numId="39">
    <w:abstractNumId w:val="6"/>
  </w:num>
  <w:num w:numId="40">
    <w:abstractNumId w:val="15"/>
  </w:num>
  <w:num w:numId="41">
    <w:abstractNumId w:val="22"/>
  </w:num>
  <w:num w:numId="42">
    <w:abstractNumId w:val="37"/>
  </w:num>
  <w:num w:numId="43">
    <w:abstractNumId w:val="21"/>
  </w:num>
  <w:num w:numId="44">
    <w:abstractNumId w:val="23"/>
  </w:num>
  <w:num w:numId="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1342"/>
    <w:rsid w:val="00002164"/>
    <w:rsid w:val="000050B3"/>
    <w:rsid w:val="0001445B"/>
    <w:rsid w:val="00020306"/>
    <w:rsid w:val="00023EF9"/>
    <w:rsid w:val="00026C2F"/>
    <w:rsid w:val="00027945"/>
    <w:rsid w:val="00034CDF"/>
    <w:rsid w:val="00036812"/>
    <w:rsid w:val="00044F35"/>
    <w:rsid w:val="00044F63"/>
    <w:rsid w:val="00050616"/>
    <w:rsid w:val="00061070"/>
    <w:rsid w:val="00070F2F"/>
    <w:rsid w:val="00083993"/>
    <w:rsid w:val="00092B84"/>
    <w:rsid w:val="0009542A"/>
    <w:rsid w:val="000A34F5"/>
    <w:rsid w:val="000A53F3"/>
    <w:rsid w:val="000A5C3F"/>
    <w:rsid w:val="000A5CDC"/>
    <w:rsid w:val="000B54D7"/>
    <w:rsid w:val="000B55AC"/>
    <w:rsid w:val="000B7919"/>
    <w:rsid w:val="000D5029"/>
    <w:rsid w:val="000D7EB5"/>
    <w:rsid w:val="000E2036"/>
    <w:rsid w:val="000F5E72"/>
    <w:rsid w:val="001056C5"/>
    <w:rsid w:val="00111BF7"/>
    <w:rsid w:val="0011316C"/>
    <w:rsid w:val="001156BA"/>
    <w:rsid w:val="00121AD2"/>
    <w:rsid w:val="00124E64"/>
    <w:rsid w:val="00144CEE"/>
    <w:rsid w:val="0015182D"/>
    <w:rsid w:val="00161847"/>
    <w:rsid w:val="00170CA7"/>
    <w:rsid w:val="00184E79"/>
    <w:rsid w:val="001953AC"/>
    <w:rsid w:val="001969BA"/>
    <w:rsid w:val="001A023F"/>
    <w:rsid w:val="001A3FAC"/>
    <w:rsid w:val="001A4250"/>
    <w:rsid w:val="001A6472"/>
    <w:rsid w:val="001B250D"/>
    <w:rsid w:val="001C69C3"/>
    <w:rsid w:val="001D0EDE"/>
    <w:rsid w:val="001D20E2"/>
    <w:rsid w:val="001D7BFA"/>
    <w:rsid w:val="001E1E98"/>
    <w:rsid w:val="001E38DE"/>
    <w:rsid w:val="001F7B31"/>
    <w:rsid w:val="0020601F"/>
    <w:rsid w:val="0021261F"/>
    <w:rsid w:val="00212DA5"/>
    <w:rsid w:val="0021347C"/>
    <w:rsid w:val="00216148"/>
    <w:rsid w:val="00226012"/>
    <w:rsid w:val="002323AC"/>
    <w:rsid w:val="002409BB"/>
    <w:rsid w:val="00242B74"/>
    <w:rsid w:val="00257210"/>
    <w:rsid w:val="00261404"/>
    <w:rsid w:val="00266D84"/>
    <w:rsid w:val="00275E2A"/>
    <w:rsid w:val="002850AC"/>
    <w:rsid w:val="00285980"/>
    <w:rsid w:val="00287AFC"/>
    <w:rsid w:val="00296938"/>
    <w:rsid w:val="002A202F"/>
    <w:rsid w:val="002A24F8"/>
    <w:rsid w:val="002A5164"/>
    <w:rsid w:val="002B19B4"/>
    <w:rsid w:val="002B7102"/>
    <w:rsid w:val="002D4078"/>
    <w:rsid w:val="002E16FB"/>
    <w:rsid w:val="002E218A"/>
    <w:rsid w:val="002F1BEC"/>
    <w:rsid w:val="002F4757"/>
    <w:rsid w:val="0031340C"/>
    <w:rsid w:val="0031622B"/>
    <w:rsid w:val="00322199"/>
    <w:rsid w:val="003223C7"/>
    <w:rsid w:val="00324AF2"/>
    <w:rsid w:val="00325B1C"/>
    <w:rsid w:val="00326555"/>
    <w:rsid w:val="00332E68"/>
    <w:rsid w:val="003343BC"/>
    <w:rsid w:val="00334A0D"/>
    <w:rsid w:val="003373D5"/>
    <w:rsid w:val="003410E0"/>
    <w:rsid w:val="00350EAD"/>
    <w:rsid w:val="003511A5"/>
    <w:rsid w:val="003651DB"/>
    <w:rsid w:val="003715A0"/>
    <w:rsid w:val="0037171F"/>
    <w:rsid w:val="00376FD1"/>
    <w:rsid w:val="00383EE2"/>
    <w:rsid w:val="0039002C"/>
    <w:rsid w:val="00393F19"/>
    <w:rsid w:val="003A6677"/>
    <w:rsid w:val="003A68CF"/>
    <w:rsid w:val="003B44DB"/>
    <w:rsid w:val="003B4BC9"/>
    <w:rsid w:val="003B6298"/>
    <w:rsid w:val="003D5779"/>
    <w:rsid w:val="003E2EB1"/>
    <w:rsid w:val="003E3C16"/>
    <w:rsid w:val="003F458B"/>
    <w:rsid w:val="004005B4"/>
    <w:rsid w:val="004034E8"/>
    <w:rsid w:val="00407D96"/>
    <w:rsid w:val="004257FB"/>
    <w:rsid w:val="00432495"/>
    <w:rsid w:val="004365F8"/>
    <w:rsid w:val="0044090A"/>
    <w:rsid w:val="00443959"/>
    <w:rsid w:val="00444DA7"/>
    <w:rsid w:val="004531C4"/>
    <w:rsid w:val="00457882"/>
    <w:rsid w:val="00463CC7"/>
    <w:rsid w:val="00465A72"/>
    <w:rsid w:val="004809C4"/>
    <w:rsid w:val="00482AA6"/>
    <w:rsid w:val="0048433C"/>
    <w:rsid w:val="004847B1"/>
    <w:rsid w:val="0049545B"/>
    <w:rsid w:val="004A1054"/>
    <w:rsid w:val="004C1E43"/>
    <w:rsid w:val="004C511A"/>
    <w:rsid w:val="004D0C94"/>
    <w:rsid w:val="004D372B"/>
    <w:rsid w:val="004D3BD0"/>
    <w:rsid w:val="004D45B1"/>
    <w:rsid w:val="004D68A7"/>
    <w:rsid w:val="004E29D1"/>
    <w:rsid w:val="004E5F7C"/>
    <w:rsid w:val="00500566"/>
    <w:rsid w:val="005073A3"/>
    <w:rsid w:val="00513BFE"/>
    <w:rsid w:val="00523608"/>
    <w:rsid w:val="00525C0A"/>
    <w:rsid w:val="00535608"/>
    <w:rsid w:val="00543346"/>
    <w:rsid w:val="005460B7"/>
    <w:rsid w:val="00556688"/>
    <w:rsid w:val="0056162B"/>
    <w:rsid w:val="0056707B"/>
    <w:rsid w:val="00581A9D"/>
    <w:rsid w:val="00585976"/>
    <w:rsid w:val="005865D5"/>
    <w:rsid w:val="00595170"/>
    <w:rsid w:val="00596166"/>
    <w:rsid w:val="005A2503"/>
    <w:rsid w:val="005A2681"/>
    <w:rsid w:val="005B10BF"/>
    <w:rsid w:val="005B49DA"/>
    <w:rsid w:val="005B4F04"/>
    <w:rsid w:val="005B7CB9"/>
    <w:rsid w:val="005D0023"/>
    <w:rsid w:val="005E21C4"/>
    <w:rsid w:val="005E7E97"/>
    <w:rsid w:val="005F4D59"/>
    <w:rsid w:val="0060001C"/>
    <w:rsid w:val="00600D31"/>
    <w:rsid w:val="0060209C"/>
    <w:rsid w:val="006040A5"/>
    <w:rsid w:val="0060786A"/>
    <w:rsid w:val="00621751"/>
    <w:rsid w:val="006237FE"/>
    <w:rsid w:val="00626479"/>
    <w:rsid w:val="00627AF7"/>
    <w:rsid w:val="00631C8D"/>
    <w:rsid w:val="00632540"/>
    <w:rsid w:val="006327AB"/>
    <w:rsid w:val="0063398E"/>
    <w:rsid w:val="00633EFC"/>
    <w:rsid w:val="00633F73"/>
    <w:rsid w:val="00635454"/>
    <w:rsid w:val="00640D01"/>
    <w:rsid w:val="00645199"/>
    <w:rsid w:val="00645850"/>
    <w:rsid w:val="00664303"/>
    <w:rsid w:val="00683964"/>
    <w:rsid w:val="006914D4"/>
    <w:rsid w:val="00692071"/>
    <w:rsid w:val="00694B28"/>
    <w:rsid w:val="006C5349"/>
    <w:rsid w:val="006C5F2A"/>
    <w:rsid w:val="006C662C"/>
    <w:rsid w:val="006C7167"/>
    <w:rsid w:val="006E6A10"/>
    <w:rsid w:val="006F4A5C"/>
    <w:rsid w:val="007013A5"/>
    <w:rsid w:val="007136A5"/>
    <w:rsid w:val="00715F5C"/>
    <w:rsid w:val="007177AE"/>
    <w:rsid w:val="007178BB"/>
    <w:rsid w:val="00726B9F"/>
    <w:rsid w:val="007278C1"/>
    <w:rsid w:val="00733493"/>
    <w:rsid w:val="00737F1D"/>
    <w:rsid w:val="00751522"/>
    <w:rsid w:val="0076211E"/>
    <w:rsid w:val="00782816"/>
    <w:rsid w:val="007831C7"/>
    <w:rsid w:val="00785A46"/>
    <w:rsid w:val="007861E3"/>
    <w:rsid w:val="007940D6"/>
    <w:rsid w:val="007A012D"/>
    <w:rsid w:val="007A05F9"/>
    <w:rsid w:val="007B0E25"/>
    <w:rsid w:val="007B1740"/>
    <w:rsid w:val="007C2DBB"/>
    <w:rsid w:val="007C3A3D"/>
    <w:rsid w:val="007C61B5"/>
    <w:rsid w:val="007D1596"/>
    <w:rsid w:val="007D3889"/>
    <w:rsid w:val="007D39E4"/>
    <w:rsid w:val="007D43A7"/>
    <w:rsid w:val="007E1695"/>
    <w:rsid w:val="007E2EF6"/>
    <w:rsid w:val="007F204C"/>
    <w:rsid w:val="00804060"/>
    <w:rsid w:val="00806775"/>
    <w:rsid w:val="00812589"/>
    <w:rsid w:val="00815C17"/>
    <w:rsid w:val="008166C9"/>
    <w:rsid w:val="00824E43"/>
    <w:rsid w:val="00833D8C"/>
    <w:rsid w:val="00833F48"/>
    <w:rsid w:val="00834C9A"/>
    <w:rsid w:val="00834DF6"/>
    <w:rsid w:val="00841ACC"/>
    <w:rsid w:val="00843E2C"/>
    <w:rsid w:val="0084708C"/>
    <w:rsid w:val="00852739"/>
    <w:rsid w:val="00856CC5"/>
    <w:rsid w:val="008629CC"/>
    <w:rsid w:val="00865C65"/>
    <w:rsid w:val="00865EBB"/>
    <w:rsid w:val="0087370D"/>
    <w:rsid w:val="00876146"/>
    <w:rsid w:val="0087652B"/>
    <w:rsid w:val="00886C36"/>
    <w:rsid w:val="00895164"/>
    <w:rsid w:val="008A20C1"/>
    <w:rsid w:val="008A6AC8"/>
    <w:rsid w:val="008A7D05"/>
    <w:rsid w:val="008B388B"/>
    <w:rsid w:val="008B4703"/>
    <w:rsid w:val="008C111F"/>
    <w:rsid w:val="008C5591"/>
    <w:rsid w:val="008D04A6"/>
    <w:rsid w:val="008D4C1A"/>
    <w:rsid w:val="008D7778"/>
    <w:rsid w:val="008E7A12"/>
    <w:rsid w:val="008F0867"/>
    <w:rsid w:val="008F172F"/>
    <w:rsid w:val="008F2044"/>
    <w:rsid w:val="008F2BE1"/>
    <w:rsid w:val="008F3306"/>
    <w:rsid w:val="008F4DD1"/>
    <w:rsid w:val="008F51BF"/>
    <w:rsid w:val="00900278"/>
    <w:rsid w:val="009056DB"/>
    <w:rsid w:val="00911ECD"/>
    <w:rsid w:val="00913A3C"/>
    <w:rsid w:val="00915EE6"/>
    <w:rsid w:val="0093773C"/>
    <w:rsid w:val="00944254"/>
    <w:rsid w:val="00945594"/>
    <w:rsid w:val="00947592"/>
    <w:rsid w:val="00950280"/>
    <w:rsid w:val="0096220A"/>
    <w:rsid w:val="00973E35"/>
    <w:rsid w:val="0097696A"/>
    <w:rsid w:val="00991A18"/>
    <w:rsid w:val="00994A16"/>
    <w:rsid w:val="009A30D3"/>
    <w:rsid w:val="009B360C"/>
    <w:rsid w:val="009D03A7"/>
    <w:rsid w:val="009D28E7"/>
    <w:rsid w:val="009E0479"/>
    <w:rsid w:val="009F6F86"/>
    <w:rsid w:val="00A0102E"/>
    <w:rsid w:val="00A033F6"/>
    <w:rsid w:val="00A06736"/>
    <w:rsid w:val="00A12960"/>
    <w:rsid w:val="00A1570D"/>
    <w:rsid w:val="00A22386"/>
    <w:rsid w:val="00A2725C"/>
    <w:rsid w:val="00A56B75"/>
    <w:rsid w:val="00A577FB"/>
    <w:rsid w:val="00A676F5"/>
    <w:rsid w:val="00A71C04"/>
    <w:rsid w:val="00A7274F"/>
    <w:rsid w:val="00A94C1B"/>
    <w:rsid w:val="00A97FF0"/>
    <w:rsid w:val="00AA0017"/>
    <w:rsid w:val="00AA425A"/>
    <w:rsid w:val="00AA4BC5"/>
    <w:rsid w:val="00AB09B3"/>
    <w:rsid w:val="00AB5CC6"/>
    <w:rsid w:val="00AC02D1"/>
    <w:rsid w:val="00AC1CC6"/>
    <w:rsid w:val="00AD37B8"/>
    <w:rsid w:val="00AD5B58"/>
    <w:rsid w:val="00AE1A12"/>
    <w:rsid w:val="00AE7CA3"/>
    <w:rsid w:val="00B05E86"/>
    <w:rsid w:val="00B06019"/>
    <w:rsid w:val="00B07409"/>
    <w:rsid w:val="00B1006E"/>
    <w:rsid w:val="00B147AC"/>
    <w:rsid w:val="00B14A75"/>
    <w:rsid w:val="00B178FB"/>
    <w:rsid w:val="00B20741"/>
    <w:rsid w:val="00B5252A"/>
    <w:rsid w:val="00B57D2B"/>
    <w:rsid w:val="00B63DB1"/>
    <w:rsid w:val="00B67138"/>
    <w:rsid w:val="00B6715C"/>
    <w:rsid w:val="00B675F5"/>
    <w:rsid w:val="00B704A7"/>
    <w:rsid w:val="00B81CFE"/>
    <w:rsid w:val="00B903AE"/>
    <w:rsid w:val="00B9157F"/>
    <w:rsid w:val="00B9204E"/>
    <w:rsid w:val="00B95225"/>
    <w:rsid w:val="00BA55D3"/>
    <w:rsid w:val="00BA6759"/>
    <w:rsid w:val="00BA7204"/>
    <w:rsid w:val="00BB3E92"/>
    <w:rsid w:val="00BB45DD"/>
    <w:rsid w:val="00BD2369"/>
    <w:rsid w:val="00BF0CFF"/>
    <w:rsid w:val="00BF3B4B"/>
    <w:rsid w:val="00C0295C"/>
    <w:rsid w:val="00C03AB0"/>
    <w:rsid w:val="00C03C06"/>
    <w:rsid w:val="00C121EC"/>
    <w:rsid w:val="00C12C65"/>
    <w:rsid w:val="00C22ED0"/>
    <w:rsid w:val="00C42B27"/>
    <w:rsid w:val="00C445E2"/>
    <w:rsid w:val="00C7129D"/>
    <w:rsid w:val="00C72D6E"/>
    <w:rsid w:val="00C748D1"/>
    <w:rsid w:val="00C76890"/>
    <w:rsid w:val="00C82093"/>
    <w:rsid w:val="00C91014"/>
    <w:rsid w:val="00C921ED"/>
    <w:rsid w:val="00CB197B"/>
    <w:rsid w:val="00CB1A4E"/>
    <w:rsid w:val="00CB5A92"/>
    <w:rsid w:val="00CC29F6"/>
    <w:rsid w:val="00CC48FF"/>
    <w:rsid w:val="00CD2287"/>
    <w:rsid w:val="00CD47EC"/>
    <w:rsid w:val="00CD5BBB"/>
    <w:rsid w:val="00CE0685"/>
    <w:rsid w:val="00CF405E"/>
    <w:rsid w:val="00D0089A"/>
    <w:rsid w:val="00D217BF"/>
    <w:rsid w:val="00D40915"/>
    <w:rsid w:val="00D60C59"/>
    <w:rsid w:val="00D73628"/>
    <w:rsid w:val="00D73918"/>
    <w:rsid w:val="00D768F2"/>
    <w:rsid w:val="00D967D7"/>
    <w:rsid w:val="00DA125D"/>
    <w:rsid w:val="00DA68A8"/>
    <w:rsid w:val="00DB2794"/>
    <w:rsid w:val="00DB28E5"/>
    <w:rsid w:val="00DB604A"/>
    <w:rsid w:val="00DC0F2A"/>
    <w:rsid w:val="00DC4BC2"/>
    <w:rsid w:val="00DD42C1"/>
    <w:rsid w:val="00DE057D"/>
    <w:rsid w:val="00DF6C6C"/>
    <w:rsid w:val="00E0020F"/>
    <w:rsid w:val="00E118C7"/>
    <w:rsid w:val="00E1427B"/>
    <w:rsid w:val="00E14E0D"/>
    <w:rsid w:val="00E20F80"/>
    <w:rsid w:val="00E22B8B"/>
    <w:rsid w:val="00E40DF0"/>
    <w:rsid w:val="00E4267B"/>
    <w:rsid w:val="00E47DAC"/>
    <w:rsid w:val="00E50721"/>
    <w:rsid w:val="00E63C8A"/>
    <w:rsid w:val="00E70BF6"/>
    <w:rsid w:val="00E750CE"/>
    <w:rsid w:val="00E800D7"/>
    <w:rsid w:val="00E84E53"/>
    <w:rsid w:val="00E9118D"/>
    <w:rsid w:val="00EA4E8D"/>
    <w:rsid w:val="00EB617F"/>
    <w:rsid w:val="00EE52CA"/>
    <w:rsid w:val="00EE5584"/>
    <w:rsid w:val="00EF189C"/>
    <w:rsid w:val="00F0687D"/>
    <w:rsid w:val="00F11C98"/>
    <w:rsid w:val="00F12E47"/>
    <w:rsid w:val="00F17354"/>
    <w:rsid w:val="00F223B2"/>
    <w:rsid w:val="00F236C0"/>
    <w:rsid w:val="00F27E35"/>
    <w:rsid w:val="00F51990"/>
    <w:rsid w:val="00F53241"/>
    <w:rsid w:val="00F67790"/>
    <w:rsid w:val="00F70E35"/>
    <w:rsid w:val="00F74844"/>
    <w:rsid w:val="00FA0A4B"/>
    <w:rsid w:val="00FA1914"/>
    <w:rsid w:val="00FB1A1B"/>
    <w:rsid w:val="00FB645B"/>
    <w:rsid w:val="00FC09D6"/>
    <w:rsid w:val="00FC34EC"/>
    <w:rsid w:val="00FC3F69"/>
    <w:rsid w:val="00FC5312"/>
    <w:rsid w:val="00FD1501"/>
    <w:rsid w:val="00FD3964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BBBB2C27-EAF0-48FD-AEB5-A60CA0A81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79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duls.gov.rs/reforma-javne-uprave/reforma-upravnog-postupka/podrska-zaposlenima-u-koriscenju-ezup-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CCFAF-3584-43DF-81E8-D78E200F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3888</Words>
  <Characters>22162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Katarina Milanovic</cp:lastModifiedBy>
  <cp:revision>31</cp:revision>
  <cp:lastPrinted>2018-09-10T06:55:00Z</cp:lastPrinted>
  <dcterms:created xsi:type="dcterms:W3CDTF">2019-03-01T11:45:00Z</dcterms:created>
  <dcterms:modified xsi:type="dcterms:W3CDTF">2019-04-08T11:26:00Z</dcterms:modified>
</cp:coreProperties>
</file>