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01BDE" w14:textId="77777777" w:rsidR="00C2219C" w:rsidRDefault="00A70702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A70702">
        <w:rPr>
          <w:b/>
          <w:sz w:val="22"/>
          <w:szCs w:val="22"/>
          <w:lang w:val="sr-Cyrl-RS"/>
        </w:rPr>
        <w:t>ДИГИТАЛИЗАЦИЈА УЗ ПОЈЕДНОСТАВЉЕЊЕ ПОСТУПКА ОДУЗИМАЊА ОВЛАШЋЕЊА ЗА ВРШЕЊЕ ТЕХНИЧКИХ ПРЕГЛЕДА ВОЗИЛА</w:t>
      </w:r>
    </w:p>
    <w:p w14:paraId="2B7CB0FB" w14:textId="77777777" w:rsidR="00B1006E" w:rsidRPr="00CE61AA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30DAA" w14:paraId="342F56E2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99E6706" w14:textId="77777777" w:rsidR="000E2036" w:rsidRPr="00CE61AA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CE61A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7CE339DA" w14:textId="77777777" w:rsidR="000E2036" w:rsidRPr="00CE61AA" w:rsidRDefault="002B644D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CE61AA">
              <w:rPr>
                <w:sz w:val="22"/>
                <w:szCs w:val="22"/>
                <w:lang w:val="sr-Cyrl-RS"/>
              </w:rPr>
              <w:t>Одузимање овлашћења за вршење техничких прегледа возила</w:t>
            </w:r>
          </w:p>
        </w:tc>
      </w:tr>
      <w:tr w:rsidR="00850AD5" w:rsidRPr="00CE61AA" w14:paraId="77A003D7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724EB27" w14:textId="77777777" w:rsidR="000E2036" w:rsidRPr="00CE61AA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E61AA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E5E02D8" w14:textId="77777777" w:rsidR="000E2036" w:rsidRPr="00CE61AA" w:rsidRDefault="004C1D6A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CE61AA">
              <w:rPr>
                <w:sz w:val="22"/>
                <w:szCs w:val="22"/>
                <w:lang w:val="sr-Cyrl-RS"/>
              </w:rPr>
              <w:t>03.00.00</w:t>
            </w:r>
            <w:r w:rsidR="00EC761E" w:rsidRPr="00CE61AA">
              <w:rPr>
                <w:sz w:val="22"/>
                <w:szCs w:val="22"/>
                <w:lang w:val="sr-Cyrl-RS"/>
              </w:rPr>
              <w:t>05</w:t>
            </w:r>
          </w:p>
        </w:tc>
      </w:tr>
      <w:tr w:rsidR="00850AD5" w:rsidRPr="00CE61AA" w14:paraId="7E5E80A1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50C0342F" w14:textId="77777777" w:rsidR="00275E2A" w:rsidRPr="00CE61A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E61AA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789ECA42" w14:textId="77777777" w:rsidR="00275E2A" w:rsidRPr="00CE61A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E61AA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7EC24859" w14:textId="77777777" w:rsidR="00092B84" w:rsidRPr="00CE61AA" w:rsidRDefault="004C1D6A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CE61AA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850AD5" w:rsidRPr="00D30DAA" w14:paraId="226DCBB8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A799BE6" w14:textId="77777777" w:rsidR="00275E2A" w:rsidRPr="00CE61AA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E61AA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CE61AA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CE61AA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65E8052" w14:textId="086FEE49" w:rsidR="00645199" w:rsidRPr="00C2219C" w:rsidRDefault="00EC761E" w:rsidP="00EC761E">
            <w:pPr>
              <w:pStyle w:val="ListParagraph"/>
              <w:numPr>
                <w:ilvl w:val="0"/>
                <w:numId w:val="25"/>
              </w:numPr>
              <w:spacing w:before="120" w:after="120"/>
              <w:ind w:left="31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безбедности саобраћаја на путевима </w:t>
            </w: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(„Сл. гласник РС“ број</w:t>
            </w:r>
            <w:r w:rsidRPr="00C2219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C2219C" w:rsidRPr="00C2219C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41/2009, 53/2010, 101/2011, 32/2013-УС, 55/2014, 96/2015 - др. закон, 9/2016- УС, 24/2018, 41/2018, 41/2018-др. закон, 87/2018</w:t>
            </w:r>
            <w:r w:rsidRPr="00C2219C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D30DAA" w14:paraId="54E2A601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92D041E" w14:textId="77777777" w:rsidR="00D73918" w:rsidRPr="00CE61AA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CE61A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CE61A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CE61A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7F03EE87" w14:textId="48BE66E1" w:rsidR="00A90986" w:rsidRPr="00C2219C" w:rsidRDefault="009E54FC" w:rsidP="000418A1">
            <w:pPr>
              <w:pStyle w:val="ListParagraph"/>
              <w:numPr>
                <w:ilvl w:val="0"/>
                <w:numId w:val="33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безбедности саобраћаја на путевима </w:t>
            </w: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(„Сл. гласник РС“ број</w:t>
            </w:r>
            <w:r w:rsidRPr="00C2219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C2219C" w:rsidRPr="00C2219C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41/2009, 53/2010, 101/2011, 32/2013-УС, 55/2014, 96/2015 - др. закон, 9/2016- УС, 24/2018, 41/2018, 41/2018-др. закон, 87/2018</w:t>
            </w:r>
            <w:r w:rsidRPr="00C2219C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1256BE" w:rsidRPr="00CE61AA" w14:paraId="73257AFB" w14:textId="77777777" w:rsidTr="00D044AF">
        <w:tc>
          <w:tcPr>
            <w:tcW w:w="2689" w:type="dxa"/>
            <w:shd w:val="clear" w:color="auto" w:fill="DBE5F1" w:themeFill="accent1" w:themeFillTint="33"/>
            <w:vAlign w:val="center"/>
          </w:tcPr>
          <w:p w14:paraId="16076309" w14:textId="77777777" w:rsidR="001256BE" w:rsidRPr="00CE61AA" w:rsidRDefault="001256BE" w:rsidP="001256B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E61AA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</w:tcPr>
          <w:p w14:paraId="2390554F" w14:textId="61840197" w:rsidR="001256BE" w:rsidRPr="002F0BAF" w:rsidRDefault="002056F0" w:rsidP="00DA616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Cyrl-RS"/>
              </w:rPr>
              <w:t>Први квартал 2021. године</w:t>
            </w:r>
            <w:r w:rsidRPr="00C27948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275E2A" w:rsidRPr="00CE61AA" w14:paraId="19F23337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7FEBF3BA" w14:textId="77777777" w:rsidR="00275E2A" w:rsidRPr="00CE61AA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E61AA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30DAA" w14:paraId="48FAB60E" w14:textId="77777777" w:rsidTr="00CA1CE9">
        <w:tc>
          <w:tcPr>
            <w:tcW w:w="9060" w:type="dxa"/>
            <w:gridSpan w:val="2"/>
          </w:tcPr>
          <w:p w14:paraId="18F10D30" w14:textId="5DD6A8FF" w:rsidR="00144229" w:rsidRPr="00CE61AA" w:rsidRDefault="004C1D6A" w:rsidP="00B3002F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ствара значајно административно оптерећење правним лицима, на шта указује </w:t>
            </w:r>
            <w:r w:rsidR="00BE4C71"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компликована процедура у случају намере правног лица да престане да обавља делатност вршења техничких прегледа и дуг рок који из ње произилази. </w:t>
            </w:r>
          </w:p>
          <w:p w14:paraId="7BA37634" w14:textId="0DDC8580" w:rsidR="00C14FFF" w:rsidRPr="00CE61AA" w:rsidRDefault="00DC2ECE" w:rsidP="00B3002F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 </w:t>
            </w:r>
          </w:p>
        </w:tc>
      </w:tr>
      <w:tr w:rsidR="00275E2A" w:rsidRPr="00CE61AA" w14:paraId="57F797CD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55271904" w14:textId="77777777" w:rsidR="00275E2A" w:rsidRPr="00CE61AA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E61AA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CE61AA" w14:paraId="0A5A4BE2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50877C26" w14:textId="77777777" w:rsidR="00C70F1B" w:rsidRPr="00CE61AA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2"/>
              <w:gridCol w:w="1739"/>
              <w:gridCol w:w="2163"/>
              <w:gridCol w:w="1650"/>
            </w:tblGrid>
            <w:tr w:rsidR="00D95137" w:rsidRPr="00D30DAA" w14:paraId="4E493004" w14:textId="77777777" w:rsidTr="00AB71EA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8B28E20" w14:textId="77777777" w:rsidR="008B5A7A" w:rsidRPr="00CE61AA" w:rsidRDefault="008B5A7A" w:rsidP="008B5A7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CE61A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5035709" w14:textId="77777777" w:rsidR="008B5A7A" w:rsidRPr="00CE61AA" w:rsidRDefault="008B5A7A" w:rsidP="008B5A7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CE61A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C2EE663" w14:textId="77777777" w:rsidR="008B5A7A" w:rsidRPr="00CE61AA" w:rsidRDefault="008B5A7A" w:rsidP="008B5A7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CE61A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D95137" w:rsidRPr="00CE61AA" w14:paraId="67115DEE" w14:textId="77777777" w:rsidTr="00AB71EA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8C3F14D" w14:textId="77777777" w:rsidR="008B5A7A" w:rsidRPr="00CE61AA" w:rsidRDefault="008B5A7A" w:rsidP="008B5A7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00D0DBC" w14:textId="77777777" w:rsidR="008B5A7A" w:rsidRPr="00CE61AA" w:rsidRDefault="008B5A7A" w:rsidP="008B5A7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CE61A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FD4BB50" w14:textId="77777777" w:rsidR="008B5A7A" w:rsidRPr="00CE61AA" w:rsidRDefault="008B5A7A" w:rsidP="008B5A7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CE61A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F22D9FC" w14:textId="77777777" w:rsidR="008B5A7A" w:rsidRPr="00CE61AA" w:rsidRDefault="008B5A7A" w:rsidP="008B5A7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D95137" w:rsidRPr="00CE61AA" w14:paraId="45C03533" w14:textId="77777777" w:rsidTr="00AB71EA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4D54F2" w14:textId="77777777" w:rsidR="008B5A7A" w:rsidRPr="00CE61AA" w:rsidRDefault="009E54FC" w:rsidP="008B5A7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CE61AA">
                    <w:rPr>
                      <w:rFonts w:ascii="Times New Roman" w:hAnsi="Times New Roman"/>
                      <w:b/>
                      <w:lang w:val="sr-Cyrl-RS" w:eastAsia="en-GB"/>
                    </w:rPr>
                    <w:t>Прописивање поступка подношења обавештења о престанку рада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C08774" w14:textId="77777777" w:rsidR="008B5A7A" w:rsidRPr="00CE61AA" w:rsidRDefault="008B5A7A" w:rsidP="008B5A7A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CE61A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  <w:r w:rsidR="003B64C5" w:rsidRPr="00CE61AA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22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19482D" w14:textId="77777777" w:rsidR="008B5A7A" w:rsidRPr="00CE61AA" w:rsidRDefault="008B5A7A" w:rsidP="008B5A7A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CE61AA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F2DAC8" w14:textId="77777777" w:rsidR="008B5A7A" w:rsidRPr="00CE61AA" w:rsidRDefault="008B5A7A" w:rsidP="008B5A7A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CE61AA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 </w:t>
                  </w:r>
                  <w:r w:rsidR="003B64C5" w:rsidRPr="00CE61AA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1</w:t>
                  </w:r>
                </w:p>
              </w:tc>
            </w:tr>
            <w:tr w:rsidR="0007079A" w:rsidRPr="00CE61AA" w14:paraId="1B061B23" w14:textId="77777777" w:rsidTr="00AB71EA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C5B9D2" w14:textId="77777777" w:rsidR="0007079A" w:rsidRPr="00CE61AA" w:rsidRDefault="0007079A" w:rsidP="0007079A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CE61A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769464" w14:textId="77777777" w:rsidR="0007079A" w:rsidRPr="00CE61AA" w:rsidRDefault="0007079A" w:rsidP="0007079A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2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2797C5" w14:textId="77777777" w:rsidR="0007079A" w:rsidRPr="00CE61AA" w:rsidRDefault="0007079A" w:rsidP="0007079A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CE61AA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F6396E" w14:textId="77777777" w:rsidR="0007079A" w:rsidRPr="00CE61AA" w:rsidRDefault="0007079A" w:rsidP="0007079A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07079A" w:rsidRPr="00CE61AA" w14:paraId="5D533A22" w14:textId="77777777" w:rsidTr="00AB71EA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4BCFF3" w14:textId="77777777" w:rsidR="0007079A" w:rsidRPr="00CE61AA" w:rsidRDefault="0007079A" w:rsidP="0007079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CE61A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Увођење обрасца обавештења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758CFE" w14:textId="77777777" w:rsidR="0007079A" w:rsidRPr="00CE61AA" w:rsidRDefault="0007079A" w:rsidP="0007079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CE61A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2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AEE5CE" w14:textId="77777777" w:rsidR="0007079A" w:rsidRPr="00CE61AA" w:rsidRDefault="0007079A" w:rsidP="0007079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CE61AA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B301A7" w14:textId="77777777" w:rsidR="0007079A" w:rsidRPr="00CE61AA" w:rsidRDefault="0007079A" w:rsidP="0007079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CE61A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07079A" w:rsidRPr="00CE61AA" w14:paraId="6696E603" w14:textId="77777777" w:rsidTr="00AB71EA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EA1BB7" w14:textId="77777777" w:rsidR="0007079A" w:rsidRPr="00CE61AA" w:rsidRDefault="0007079A" w:rsidP="0007079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CE61A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Рокови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3634DE" w14:textId="77777777" w:rsidR="0007079A" w:rsidRPr="00CE61AA" w:rsidRDefault="0007079A" w:rsidP="0007079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CE61A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07079A" w:rsidRPr="00CE61AA" w14:paraId="3327BE48" w14:textId="77777777" w:rsidTr="00AB71EA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02F83A" w14:textId="77777777" w:rsidR="0007079A" w:rsidRPr="00CE61AA" w:rsidRDefault="00110C77" w:rsidP="0007079A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CE61AA">
                    <w:rPr>
                      <w:rFonts w:ascii="Times New Roman" w:hAnsi="Times New Roman"/>
                      <w:i/>
                      <w:lang w:val="sr-Cyrl-RS"/>
                    </w:rPr>
                    <w:t>Прописивање рока посебним прописом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F99B90" w14:textId="77777777" w:rsidR="0007079A" w:rsidRPr="00CE61AA" w:rsidRDefault="0007079A" w:rsidP="0007079A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CE61AA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 Х</w:t>
                  </w:r>
                </w:p>
              </w:tc>
              <w:tc>
                <w:tcPr>
                  <w:tcW w:w="122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D1E2FD" w14:textId="77777777" w:rsidR="0007079A" w:rsidRPr="00CE61AA" w:rsidRDefault="0007079A" w:rsidP="0007079A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CE61AA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93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FDF189" w14:textId="77777777" w:rsidR="0007079A" w:rsidRPr="00CE61AA" w:rsidRDefault="0007079A" w:rsidP="0007079A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CE61AA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1 </w:t>
                  </w:r>
                </w:p>
              </w:tc>
            </w:tr>
          </w:tbl>
          <w:p w14:paraId="485BF1DB" w14:textId="77777777" w:rsidR="008B5A7A" w:rsidRPr="00CE61AA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CE61AA" w14:paraId="23EBAE89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51DD11A" w14:textId="77777777" w:rsidR="00CA1CE9" w:rsidRPr="00CE61AA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CE61AA" w14:paraId="6BC81FE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3937A50" w14:textId="77777777" w:rsidR="00CA1CE9" w:rsidRPr="00CE61AA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E61AA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F118C0" w14:paraId="4196703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77D071B" w14:textId="4AC6E9DF" w:rsidR="009B0D59" w:rsidRPr="00CE61AA" w:rsidRDefault="009B0D59" w:rsidP="000E3AB7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33BED569" w14:textId="3D2484F2" w:rsidR="00547404" w:rsidRPr="00CE61AA" w:rsidRDefault="00943E49" w:rsidP="00547404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CE61AA">
              <w:rPr>
                <w:b/>
                <w:sz w:val="22"/>
                <w:szCs w:val="22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4FAFA798" w14:textId="77777777" w:rsidR="009B0D59" w:rsidRPr="00CE61AA" w:rsidRDefault="009B0D59" w:rsidP="000E3AB7">
            <w:pPr>
              <w:pStyle w:val="NormalWeb"/>
              <w:spacing w:before="0" w:beforeAutospacing="0" w:after="0" w:afterAutospacing="0"/>
              <w:ind w:left="360"/>
              <w:jc w:val="both"/>
              <w:rPr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20BD63AA" w14:textId="77777777" w:rsidR="004C1D6A" w:rsidRPr="00CE61AA" w:rsidRDefault="009E54FC" w:rsidP="000E3AB7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 w:eastAsia="en-GB"/>
              </w:rPr>
            </w:pPr>
            <w:r w:rsidRPr="00CE61AA">
              <w:rPr>
                <w:b/>
                <w:sz w:val="22"/>
                <w:szCs w:val="22"/>
                <w:u w:val="single"/>
                <w:lang w:val="sr-Cyrl-RS" w:eastAsia="en-GB"/>
              </w:rPr>
              <w:t>Прописивање поступка п</w:t>
            </w:r>
            <w:r w:rsidR="00C70DAF" w:rsidRPr="00CE61AA">
              <w:rPr>
                <w:b/>
                <w:sz w:val="22"/>
                <w:szCs w:val="22"/>
                <w:u w:val="single"/>
                <w:lang w:val="sr-Cyrl-RS" w:eastAsia="en-GB"/>
              </w:rPr>
              <w:t>одношењ</w:t>
            </w:r>
            <w:r w:rsidRPr="00CE61AA">
              <w:rPr>
                <w:b/>
                <w:sz w:val="22"/>
                <w:szCs w:val="22"/>
                <w:u w:val="single"/>
                <w:lang w:val="sr-Cyrl-RS" w:eastAsia="en-GB"/>
              </w:rPr>
              <w:t>а</w:t>
            </w:r>
            <w:r w:rsidR="00C70DAF" w:rsidRPr="00CE61AA">
              <w:rPr>
                <w:b/>
                <w:sz w:val="22"/>
                <w:szCs w:val="22"/>
                <w:u w:val="single"/>
                <w:lang w:val="sr-Cyrl-RS" w:eastAsia="en-GB"/>
              </w:rPr>
              <w:t xml:space="preserve"> обавештења о престанку рада</w:t>
            </w:r>
          </w:p>
          <w:p w14:paraId="1CA52463" w14:textId="77777777" w:rsidR="00110C77" w:rsidRPr="00CE61AA" w:rsidRDefault="004C1D6A" w:rsidP="000E3AB7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CE61AA">
              <w:rPr>
                <w:sz w:val="22"/>
                <w:szCs w:val="22"/>
                <w:lang w:val="sr-Cyrl-RS"/>
              </w:rPr>
              <w:t xml:space="preserve">Предлаже се </w:t>
            </w:r>
            <w:r w:rsidR="00C70DAF" w:rsidRPr="00CE61AA">
              <w:rPr>
                <w:sz w:val="22"/>
                <w:szCs w:val="22"/>
                <w:lang w:val="sr-Cyrl-RS"/>
              </w:rPr>
              <w:t xml:space="preserve">значајно поједностављење поступка, </w:t>
            </w:r>
            <w:r w:rsidR="002047AB" w:rsidRPr="00CE61AA">
              <w:rPr>
                <w:sz w:val="22"/>
                <w:szCs w:val="22"/>
                <w:lang w:val="sr-Cyrl-RS"/>
              </w:rPr>
              <w:t>тако</w:t>
            </w:r>
            <w:r w:rsidR="00C70DAF" w:rsidRPr="00CE61AA">
              <w:rPr>
                <w:sz w:val="22"/>
                <w:szCs w:val="22"/>
                <w:lang w:val="sr-Cyrl-RS"/>
              </w:rPr>
              <w:t xml:space="preserve"> што ће привредни субјекат, који жели да престане са обављањем делатности вршења техничких прегледа возила, поднети Министарству Обавештење о престанку обављања делатности. Како привредни субјекат може из било ко</w:t>
            </w:r>
            <w:r w:rsidR="00FF2181" w:rsidRPr="00CE61AA">
              <w:rPr>
                <w:sz w:val="22"/>
                <w:szCs w:val="22"/>
                <w:lang w:val="sr-Cyrl-RS"/>
              </w:rPr>
              <w:t>г</w:t>
            </w:r>
            <w:r w:rsidR="00C70DAF" w:rsidRPr="00CE61AA">
              <w:rPr>
                <w:sz w:val="22"/>
                <w:szCs w:val="22"/>
                <w:lang w:val="sr-Cyrl-RS"/>
              </w:rPr>
              <w:t xml:space="preserve"> разлога слободно одлучити да престане са обављањем делатности, то подношење документације и провера испуњености услова обиласком привредног субјекта</w:t>
            </w:r>
            <w:r w:rsidR="006978E6" w:rsidRPr="00CE61AA">
              <w:rPr>
                <w:sz w:val="22"/>
                <w:szCs w:val="22"/>
                <w:lang w:val="sr-Cyrl-RS"/>
              </w:rPr>
              <w:t>,</w:t>
            </w:r>
            <w:r w:rsidR="00FF2181" w:rsidRPr="00CE61AA">
              <w:rPr>
                <w:sz w:val="22"/>
                <w:szCs w:val="22"/>
                <w:lang w:val="sr-Cyrl-RS"/>
              </w:rPr>
              <w:t xml:space="preserve"> на начин на који се тренутно спроводи</w:t>
            </w:r>
            <w:r w:rsidR="006978E6" w:rsidRPr="00CE61AA">
              <w:rPr>
                <w:sz w:val="22"/>
                <w:szCs w:val="22"/>
                <w:lang w:val="sr-Cyrl-RS"/>
              </w:rPr>
              <w:t>,</w:t>
            </w:r>
            <w:r w:rsidR="00C70DAF" w:rsidRPr="00CE61AA">
              <w:rPr>
                <w:sz w:val="22"/>
                <w:szCs w:val="22"/>
                <w:lang w:val="sr-Cyrl-RS"/>
              </w:rPr>
              <w:t xml:space="preserve"> није </w:t>
            </w:r>
            <w:r w:rsidR="00FF2181" w:rsidRPr="00CE61AA">
              <w:rPr>
                <w:sz w:val="22"/>
                <w:szCs w:val="22"/>
                <w:lang w:val="sr-Cyrl-RS"/>
              </w:rPr>
              <w:t xml:space="preserve">оправдано нити </w:t>
            </w:r>
            <w:r w:rsidR="00C70DAF" w:rsidRPr="00CE61AA">
              <w:rPr>
                <w:sz w:val="22"/>
                <w:szCs w:val="22"/>
                <w:lang w:val="sr-Cyrl-RS"/>
              </w:rPr>
              <w:t xml:space="preserve">сврсисходно. </w:t>
            </w:r>
            <w:r w:rsidR="00110C77" w:rsidRPr="00CE61AA">
              <w:rPr>
                <w:sz w:val="22"/>
                <w:szCs w:val="22"/>
                <w:lang w:val="sr-Cyrl-RS"/>
              </w:rPr>
              <w:t>Овоме иде у прилог и члан 30</w:t>
            </w:r>
            <w:r w:rsidR="00153A5B" w:rsidRPr="00CE61AA">
              <w:rPr>
                <w:sz w:val="22"/>
                <w:szCs w:val="22"/>
                <w:lang w:val="sr-Cyrl-RS"/>
              </w:rPr>
              <w:t>8</w:t>
            </w:r>
            <w:r w:rsidR="00110C77" w:rsidRPr="00CE61AA">
              <w:rPr>
                <w:sz w:val="22"/>
                <w:szCs w:val="22"/>
                <w:lang w:val="sr-Cyrl-RS"/>
              </w:rPr>
              <w:t>. Закона о безбедности саобраћаја на путевима, којим је наведено</w:t>
            </w:r>
            <w:r w:rsidR="00153A5B" w:rsidRPr="00CE61AA">
              <w:rPr>
                <w:sz w:val="22"/>
                <w:szCs w:val="22"/>
                <w:lang w:val="sr-Cyrl-RS"/>
              </w:rPr>
              <w:t>:</w:t>
            </w:r>
            <w:r w:rsidR="00110C77" w:rsidRPr="00CE61AA">
              <w:rPr>
                <w:sz w:val="22"/>
                <w:szCs w:val="22"/>
                <w:lang w:val="sr-Cyrl-RS"/>
              </w:rPr>
              <w:t xml:space="preserve"> </w:t>
            </w:r>
            <w:r w:rsidR="00153A5B" w:rsidRPr="00CE61AA">
              <w:rPr>
                <w:sz w:val="22"/>
                <w:szCs w:val="22"/>
                <w:lang w:val="sr-Cyrl-RS"/>
              </w:rPr>
              <w:t>„</w:t>
            </w:r>
            <w:r w:rsidR="00110C77" w:rsidRPr="00CE61AA">
              <w:rPr>
                <w:color w:val="000000"/>
                <w:sz w:val="22"/>
                <w:szCs w:val="22"/>
                <w:lang w:val="sr-Cyrl-RS"/>
              </w:rPr>
              <w:t>Министарство унутрашњих послова одузеће овлашћење за вршење техничког прегледа привредном друштву овлашћеном за вршење техничког прегледа возила, ако буде обавештено у писаном облику да је привредно друштво престало да обавља техничке прегледе возила</w:t>
            </w:r>
            <w:r w:rsidR="00153A5B" w:rsidRPr="00CE61AA">
              <w:rPr>
                <w:color w:val="000000"/>
                <w:sz w:val="22"/>
                <w:szCs w:val="22"/>
                <w:lang w:val="sr-Cyrl-RS"/>
              </w:rPr>
              <w:t>.“</w:t>
            </w:r>
          </w:p>
          <w:p w14:paraId="0671A337" w14:textId="3267C64B" w:rsidR="00D7441A" w:rsidRPr="00CE61AA" w:rsidRDefault="00153A5B" w:rsidP="00D7441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CE61AA">
              <w:rPr>
                <w:sz w:val="22"/>
                <w:szCs w:val="22"/>
                <w:lang w:val="sr-Cyrl-RS"/>
              </w:rPr>
              <w:t>С друге стране, о</w:t>
            </w:r>
            <w:r w:rsidR="003C364A" w:rsidRPr="00CE61AA">
              <w:rPr>
                <w:sz w:val="22"/>
                <w:szCs w:val="22"/>
                <w:lang w:val="sr-Cyrl-RS"/>
              </w:rPr>
              <w:t xml:space="preserve">дузимање овлашћења по извршеном надзору </w:t>
            </w:r>
            <w:r w:rsidR="00903FF1" w:rsidRPr="00CE61AA">
              <w:rPr>
                <w:sz w:val="22"/>
                <w:szCs w:val="22"/>
                <w:lang w:val="sr-Cyrl-RS"/>
              </w:rPr>
              <w:t xml:space="preserve">МУП-а </w:t>
            </w:r>
            <w:r w:rsidR="003C364A" w:rsidRPr="00CE61AA">
              <w:rPr>
                <w:sz w:val="22"/>
                <w:szCs w:val="22"/>
                <w:lang w:val="sr-Cyrl-RS"/>
              </w:rPr>
              <w:t>над радом привредног друштва,</w:t>
            </w:r>
            <w:r w:rsidR="00903FF1" w:rsidRPr="00CE61AA">
              <w:rPr>
                <w:sz w:val="22"/>
                <w:szCs w:val="22"/>
                <w:lang w:val="sr-Cyrl-RS"/>
              </w:rPr>
              <w:t xml:space="preserve"> након што је установљена потреба за одузимањем овлашћења, прописано</w:t>
            </w:r>
            <w:r w:rsidR="003C364A" w:rsidRPr="00CE61AA">
              <w:rPr>
                <w:sz w:val="22"/>
                <w:szCs w:val="22"/>
                <w:lang w:val="sr-Cyrl-RS"/>
              </w:rPr>
              <w:t xml:space="preserve"> </w:t>
            </w:r>
            <w:r w:rsidR="00903FF1" w:rsidRPr="00CE61AA">
              <w:rPr>
                <w:sz w:val="22"/>
                <w:szCs w:val="22"/>
                <w:lang w:val="sr-Cyrl-RS"/>
              </w:rPr>
              <w:t xml:space="preserve">је </w:t>
            </w:r>
            <w:r w:rsidR="003C364A" w:rsidRPr="00CE61AA">
              <w:rPr>
                <w:sz w:val="22"/>
                <w:szCs w:val="22"/>
                <w:lang w:val="sr-Cyrl-RS"/>
              </w:rPr>
              <w:t>чланом 308. Закона о безбедности саобраћаја. Из разлога</w:t>
            </w:r>
            <w:r w:rsidR="00903FF1" w:rsidRPr="00CE61AA">
              <w:rPr>
                <w:sz w:val="22"/>
                <w:szCs w:val="22"/>
                <w:lang w:val="sr-Cyrl-RS"/>
              </w:rPr>
              <w:t xml:space="preserve"> </w:t>
            </w:r>
            <w:r w:rsidR="006978E6" w:rsidRPr="00CE61AA">
              <w:rPr>
                <w:sz w:val="22"/>
                <w:szCs w:val="22"/>
                <w:lang w:val="sr-Cyrl-RS"/>
              </w:rPr>
              <w:t xml:space="preserve">разликовања овог поступка од поступка надзора, као и због предложеног </w:t>
            </w:r>
            <w:r w:rsidR="00903FF1" w:rsidRPr="00CE61AA">
              <w:rPr>
                <w:sz w:val="22"/>
                <w:szCs w:val="22"/>
                <w:lang w:val="sr-Cyrl-RS"/>
              </w:rPr>
              <w:t>поједностављења</w:t>
            </w:r>
            <w:r w:rsidR="003C364A" w:rsidRPr="00CE61AA">
              <w:rPr>
                <w:sz w:val="22"/>
                <w:szCs w:val="22"/>
                <w:lang w:val="sr-Cyrl-RS"/>
              </w:rPr>
              <w:t xml:space="preserve">, неопходно је јасно прописати поступак одузимања овлашћења за вршење техничких прегледа возила на захтев привредног субјекта. </w:t>
            </w:r>
            <w:r w:rsidR="006978E6" w:rsidRPr="00CE61AA">
              <w:rPr>
                <w:sz w:val="22"/>
                <w:szCs w:val="22"/>
                <w:lang w:val="sr-Cyrl-RS"/>
              </w:rPr>
              <w:t>Потребно је д</w:t>
            </w:r>
            <w:r w:rsidR="0000296C" w:rsidRPr="00CE61AA">
              <w:rPr>
                <w:sz w:val="22"/>
                <w:szCs w:val="22"/>
                <w:lang w:val="sr-Cyrl-RS"/>
              </w:rPr>
              <w:t xml:space="preserve">ефинисати да се поступак спроводи подношењем обавештења привредног субјекта, да субјекат престаје са радом наредног дана од дана достављања обавештења </w:t>
            </w:r>
            <w:r w:rsidR="006978E6" w:rsidRPr="00CE61AA">
              <w:rPr>
                <w:sz w:val="22"/>
                <w:szCs w:val="22"/>
                <w:lang w:val="sr-Cyrl-RS"/>
              </w:rPr>
              <w:t xml:space="preserve">надлежном органу, као </w:t>
            </w:r>
            <w:r w:rsidR="0000296C" w:rsidRPr="00CE61AA">
              <w:rPr>
                <w:sz w:val="22"/>
                <w:szCs w:val="22"/>
                <w:lang w:val="sr-Cyrl-RS"/>
              </w:rPr>
              <w:t xml:space="preserve">и да надлежан орган доноси </w:t>
            </w:r>
            <w:r w:rsidR="00B73C11" w:rsidRPr="00CE61AA">
              <w:rPr>
                <w:sz w:val="22"/>
                <w:szCs w:val="22"/>
                <w:lang w:val="sr-Cyrl-RS"/>
              </w:rPr>
              <w:t xml:space="preserve">решење о престанку </w:t>
            </w:r>
            <w:r w:rsidR="00B10A75" w:rsidRPr="00CE61AA">
              <w:rPr>
                <w:sz w:val="22"/>
                <w:szCs w:val="22"/>
                <w:lang w:val="sr-Cyrl-RS"/>
              </w:rPr>
              <w:t>важења</w:t>
            </w:r>
            <w:r w:rsidR="00B73C11" w:rsidRPr="00CE61AA">
              <w:rPr>
                <w:sz w:val="22"/>
                <w:szCs w:val="22"/>
                <w:lang w:val="sr-Cyrl-RS"/>
              </w:rPr>
              <w:t xml:space="preserve"> овлашћења за вршење техничких прегледа возила,  којим се констатује престанак </w:t>
            </w:r>
            <w:r w:rsidR="00D7441A" w:rsidRPr="00CE61AA">
              <w:rPr>
                <w:sz w:val="22"/>
                <w:szCs w:val="22"/>
                <w:lang w:val="sr-Cyrl-RS"/>
              </w:rPr>
              <w:t>обављања послова техничких прегледа возила.</w:t>
            </w:r>
          </w:p>
          <w:p w14:paraId="508F1FC4" w14:textId="77777777" w:rsidR="007B38A3" w:rsidRPr="00CE61AA" w:rsidRDefault="007B38A3" w:rsidP="000E3AB7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1DC2712E" w14:textId="77777777" w:rsidR="00B73C11" w:rsidRPr="00CE61AA" w:rsidRDefault="00B10A75" w:rsidP="000E3AB7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CE61AA">
              <w:rPr>
                <w:sz w:val="22"/>
                <w:szCs w:val="22"/>
                <w:lang w:val="sr-Cyrl-RS"/>
              </w:rPr>
              <w:t xml:space="preserve">Прописати и нов назив поступка: </w:t>
            </w:r>
            <w:r w:rsidR="007B38A3" w:rsidRPr="00CE61AA">
              <w:rPr>
                <w:sz w:val="22"/>
                <w:szCs w:val="22"/>
                <w:lang w:val="sr-Cyrl-RS"/>
              </w:rPr>
              <w:t>Обавештење о престанку обављања послова техничких прегледа возила.</w:t>
            </w:r>
          </w:p>
          <w:p w14:paraId="477CB66C" w14:textId="77777777" w:rsidR="00B73C11" w:rsidRPr="00CE61AA" w:rsidRDefault="00B73C11" w:rsidP="000E3AB7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166F165E" w14:textId="77777777" w:rsidR="00903FF1" w:rsidRPr="00CE61AA" w:rsidRDefault="00903FF1" w:rsidP="000E3AB7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CE61AA">
              <w:rPr>
                <w:b/>
                <w:sz w:val="22"/>
                <w:szCs w:val="22"/>
                <w:lang w:val="sr-Cyrl-RS"/>
              </w:rPr>
              <w:t>За примену ове препоруке, потребно је изменити и допунити Закон о безбедности саобраћаја на путевима.</w:t>
            </w:r>
          </w:p>
          <w:p w14:paraId="3FB2306B" w14:textId="61EBB7CF" w:rsidR="002F0BAF" w:rsidRPr="002C5F25" w:rsidRDefault="005266FD" w:rsidP="002C5F25">
            <w:pPr>
              <w:pStyle w:val="NormalWeb"/>
              <w:tabs>
                <w:tab w:val="left" w:pos="3480"/>
              </w:tabs>
              <w:spacing w:before="0" w:beforeAutospacing="0" w:after="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E61AA">
              <w:rPr>
                <w:b/>
                <w:color w:val="000000" w:themeColor="text1"/>
                <w:sz w:val="22"/>
                <w:szCs w:val="22"/>
                <w:lang w:val="sr-Cyrl-RS"/>
              </w:rPr>
              <w:tab/>
            </w:r>
            <w:bookmarkStart w:id="0" w:name="_GoBack"/>
            <w:bookmarkEnd w:id="0"/>
          </w:p>
          <w:p w14:paraId="60EB4619" w14:textId="77777777" w:rsidR="002F0BAF" w:rsidRPr="00CE61AA" w:rsidRDefault="002F0BAF" w:rsidP="000E3AB7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2E44E046" w14:textId="77777777" w:rsidR="004C1D6A" w:rsidRPr="00CE61AA" w:rsidRDefault="0007079A" w:rsidP="000E3AB7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CE61AA">
              <w:rPr>
                <w:b/>
                <w:sz w:val="22"/>
                <w:szCs w:val="22"/>
                <w:u w:val="single"/>
                <w:lang w:val="sr-Cyrl-RS"/>
              </w:rPr>
              <w:t>Увођење о</w:t>
            </w:r>
            <w:r w:rsidR="004C1D6A" w:rsidRPr="00CE61AA">
              <w:rPr>
                <w:b/>
                <w:sz w:val="22"/>
                <w:szCs w:val="22"/>
                <w:u w:val="single"/>
                <w:lang w:val="sr-Cyrl-RS"/>
              </w:rPr>
              <w:t>бра</w:t>
            </w:r>
            <w:r w:rsidRPr="00CE61AA">
              <w:rPr>
                <w:b/>
                <w:sz w:val="22"/>
                <w:szCs w:val="22"/>
                <w:u w:val="single"/>
                <w:lang w:val="sr-Cyrl-RS"/>
              </w:rPr>
              <w:t xml:space="preserve">сца </w:t>
            </w:r>
            <w:r w:rsidR="006978E6" w:rsidRPr="00CE61AA">
              <w:rPr>
                <w:b/>
                <w:sz w:val="22"/>
                <w:szCs w:val="22"/>
                <w:u w:val="single"/>
                <w:lang w:val="sr-Cyrl-RS"/>
              </w:rPr>
              <w:t>обавештења</w:t>
            </w:r>
            <w:r w:rsidR="004C1D6A" w:rsidRPr="00CE61AA">
              <w:rPr>
                <w:b/>
                <w:sz w:val="22"/>
                <w:szCs w:val="22"/>
                <w:u w:val="single"/>
                <w:lang w:val="sr-Cyrl-RS"/>
              </w:rPr>
              <w:t xml:space="preserve"> </w:t>
            </w:r>
          </w:p>
          <w:p w14:paraId="235CA942" w14:textId="77777777" w:rsidR="004C1D6A" w:rsidRPr="00CE61AA" w:rsidRDefault="004C1D6A" w:rsidP="000E3AB7">
            <w:pPr>
              <w:rPr>
                <w:rFonts w:ascii="Times New Roman" w:hAnsi="Times New Roman"/>
                <w:b/>
                <w:color w:val="FF0000"/>
                <w:sz w:val="22"/>
                <w:szCs w:val="22"/>
                <w:lang w:val="sr-Cyrl-RS"/>
              </w:rPr>
            </w:pPr>
          </w:p>
          <w:p w14:paraId="34D61BEC" w14:textId="3CC494E6" w:rsidR="004C1D6A" w:rsidRPr="00CE61AA" w:rsidRDefault="004C1D6A" w:rsidP="000E3AB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се:</w:t>
            </w:r>
          </w:p>
          <w:p w14:paraId="14FA0980" w14:textId="35AD0911" w:rsidR="004C1D6A" w:rsidRPr="00C2219C" w:rsidRDefault="004C1D6A" w:rsidP="000E3AB7">
            <w:pPr>
              <w:pStyle w:val="ListParagraph"/>
              <w:numPr>
                <w:ilvl w:val="0"/>
                <w:numId w:val="27"/>
              </w:numPr>
              <w:spacing w:before="100" w:beforeAutospacing="1" w:afterAutospacing="1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</w:t>
            </w:r>
            <w:r w:rsidR="0007079A"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обавештења</w:t>
            </w: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који ће садржати стандардне елементе обрасца захтева, који укључују: </w:t>
            </w:r>
          </w:p>
          <w:p w14:paraId="2952689C" w14:textId="77777777" w:rsidR="00C2219C" w:rsidRPr="00C2219C" w:rsidRDefault="00C2219C" w:rsidP="00FC6665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5983E1C4" w14:textId="77777777" w:rsidR="00C2219C" w:rsidRPr="00C2219C" w:rsidRDefault="00C2219C" w:rsidP="00FC6665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C2219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33791148" w14:textId="77777777" w:rsidR="00C2219C" w:rsidRPr="00C2219C" w:rsidRDefault="00C2219C" w:rsidP="00FC6665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4698B6B2" w14:textId="3EAD49E6" w:rsidR="00C2219C" w:rsidRPr="00C2219C" w:rsidRDefault="00C2219C" w:rsidP="00FC6665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Места за унос информација о подносиоцу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обавештења</w:t>
            </w: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(Назив, седиште, ПИБ, матични број, адреса електронске поште);</w:t>
            </w:r>
          </w:p>
          <w:p w14:paraId="38291051" w14:textId="1D512705" w:rsidR="004C1D6A" w:rsidRPr="00C2219C" w:rsidRDefault="004C1D6A" w:rsidP="00FC6665">
            <w:pPr>
              <w:pStyle w:val="ListParagraph"/>
              <w:numPr>
                <w:ilvl w:val="1"/>
                <w:numId w:val="27"/>
              </w:numPr>
              <w:spacing w:before="100" w:beforeAutospacing="1" w:afterAutospacing="1"/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Места за унос специфичних информација за конкретан поступак</w:t>
            </w:r>
            <w:r w:rsidR="00C8675D"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укључујући и информације, потребне за прибављање података по службеној дужности (</w:t>
            </w:r>
            <w:r w:rsidR="0000296C" w:rsidRPr="00C2219C">
              <w:rPr>
                <w:rFonts w:ascii="Times New Roman" w:hAnsi="Times New Roman"/>
                <w:sz w:val="22"/>
                <w:szCs w:val="22"/>
                <w:lang w:val="sr-Cyrl-RS"/>
              </w:rPr>
              <w:t>број решења о овлашћењу привредног друштва за вршење техничког прегледа возила</w:t>
            </w: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);</w:t>
            </w:r>
          </w:p>
          <w:p w14:paraId="031E023C" w14:textId="77777777" w:rsidR="00C2219C" w:rsidRPr="00C2219C" w:rsidRDefault="00C2219C" w:rsidP="00FC6665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314866C7" w14:textId="77777777" w:rsidR="00C2219C" w:rsidRPr="00C2219C" w:rsidRDefault="00C2219C" w:rsidP="00FC6665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743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419BB5DD" w14:textId="77777777" w:rsidR="00C2219C" w:rsidRPr="00C2219C" w:rsidRDefault="00C2219C" w:rsidP="00FC6665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743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C2219C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0D9CBA67" w14:textId="77777777" w:rsidR="00C2219C" w:rsidRPr="00C2219C" w:rsidRDefault="00C2219C" w:rsidP="00FC6665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743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50A7B019" w14:textId="77777777" w:rsidR="00C2219C" w:rsidRPr="00C2219C" w:rsidRDefault="00C2219C" w:rsidP="00FC6665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743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C2219C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C2219C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4C1B8F24" w14:textId="66C0CBA4" w:rsidR="00C2219C" w:rsidRPr="00C2219C" w:rsidRDefault="00C2219C" w:rsidP="00FC6665">
            <w:pPr>
              <w:numPr>
                <w:ilvl w:val="1"/>
                <w:numId w:val="27"/>
              </w:numPr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Изјаву подносиоца </w:t>
            </w:r>
            <w:r w:rsidR="002F77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обавештења</w:t>
            </w: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584F2CAC" w14:textId="77777777" w:rsidR="00C2219C" w:rsidRPr="00C2219C" w:rsidRDefault="00C2219C" w:rsidP="00FC6665">
            <w:pPr>
              <w:shd w:val="clear" w:color="auto" w:fill="FFFFFF"/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70719F18" w14:textId="77777777" w:rsidR="00C2219C" w:rsidRPr="00C2219C" w:rsidRDefault="00C2219C" w:rsidP="00FC6665">
            <w:pPr>
              <w:shd w:val="clear" w:color="auto" w:fill="FFFFFF"/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51F1490A" w14:textId="77777777" w:rsidR="00C2219C" w:rsidRPr="00C2219C" w:rsidRDefault="00C2219C" w:rsidP="00FC6665">
            <w:pPr>
              <w:shd w:val="clear" w:color="auto" w:fill="FFFFFF"/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308BDF13" w14:textId="77777777" w:rsidR="00C2219C" w:rsidRPr="00C2219C" w:rsidRDefault="00C2219C" w:rsidP="00FC6665">
            <w:pPr>
              <w:shd w:val="clear" w:color="auto" w:fill="FFFFFF"/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00F99899" w14:textId="02382779" w:rsidR="00C2219C" w:rsidRPr="00C2219C" w:rsidRDefault="00C2219C" w:rsidP="00FC6665">
            <w:pPr>
              <w:numPr>
                <w:ilvl w:val="1"/>
                <w:numId w:val="27"/>
              </w:numPr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</w:t>
            </w:r>
            <w:r w:rsidR="002F77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обавештења</w:t>
            </w: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; </w:t>
            </w:r>
          </w:p>
          <w:p w14:paraId="025FDE02" w14:textId="5429BB80" w:rsidR="00C2219C" w:rsidRPr="00C2219C" w:rsidRDefault="00C2219C" w:rsidP="00FC6665">
            <w:pPr>
              <w:numPr>
                <w:ilvl w:val="1"/>
                <w:numId w:val="27"/>
              </w:numPr>
              <w:ind w:left="743"/>
              <w:rPr>
                <w:sz w:val="22"/>
                <w:szCs w:val="22"/>
                <w:lang w:val="sr-Cyrl-RS"/>
              </w:rPr>
            </w:pP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потпис подносиоца </w:t>
            </w:r>
            <w:r w:rsidR="002F77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обавештења</w:t>
            </w: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2D49D96" w14:textId="77777777" w:rsidR="00C2219C" w:rsidRPr="00C2219C" w:rsidRDefault="00C2219C" w:rsidP="00C2219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1AE64F0" w14:textId="77777777" w:rsidR="00C2219C" w:rsidRPr="00C2219C" w:rsidRDefault="00C2219C" w:rsidP="00C2219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A63036C" w14:textId="1EB4424F" w:rsidR="00C2219C" w:rsidRPr="00C2219C" w:rsidRDefault="00C2219C" w:rsidP="00C2219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Уз образац </w:t>
            </w:r>
            <w:r w:rsidR="002F77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обавештења</w:t>
            </w: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стоји и писмeна информација о:</w:t>
            </w:r>
          </w:p>
          <w:p w14:paraId="03871939" w14:textId="77777777" w:rsidR="00C2219C" w:rsidRPr="00C2219C" w:rsidRDefault="00C2219C" w:rsidP="00C2219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0DF465E" w14:textId="77777777" w:rsidR="00C2219C" w:rsidRPr="00C2219C" w:rsidRDefault="00C2219C" w:rsidP="00FC6665">
            <w:pPr>
              <w:numPr>
                <w:ilvl w:val="1"/>
                <w:numId w:val="27"/>
              </w:numPr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409B79DC" w14:textId="77777777" w:rsidR="00C2219C" w:rsidRPr="00C2219C" w:rsidRDefault="00C2219C" w:rsidP="00FC6665">
            <w:pPr>
              <w:numPr>
                <w:ilvl w:val="1"/>
                <w:numId w:val="27"/>
              </w:numPr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279ED48D" w14:textId="77777777" w:rsidR="00C2219C" w:rsidRPr="00C2219C" w:rsidRDefault="00C2219C" w:rsidP="00C2219C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134CE0B8" w14:textId="77777777" w:rsidR="00C2219C" w:rsidRPr="00C2219C" w:rsidRDefault="00C2219C" w:rsidP="00C2219C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0755AEDD" w14:textId="77777777" w:rsidR="00C2219C" w:rsidRPr="00C2219C" w:rsidRDefault="00C2219C" w:rsidP="00C2219C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7D221AB7" w14:textId="77777777" w:rsidR="00C2219C" w:rsidRPr="00C2219C" w:rsidRDefault="00C2219C" w:rsidP="00C2219C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2067D4CB" w14:textId="77777777" w:rsidR="00C2219C" w:rsidRPr="00C2219C" w:rsidRDefault="00C2219C" w:rsidP="00C2219C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219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108E3BE8" w14:textId="77777777" w:rsidR="004C1D6A" w:rsidRPr="00CE61AA" w:rsidRDefault="004C1D6A" w:rsidP="000E3AB7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B9CE0FD" w14:textId="073FD942" w:rsidR="004C1D6A" w:rsidRPr="00CE61AA" w:rsidRDefault="004C1D6A" w:rsidP="000E3AB7">
            <w:pPr>
              <w:pStyle w:val="ListParagraph"/>
              <w:numPr>
                <w:ilvl w:val="0"/>
                <w:numId w:val="27"/>
              </w:numPr>
              <w:spacing w:before="100" w:beforeAutospacing="1" w:afterAutospacing="1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Омогућавање електронског попуњавања обрасца </w:t>
            </w:r>
            <w:r w:rsidR="008509A4"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обавештења</w:t>
            </w: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0C701C1C" w14:textId="77777777" w:rsidR="004C1D6A" w:rsidRPr="00CE61AA" w:rsidRDefault="004C1D6A" w:rsidP="000E3AB7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3F31B9D" w14:textId="2D8BFDE7" w:rsidR="009A1F17" w:rsidRPr="00CE61AA" w:rsidRDefault="009A1F17" w:rsidP="000E3AB7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CE61A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Образац ће бити у употреби до успостављања дигитализације поступка, када ће се подношење захтева спроводити електронским путем, путем портала е-Управе. У сваком случају, информације садржане у обрасцу захтева ће бити основ за информације на електронском порталу.  </w:t>
            </w:r>
          </w:p>
          <w:p w14:paraId="60772DC6" w14:textId="6217395E" w:rsidR="004C1D6A" w:rsidRPr="00CE61AA" w:rsidRDefault="004C1D6A" w:rsidP="000E3AB7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CE61AA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CE61AA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CE61AA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3000AD15" w14:textId="77777777" w:rsidR="001E6CFB" w:rsidRPr="00CE61AA" w:rsidRDefault="001E6CFB" w:rsidP="000E3AB7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</w:p>
          <w:p w14:paraId="54E734D6" w14:textId="77777777" w:rsidR="004D67A4" w:rsidRPr="00CE61AA" w:rsidRDefault="004D67A4" w:rsidP="000E3AB7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CE61AA">
              <w:rPr>
                <w:b/>
                <w:sz w:val="22"/>
                <w:szCs w:val="22"/>
                <w:u w:val="single"/>
                <w:lang w:val="sr-Cyrl-RS"/>
              </w:rPr>
              <w:t>Рокови</w:t>
            </w:r>
          </w:p>
          <w:p w14:paraId="44E2C5B1" w14:textId="77777777" w:rsidR="004D67A4" w:rsidRPr="00CE61AA" w:rsidRDefault="004D67A4" w:rsidP="004D67A4">
            <w:pPr>
              <w:pStyle w:val="NormalWeb"/>
              <w:spacing w:before="0" w:beforeAutospacing="0" w:after="0" w:afterAutospacing="0"/>
              <w:ind w:left="36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6F2F654C" w14:textId="77777777" w:rsidR="004C1D6A" w:rsidRPr="00CE61AA" w:rsidRDefault="00110C77" w:rsidP="004D67A4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CE61AA">
              <w:rPr>
                <w:b/>
                <w:i/>
                <w:sz w:val="22"/>
                <w:szCs w:val="22"/>
                <w:lang w:val="sr-Cyrl-RS"/>
              </w:rPr>
              <w:t>Прописивање р</w:t>
            </w:r>
            <w:r w:rsidR="004C1D6A" w:rsidRPr="00CE61AA">
              <w:rPr>
                <w:b/>
                <w:i/>
                <w:sz w:val="22"/>
                <w:szCs w:val="22"/>
                <w:lang w:val="sr-Cyrl-RS"/>
              </w:rPr>
              <w:t>ок</w:t>
            </w:r>
            <w:r w:rsidRPr="00CE61AA">
              <w:rPr>
                <w:b/>
                <w:i/>
                <w:sz w:val="22"/>
                <w:szCs w:val="22"/>
                <w:lang w:val="sr-Cyrl-RS"/>
              </w:rPr>
              <w:t>а посебним прописом</w:t>
            </w:r>
          </w:p>
          <w:p w14:paraId="084DF63F" w14:textId="77777777" w:rsidR="004C1D6A" w:rsidRPr="00CE61AA" w:rsidRDefault="004C1D6A" w:rsidP="000E3AB7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31EC7613" w14:textId="77777777" w:rsidR="004C1D6A" w:rsidRPr="00CE61AA" w:rsidRDefault="004C1D6A" w:rsidP="000E3AB7">
            <w:pPr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CE61A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Посебним прописом није прописан рок за решавање уредног захтева, тако да се у оквиру овог поступка примењује рок од 60 дана, прописан чланом 145. Закона о општем управном поступку ("Службени гласник РС" број 18 од 1. марта 2016.). Како је у обрасцу е-пописа </w:t>
            </w:r>
            <w:r w:rsidRPr="00CE61A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lastRenderedPageBreak/>
              <w:t xml:space="preserve">наведено да је просечан рок за решавање уредног захтева </w:t>
            </w:r>
            <w:r w:rsidR="00344996" w:rsidRPr="00CE61A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20</w:t>
            </w:r>
            <w:r w:rsidRPr="00CE61A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дана, закључује се да просечно време решавања по захтеву није у корелацији са роком, прописаним ЗОУП-ом. Руководећи се начелом делотворности и економичности (члан 9. ЗОУП-а), а посебно чињениц</w:t>
            </w:r>
            <w:r w:rsidR="00344996" w:rsidRPr="00CE61A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ама</w:t>
            </w:r>
            <w:r w:rsidRPr="00CE61A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да </w:t>
            </w:r>
            <w:r w:rsidR="00344996" w:rsidRPr="00CE61A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се предлаже значајно поједностављење поступка (подношење обавештења, без изласка на терен) и да је</w:t>
            </w:r>
            <w:r w:rsidRPr="00CE61A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 овај поступак планиран за дигитализацију, којом ће се значајно убрзати процедура решавања, предлаже се прописивање краћег рока за решавање уредног захтева - 15 дана </w:t>
            </w:r>
            <w:r w:rsidR="00A90986" w:rsidRPr="00CE61A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 </w:t>
            </w:r>
            <w:r w:rsidR="00A90986" w:rsidRPr="00CE61A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решавање захтева</w:t>
            </w:r>
            <w:r w:rsidRPr="00CE61AA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>.</w:t>
            </w:r>
          </w:p>
          <w:p w14:paraId="577A90AA" w14:textId="77777777" w:rsidR="004C1D6A" w:rsidRPr="00CE61AA" w:rsidRDefault="004C1D6A" w:rsidP="000E3AB7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 w:eastAsia="en-GB"/>
              </w:rPr>
            </w:pPr>
          </w:p>
          <w:p w14:paraId="140CBAD4" w14:textId="77777777" w:rsidR="00344996" w:rsidRPr="00CE61AA" w:rsidRDefault="004C1D6A" w:rsidP="000E3AB7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CE61AA">
              <w:rPr>
                <w:rFonts w:eastAsia="Calibri"/>
                <w:b/>
                <w:sz w:val="22"/>
                <w:szCs w:val="22"/>
                <w:lang w:val="sr-Cyrl-RS" w:eastAsia="en-GB"/>
              </w:rPr>
              <w:t xml:space="preserve">За примену ове препоруке, потребна је измена и допуна </w:t>
            </w:r>
            <w:r w:rsidR="00344996" w:rsidRPr="00CE61AA">
              <w:rPr>
                <w:b/>
                <w:sz w:val="22"/>
                <w:szCs w:val="22"/>
                <w:lang w:val="sr-Cyrl-RS"/>
              </w:rPr>
              <w:t>Закона о безбедности саобраћаја на путевима.</w:t>
            </w:r>
          </w:p>
          <w:p w14:paraId="47680E2A" w14:textId="77777777" w:rsidR="00740627" w:rsidRPr="00CE61AA" w:rsidRDefault="00740627" w:rsidP="000E3AB7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074D7537" w14:textId="77777777" w:rsidR="00567C08" w:rsidRPr="00CE61AA" w:rsidRDefault="00567C08" w:rsidP="003A47A4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D30DAA" w14:paraId="297F630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35B880E" w14:textId="77777777" w:rsidR="00CA1CE9" w:rsidRPr="00CE61AA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E61AA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30DAA" w14:paraId="6E7B962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776265D" w14:textId="2A9194AD" w:rsidR="008509A4" w:rsidRPr="00CE61AA" w:rsidRDefault="008509A4" w:rsidP="008509A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1D929652" w14:textId="77777777" w:rsidR="009B7E71" w:rsidRPr="00CE61AA" w:rsidRDefault="009B7E71" w:rsidP="009C7365">
            <w:p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02298D63" w14:textId="77777777" w:rsidR="009C7365" w:rsidRPr="00CE61AA" w:rsidRDefault="009B7E71" w:rsidP="009C7365">
            <w:pPr>
              <w:spacing w:before="120" w:after="120"/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НАЦРТ </w:t>
            </w:r>
          </w:p>
          <w:p w14:paraId="060714ED" w14:textId="0F21C61E" w:rsidR="009B7E71" w:rsidRPr="00CE61AA" w:rsidRDefault="009B7E71" w:rsidP="009C7365">
            <w:p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 О ИЗМЕНАМА И ДОПУНАМА</w:t>
            </w:r>
            <w:r w:rsidR="009C7365" w:rsidRPr="00CE61A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CE61A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ЗАКОНА О БЕЗБЕДНОСТИ САОБРАЋАЈА НА ПУТЕВИМА </w:t>
            </w:r>
          </w:p>
          <w:p w14:paraId="3E5DE111" w14:textId="77777777" w:rsidR="009B7E71" w:rsidRPr="00CE61AA" w:rsidRDefault="009B7E71" w:rsidP="009C7365">
            <w:p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8BA8936" w14:textId="06AD003F" w:rsidR="009B7E71" w:rsidRPr="00CE61AA" w:rsidRDefault="009B7E71" w:rsidP="009C7365">
            <w:p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9C7365" w:rsidRPr="00CE61A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1</w:t>
            </w:r>
            <w:r w:rsidRPr="00CE61A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5CFD3AAE" w14:textId="3CEA2857" w:rsidR="009B7E71" w:rsidRPr="00CE61AA" w:rsidRDefault="009B7E71" w:rsidP="009C7365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Закону о безбедности саобраћаја на путевима ("Сл. гласник РС", 41/2009, 53/2010, 101/2011, 32/2013-22 (УС), 55/2014, 96/2015-др. закон, 9/2016- (УС), 24/2018, 41/2018, 41/2018-др. закон, 87/2018) </w:t>
            </w:r>
            <w:r w:rsidR="00310C9F"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члану 308. </w:t>
            </w: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ставу 4. речи  „ако буде обавештено у писаном облику да је привредно друштво престало да обавља техничке прегледе возила“ и запета, бришу се. </w:t>
            </w:r>
          </w:p>
          <w:p w14:paraId="42868655" w14:textId="6C8FA5EA" w:rsidR="009B7E71" w:rsidRPr="00CE61AA" w:rsidRDefault="009B7E71" w:rsidP="009C7365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После става 4. додају се нови став 5., 6. и 7. који гласе: </w:t>
            </w:r>
          </w:p>
          <w:p w14:paraId="298970CC" w14:textId="5CB70FED" w:rsidR="009B7E71" w:rsidRPr="00CE61AA" w:rsidRDefault="009B7E71" w:rsidP="009C7365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„Министарство унутрашњих послова донеће решење о престанку важења овлашћења за вршење техничких прегледа возила, ако привредно друштво поднесе обавештење да престаје са обављањем послова техничких прегледа </w:t>
            </w:r>
            <w:r w:rsidR="0035471E"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возила</w:t>
            </w:r>
            <w:r w:rsidR="00D053BA"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="0035471E"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35471E" w:rsidRPr="00CE61A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року од </w:t>
            </w:r>
            <w:r w:rsidR="0035471E" w:rsidRPr="00CE61A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15 дана од дана подношења обавештења</w:t>
            </w:r>
            <w:r w:rsidR="0035471E"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18B91489" w14:textId="2206566D" w:rsidR="009B7E71" w:rsidRPr="00CE61AA" w:rsidRDefault="009B7E71" w:rsidP="009C7365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Привредно друштво престаје са обављањем послова техничких прегледа возила наредног дана од дана достављања обавештења. </w:t>
            </w:r>
          </w:p>
          <w:p w14:paraId="03F86898" w14:textId="587485DB" w:rsidR="009B7E71" w:rsidRPr="00CE61AA" w:rsidRDefault="009B7E71" w:rsidP="009C7365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Обавештење се може доставити и у електронској форми у складу са прописима којима се уређује електронски документ и електронско пословање.“</w:t>
            </w:r>
          </w:p>
          <w:p w14:paraId="75B918FE" w14:textId="3ABAF238" w:rsidR="00BD21C5" w:rsidRPr="00CE61AA" w:rsidRDefault="00BD21C5" w:rsidP="009C7365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ставу 9. после</w:t>
            </w:r>
            <w:r w:rsidR="0042081F"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речи</w:t>
            </w: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„облику“ додају се речи „и решење </w:t>
            </w:r>
            <w:r w:rsidRPr="00CE61A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 престанку важења овлашћења за вршење техничких прегледа возила“. </w:t>
            </w:r>
          </w:p>
          <w:p w14:paraId="2E016F90" w14:textId="1CF2CCD0" w:rsidR="009B7E71" w:rsidRPr="00CE61AA" w:rsidRDefault="009B7E71" w:rsidP="009C7365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Досадашњи ст. 5.,6. и 7. постају ст. 8.,9. и 10. </w:t>
            </w:r>
          </w:p>
          <w:p w14:paraId="25376265" w14:textId="77777777" w:rsidR="009B7E71" w:rsidRPr="00CE61AA" w:rsidRDefault="009B7E71" w:rsidP="009C7365">
            <w:pPr>
              <w:spacing w:before="120" w:after="12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8C68260" w14:textId="31F9B978" w:rsidR="009B7E71" w:rsidRPr="00CE61AA" w:rsidRDefault="009B7E71" w:rsidP="009C7365">
            <w:p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9C7365" w:rsidRPr="00CE61A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2.</w:t>
            </w:r>
          </w:p>
          <w:p w14:paraId="528473DE" w14:textId="77777777" w:rsidR="009B7E71" w:rsidRPr="00CE61AA" w:rsidRDefault="009B7E71" w:rsidP="009C7365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Овај закон ступа на снагу осмог дана од дана објављивања у „Службеном гласнику Републике Србије”. </w:t>
            </w:r>
          </w:p>
          <w:p w14:paraId="170679CE" w14:textId="2E6EAD06" w:rsidR="009B7E71" w:rsidRPr="00CE61AA" w:rsidRDefault="009B7E71" w:rsidP="009B7E71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D30DAA" w14:paraId="16DDC10A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63C0021" w14:textId="77777777" w:rsidR="00CA1CE9" w:rsidRPr="00CE61AA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E61AA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30DAA" w14:paraId="39058A12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643E77" w14:textId="77777777" w:rsidR="008509A4" w:rsidRPr="00CE61AA" w:rsidRDefault="008509A4" w:rsidP="008509A4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77BD3F42" w14:textId="77777777" w:rsidR="008509A4" w:rsidRPr="00CE61AA" w:rsidRDefault="008509A4" w:rsidP="008509A4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ПРЕДЛОГ ОДРЕДБИ </w:t>
            </w:r>
          </w:p>
          <w:p w14:paraId="3230B3A0" w14:textId="77777777" w:rsidR="008509A4" w:rsidRPr="00CE61AA" w:rsidRDefault="008509A4" w:rsidP="008509A4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ЗАКОНА О БЕЗБЕДНОСТИ САОБРАЋАЈА НА ПУТЕВИМА КОЈЕ СЕ МЕЊАЈУ И ДОПУЊУЈУ</w:t>
            </w:r>
          </w:p>
          <w:p w14:paraId="5932B4A0" w14:textId="77777777" w:rsidR="00C825E0" w:rsidRPr="00CE61AA" w:rsidRDefault="00C825E0" w:rsidP="008509A4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2C65102C" w14:textId="77777777" w:rsidR="00C825E0" w:rsidRPr="00CE61AA" w:rsidRDefault="00C825E0" w:rsidP="00C825E0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Члан 308.</w:t>
            </w:r>
          </w:p>
          <w:p w14:paraId="3C2A2F9E" w14:textId="77777777" w:rsidR="00C825E0" w:rsidRPr="00CE61AA" w:rsidRDefault="00C825E0" w:rsidP="00C825E0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9718CC0" w14:textId="77777777" w:rsidR="00C825E0" w:rsidRPr="00CE61AA" w:rsidRDefault="00C825E0" w:rsidP="00C825E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Надзор над радом привредног друштва овлашћеног за вршење техничког прегледа возила врши Министарство унутрашњих послова.</w:t>
            </w:r>
          </w:p>
          <w:p w14:paraId="54317F1C" w14:textId="77777777" w:rsidR="00C825E0" w:rsidRPr="00CE61AA" w:rsidRDefault="00C825E0" w:rsidP="00C825E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9E63B74" w14:textId="77777777" w:rsidR="00C825E0" w:rsidRPr="00CE61AA" w:rsidRDefault="00C825E0" w:rsidP="00C825E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Уколико се приликом надзора утврди да је привредно друштво престало да испуњава прописане услове, да су уређаји и опрема помоћу којих се врши технички преглед возила неисправни или не испуњавају друге прописане услове, или да се технички преглед возила не врши савесно и на прописан начин, Министарство унутрашњих послова може одузети овлашћење за вршење техничког прегледа возила.</w:t>
            </w:r>
          </w:p>
          <w:p w14:paraId="6083824B" w14:textId="77777777" w:rsidR="00C825E0" w:rsidRPr="00CE61AA" w:rsidRDefault="00C825E0" w:rsidP="00C825E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02A5715" w14:textId="77777777" w:rsidR="00C825E0" w:rsidRPr="00CE61AA" w:rsidRDefault="00C825E0" w:rsidP="00C825E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Орган из става 1. овог члана одузеће овлашћење привредном друштву овлашћеном за вршење техничког прегледа возила, ако утврди да је над њим отворен поступак стечаја.</w:t>
            </w:r>
          </w:p>
          <w:p w14:paraId="635B8051" w14:textId="77777777" w:rsidR="00C825E0" w:rsidRPr="00CE61AA" w:rsidRDefault="00C825E0" w:rsidP="00C825E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8568C66" w14:textId="77777777" w:rsidR="00C825E0" w:rsidRPr="00CE61AA" w:rsidRDefault="00C825E0" w:rsidP="00C825E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Министарство унутрашњих послова одузеће овлашћење за вршење техничког прегледа привредном друштву овлашћеном за вршење техничког прегледа возила</w:t>
            </w:r>
            <w:r w:rsidRPr="00CE61AA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, ако буде обавештено у писаном облику да је привредно друштво престало да обавља техничке прегледе возила,</w:t>
            </w: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ако се приликом надзора утврди да технички преглед возила привредно друштво не обавља у трајању од три месеца непрекидно или да након истека прописаног рока привременог престанка са радом из члана 256. став 4. и члана 258. став 4. овог закона није испунило прописане услове.</w:t>
            </w:r>
          </w:p>
          <w:p w14:paraId="0058E25E" w14:textId="66521527" w:rsidR="00EF0DC0" w:rsidRPr="00CE61AA" w:rsidRDefault="00EF0DC0" w:rsidP="00EF0DC0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CE61AA">
              <w:rPr>
                <w:sz w:val="22"/>
                <w:szCs w:val="22"/>
                <w:lang w:val="sr-Cyrl-RS"/>
              </w:rPr>
              <w:t>МИНИСТАРСТВО УНУТРАШЊИХ ПОСЛОВА ДОНЕЋЕ РЕШЕЊЕ О ПРЕСТАНКУ ВАЖЕЊА ОВЛАШЋЕЊА ЗА ВРШЕЊЕ ТЕХНИЧКИХ ПРЕГЛЕДА ВОЗИЛА, АКО ПРИВРЕДНО ДРУШТВО ПОДНЕСЕ ОБАВЕШТЕЊЕ ДА ПРЕСТАЈЕ СА ОБАВЉАЊЕМ ПОСЛОВА ТЕХНИЧКИХ ПРЕГЛЕДА ВОЗИЛА</w:t>
            </w:r>
            <w:r w:rsidR="0035471E" w:rsidRPr="00CE61AA">
              <w:rPr>
                <w:sz w:val="22"/>
                <w:szCs w:val="22"/>
                <w:lang w:val="sr-Cyrl-RS"/>
              </w:rPr>
              <w:t>,</w:t>
            </w:r>
            <w:r w:rsidRPr="00CE61AA">
              <w:rPr>
                <w:sz w:val="22"/>
                <w:szCs w:val="22"/>
                <w:lang w:val="sr-Cyrl-RS"/>
              </w:rPr>
              <w:t xml:space="preserve"> </w:t>
            </w:r>
            <w:r w:rsidR="0035471E" w:rsidRPr="00CE61AA">
              <w:rPr>
                <w:sz w:val="22"/>
                <w:szCs w:val="22"/>
                <w:lang w:val="sr-Cyrl-RS"/>
              </w:rPr>
              <w:t xml:space="preserve">У РОКУ ОД </w:t>
            </w:r>
            <w:r w:rsidR="0035471E" w:rsidRPr="00CE61AA">
              <w:rPr>
                <w:color w:val="000000" w:themeColor="text1"/>
                <w:sz w:val="22"/>
                <w:szCs w:val="22"/>
                <w:lang w:val="sr-Cyrl-RS"/>
              </w:rPr>
              <w:t>15 ДАНА ОД ДАНА ПОДНОШЕЊА ОБАВЕШТЕЊА</w:t>
            </w:r>
            <w:r w:rsidR="00821383" w:rsidRPr="00CE61AA">
              <w:rPr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04429C54" w14:textId="01BABD1D" w:rsidR="00293438" w:rsidRPr="00CE61AA" w:rsidRDefault="00EF0DC0" w:rsidP="00C825E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E61A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ПРИВРЕДНО ДРУШТВО ПРЕСТАЈЕ СА ОБАВЉАЊЕМ ПОСЛОВА ТЕХНИЧКИХ ПРЕГЛЕДА ВОЗИЛА НАРЕДНОГ ДАНА ОД ДАНА ДОСТАВЉАЊА ОБАВЕШТЕЊА. </w:t>
            </w:r>
          </w:p>
          <w:p w14:paraId="73F59FE1" w14:textId="31036A3C" w:rsidR="002B406E" w:rsidRPr="00CE61AA" w:rsidRDefault="002B406E" w:rsidP="00C825E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12B7390" w14:textId="77777777" w:rsidR="002B406E" w:rsidRPr="00CE61AA" w:rsidRDefault="002B406E" w:rsidP="002B406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ОБАВЕШТЕЊЕ СЕ МОЖЕ ДОСТАВИТИ И У ЕЛЕКТРОНСКОЈ ФОРМИ У СКЛАДУ СА ПРОПИСИМА КОЈИМА СЕ УРЕЂУЈЕ ЕЛЕКТРОНСКИ ДОКУМЕНТ И ЕЛЕКТРОНСКО ПОСЛОВАЊЕ.</w:t>
            </w:r>
          </w:p>
          <w:p w14:paraId="6B0F5523" w14:textId="77777777" w:rsidR="002B406E" w:rsidRPr="00CE61AA" w:rsidRDefault="002B406E" w:rsidP="00C825E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983A92E" w14:textId="77777777" w:rsidR="00C825E0" w:rsidRPr="00CE61AA" w:rsidRDefault="00C825E0" w:rsidP="00C825E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Ако се приликом надзора утврди да контролор техничког прегледа врши технички преглед возила на непрописан или несавестан начин, доставиће доказ о томе Агенцији која може одузети лиценцу том контролору.</w:t>
            </w:r>
          </w:p>
          <w:p w14:paraId="5AFE16E3" w14:textId="77777777" w:rsidR="00C825E0" w:rsidRPr="00CE61AA" w:rsidRDefault="00C825E0" w:rsidP="00C825E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0C0DFC0" w14:textId="31565C13" w:rsidR="00C825E0" w:rsidRPr="00CE61AA" w:rsidRDefault="00C825E0" w:rsidP="00C825E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Решење о одузимању овлашћења у електронском облику</w:t>
            </w:r>
            <w:r w:rsidR="00BD21C5"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РЕШЕЊЕ </w:t>
            </w:r>
            <w:r w:rsidR="00BD21C5" w:rsidRPr="00CE61AA">
              <w:rPr>
                <w:rFonts w:ascii="Times New Roman" w:hAnsi="Times New Roman"/>
                <w:sz w:val="22"/>
                <w:szCs w:val="22"/>
                <w:lang w:val="sr-Cyrl-RS"/>
              </w:rPr>
              <w:t>О ПРЕСТАНКУ ВАЖЕЊА ОВЛАШЋЕЊА ЗА ВРШЕЊЕ ТЕХНИЧКИХ ПРЕГЛЕДА ВОЗИЛА</w:t>
            </w: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потписано електронским потписом од стране надлежног лица, привредном друштву, односно његовом огранку, које врши технички преглед возила, може бити достављено у електронском облику путем информационог система из члана 257. став 4. овог закона.</w:t>
            </w:r>
          </w:p>
          <w:p w14:paraId="6254A80F" w14:textId="77777777" w:rsidR="00C825E0" w:rsidRPr="00CE61AA" w:rsidRDefault="00C825E0" w:rsidP="00C825E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63F5F6D" w14:textId="64C02316" w:rsidR="00C825E0" w:rsidRPr="00CE61AA" w:rsidRDefault="00C825E0" w:rsidP="00C825E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Жалба изјављена против решења о одузимању дозволе (лиценце) из става 5. овог члана не одлаже извршење решења.</w:t>
            </w:r>
          </w:p>
          <w:p w14:paraId="5443684F" w14:textId="77777777" w:rsidR="00C825E0" w:rsidRPr="00CE61AA" w:rsidRDefault="00C825E0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CE61AA" w14:paraId="1270DDA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48EB98B" w14:textId="77777777" w:rsidR="00CA1CE9" w:rsidRPr="00CE61AA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E61AA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CE61AA" w14:paraId="369019B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F7AD337" w14:textId="77777777" w:rsidR="009A0635" w:rsidRPr="00CE61AA" w:rsidRDefault="009A0635" w:rsidP="009A063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288.543,73 РСД. Усвајање и примена препорука ће донети привредним субјектима </w:t>
            </w:r>
            <w:r w:rsidRPr="00CE61A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годишње директне уштеде од 120.059,81 РСД или 987,16 ЕУР. Ове уштеде износе 41.61% укупних директних трошкова привредних субјеката у поступку. </w:t>
            </w:r>
          </w:p>
          <w:p w14:paraId="1E122A1B" w14:textId="2C33C800" w:rsidR="00A70702" w:rsidRDefault="00A70702" w:rsidP="00094A03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7070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поступка.</w:t>
            </w:r>
          </w:p>
          <w:p w14:paraId="2CE308D8" w14:textId="761EFE64" w:rsidR="00094A03" w:rsidRPr="00CE61AA" w:rsidRDefault="00094A03" w:rsidP="00094A03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E61AA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 допринети</w:t>
            </w:r>
            <w:r w:rsidRPr="00CE61AA">
              <w:rPr>
                <w:rFonts w:ascii="Times New Roman" w:hAnsi="Times New Roman"/>
                <w:sz w:val="22"/>
                <w:szCs w:val="22"/>
              </w:rPr>
              <w:t> </w:t>
            </w:r>
            <w:r w:rsidRPr="00CE61AA">
              <w:rPr>
                <w:rFonts w:ascii="Times New Roman" w:hAnsi="Times New Roman"/>
                <w:sz w:val="22"/>
                <w:szCs w:val="22"/>
                <w:lang w:val="sr-Cyrl-RS"/>
              </w:rPr>
              <w:t>истоветности поступања, транспарентности поступка,</w:t>
            </w:r>
            <w:r w:rsidRPr="00CE61AA">
              <w:rPr>
                <w:rFonts w:ascii="Times New Roman" w:hAnsi="Times New Roman"/>
                <w:sz w:val="22"/>
                <w:szCs w:val="22"/>
              </w:rPr>
              <w:t> </w:t>
            </w:r>
            <w:r w:rsidRPr="00CE61AA">
              <w:rPr>
                <w:rFonts w:ascii="Times New Roman" w:hAnsi="Times New Roman"/>
                <w:sz w:val="22"/>
                <w:szCs w:val="22"/>
                <w:lang w:val="sr-Cyrl-RS"/>
              </w:rPr>
              <w:t>правној сигурности привредних субјеката, поједностављењу поступка , скраћењу рокова у поступку, смањењу документације</w:t>
            </w:r>
            <w:r w:rsidR="00473594" w:rsidRPr="00CE61A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CE61AA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CE61AA">
              <w:rPr>
                <w:rFonts w:ascii="Times New Roman" w:hAnsi="Times New Roman"/>
                <w:sz w:val="22"/>
                <w:szCs w:val="22"/>
              </w:rPr>
              <w:t> </w:t>
            </w:r>
            <w:r w:rsidRPr="00CE61AA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Препорукама се утиче на побољшање пословног амбијента.</w:t>
            </w:r>
          </w:p>
          <w:p w14:paraId="0EF3B5BF" w14:textId="03874C21" w:rsidR="00CA1CE9" w:rsidRPr="00CE61AA" w:rsidRDefault="00CA1CE9" w:rsidP="00263E13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</w:tc>
      </w:tr>
    </w:tbl>
    <w:p w14:paraId="51370CDE" w14:textId="77777777" w:rsidR="003E3C16" w:rsidRPr="00CE61AA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CE61AA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5A6FA" w16cex:dateUtc="2020-06-30T09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16CCD36" w16cid:durableId="22A5A6F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FB0C38" w14:textId="77777777" w:rsidR="00D226C9" w:rsidRDefault="00D226C9" w:rsidP="002A202F">
      <w:r>
        <w:separator/>
      </w:r>
    </w:p>
  </w:endnote>
  <w:endnote w:type="continuationSeparator" w:id="0">
    <w:p w14:paraId="22D29BF0" w14:textId="77777777" w:rsidR="00D226C9" w:rsidRDefault="00D226C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99F0F9" w14:textId="091F92AB" w:rsidR="00C825E0" w:rsidRDefault="00C825E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5F2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3BE502F" w14:textId="77777777" w:rsidR="00C825E0" w:rsidRDefault="00C825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A651E" w14:textId="77777777" w:rsidR="00D226C9" w:rsidRDefault="00D226C9" w:rsidP="002A202F">
      <w:r>
        <w:separator/>
      </w:r>
    </w:p>
  </w:footnote>
  <w:footnote w:type="continuationSeparator" w:id="0">
    <w:p w14:paraId="20239A13" w14:textId="77777777" w:rsidR="00D226C9" w:rsidRDefault="00D226C9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E3650"/>
    <w:multiLevelType w:val="multilevel"/>
    <w:tmpl w:val="20721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1AA566F"/>
    <w:multiLevelType w:val="hybridMultilevel"/>
    <w:tmpl w:val="4A4EED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155334D1"/>
    <w:multiLevelType w:val="hybridMultilevel"/>
    <w:tmpl w:val="F42E10C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1E55977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95B97"/>
    <w:multiLevelType w:val="hybridMultilevel"/>
    <w:tmpl w:val="7ACAF4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796B48"/>
    <w:multiLevelType w:val="multilevel"/>
    <w:tmpl w:val="301C11C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8"/>
  </w:num>
  <w:num w:numId="4">
    <w:abstractNumId w:val="9"/>
  </w:num>
  <w:num w:numId="5">
    <w:abstractNumId w:val="6"/>
  </w:num>
  <w:num w:numId="6">
    <w:abstractNumId w:val="17"/>
  </w:num>
  <w:num w:numId="7">
    <w:abstractNumId w:val="32"/>
  </w:num>
  <w:num w:numId="8">
    <w:abstractNumId w:val="15"/>
  </w:num>
  <w:num w:numId="9">
    <w:abstractNumId w:val="29"/>
  </w:num>
  <w:num w:numId="10">
    <w:abstractNumId w:val="26"/>
  </w:num>
  <w:num w:numId="11">
    <w:abstractNumId w:val="25"/>
  </w:num>
  <w:num w:numId="12">
    <w:abstractNumId w:val="24"/>
  </w:num>
  <w:num w:numId="13">
    <w:abstractNumId w:val="20"/>
  </w:num>
  <w:num w:numId="14">
    <w:abstractNumId w:val="27"/>
  </w:num>
  <w:num w:numId="15">
    <w:abstractNumId w:val="23"/>
  </w:num>
  <w:num w:numId="16">
    <w:abstractNumId w:val="16"/>
  </w:num>
  <w:num w:numId="17">
    <w:abstractNumId w:val="14"/>
  </w:num>
  <w:num w:numId="18">
    <w:abstractNumId w:val="30"/>
  </w:num>
  <w:num w:numId="19">
    <w:abstractNumId w:val="10"/>
  </w:num>
  <w:num w:numId="20">
    <w:abstractNumId w:val="34"/>
  </w:num>
  <w:num w:numId="21">
    <w:abstractNumId w:val="11"/>
  </w:num>
  <w:num w:numId="22">
    <w:abstractNumId w:val="8"/>
  </w:num>
  <w:num w:numId="23">
    <w:abstractNumId w:val="21"/>
  </w:num>
  <w:num w:numId="24">
    <w:abstractNumId w:val="0"/>
  </w:num>
  <w:num w:numId="25">
    <w:abstractNumId w:val="4"/>
  </w:num>
  <w:num w:numId="26">
    <w:abstractNumId w:val="5"/>
  </w:num>
  <w:num w:numId="27">
    <w:abstractNumId w:val="19"/>
  </w:num>
  <w:num w:numId="28">
    <w:abstractNumId w:val="7"/>
  </w:num>
  <w:num w:numId="29">
    <w:abstractNumId w:val="2"/>
  </w:num>
  <w:num w:numId="30">
    <w:abstractNumId w:val="31"/>
  </w:num>
  <w:num w:numId="31">
    <w:abstractNumId w:val="22"/>
  </w:num>
  <w:num w:numId="32">
    <w:abstractNumId w:val="1"/>
  </w:num>
  <w:num w:numId="33">
    <w:abstractNumId w:val="33"/>
  </w:num>
  <w:num w:numId="34">
    <w:abstractNumId w:val="12"/>
  </w:num>
  <w:num w:numId="35">
    <w:abstractNumId w:val="28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296C"/>
    <w:rsid w:val="000050B3"/>
    <w:rsid w:val="000132D1"/>
    <w:rsid w:val="0001445B"/>
    <w:rsid w:val="00020851"/>
    <w:rsid w:val="000233E4"/>
    <w:rsid w:val="00023EF9"/>
    <w:rsid w:val="00026C2F"/>
    <w:rsid w:val="00027945"/>
    <w:rsid w:val="00036812"/>
    <w:rsid w:val="000418A1"/>
    <w:rsid w:val="0004358D"/>
    <w:rsid w:val="00044F35"/>
    <w:rsid w:val="00044F63"/>
    <w:rsid w:val="00046BBB"/>
    <w:rsid w:val="00050616"/>
    <w:rsid w:val="00061070"/>
    <w:rsid w:val="0007079A"/>
    <w:rsid w:val="00083993"/>
    <w:rsid w:val="00092B84"/>
    <w:rsid w:val="00094A03"/>
    <w:rsid w:val="0009542A"/>
    <w:rsid w:val="00097CAD"/>
    <w:rsid w:val="000A53F3"/>
    <w:rsid w:val="000A5CDC"/>
    <w:rsid w:val="000B3916"/>
    <w:rsid w:val="000B4364"/>
    <w:rsid w:val="000B54D7"/>
    <w:rsid w:val="000D5029"/>
    <w:rsid w:val="000E2036"/>
    <w:rsid w:val="000E3AB7"/>
    <w:rsid w:val="000E4013"/>
    <w:rsid w:val="000E5914"/>
    <w:rsid w:val="000F423B"/>
    <w:rsid w:val="000F5E72"/>
    <w:rsid w:val="00102B25"/>
    <w:rsid w:val="001035EB"/>
    <w:rsid w:val="00110C77"/>
    <w:rsid w:val="00112C31"/>
    <w:rsid w:val="001136AA"/>
    <w:rsid w:val="001156BA"/>
    <w:rsid w:val="001256BE"/>
    <w:rsid w:val="001423E5"/>
    <w:rsid w:val="00144229"/>
    <w:rsid w:val="0015182D"/>
    <w:rsid w:val="00153A5B"/>
    <w:rsid w:val="00161847"/>
    <w:rsid w:val="00164C9C"/>
    <w:rsid w:val="00170CA7"/>
    <w:rsid w:val="001711C5"/>
    <w:rsid w:val="001A023F"/>
    <w:rsid w:val="001A02A1"/>
    <w:rsid w:val="001A0B3D"/>
    <w:rsid w:val="001A3FAC"/>
    <w:rsid w:val="001A6472"/>
    <w:rsid w:val="001A734D"/>
    <w:rsid w:val="001B701C"/>
    <w:rsid w:val="001C5538"/>
    <w:rsid w:val="001D0EDE"/>
    <w:rsid w:val="001D20E2"/>
    <w:rsid w:val="001E38DE"/>
    <w:rsid w:val="001E6CFB"/>
    <w:rsid w:val="001F2651"/>
    <w:rsid w:val="001F7B31"/>
    <w:rsid w:val="002047AB"/>
    <w:rsid w:val="002056F0"/>
    <w:rsid w:val="0020601F"/>
    <w:rsid w:val="00212DA5"/>
    <w:rsid w:val="0021347C"/>
    <w:rsid w:val="00216EE4"/>
    <w:rsid w:val="002323AC"/>
    <w:rsid w:val="00235A78"/>
    <w:rsid w:val="00261404"/>
    <w:rsid w:val="00263E13"/>
    <w:rsid w:val="00275E2A"/>
    <w:rsid w:val="00293438"/>
    <w:rsid w:val="002947BA"/>
    <w:rsid w:val="00296938"/>
    <w:rsid w:val="002A202F"/>
    <w:rsid w:val="002B19B4"/>
    <w:rsid w:val="002B406E"/>
    <w:rsid w:val="002B644D"/>
    <w:rsid w:val="002C146C"/>
    <w:rsid w:val="002C18EB"/>
    <w:rsid w:val="002C5F25"/>
    <w:rsid w:val="002C7CDF"/>
    <w:rsid w:val="002E4AE4"/>
    <w:rsid w:val="002F0BAF"/>
    <w:rsid w:val="002F1BEC"/>
    <w:rsid w:val="002F2897"/>
    <w:rsid w:val="002F4757"/>
    <w:rsid w:val="002F77FD"/>
    <w:rsid w:val="00310C9F"/>
    <w:rsid w:val="00322199"/>
    <w:rsid w:val="003223C7"/>
    <w:rsid w:val="00326555"/>
    <w:rsid w:val="00332746"/>
    <w:rsid w:val="003410E0"/>
    <w:rsid w:val="0034459F"/>
    <w:rsid w:val="0034465D"/>
    <w:rsid w:val="00344996"/>
    <w:rsid w:val="00350EAD"/>
    <w:rsid w:val="0035471E"/>
    <w:rsid w:val="0036397F"/>
    <w:rsid w:val="003651DB"/>
    <w:rsid w:val="00370EDD"/>
    <w:rsid w:val="003715A0"/>
    <w:rsid w:val="0037171F"/>
    <w:rsid w:val="0037634D"/>
    <w:rsid w:val="00376FD1"/>
    <w:rsid w:val="00376FD4"/>
    <w:rsid w:val="003818C2"/>
    <w:rsid w:val="0039002C"/>
    <w:rsid w:val="00397DC3"/>
    <w:rsid w:val="003A47A4"/>
    <w:rsid w:val="003B44DB"/>
    <w:rsid w:val="003B4BC9"/>
    <w:rsid w:val="003B6298"/>
    <w:rsid w:val="003B64C5"/>
    <w:rsid w:val="003C049E"/>
    <w:rsid w:val="003C364A"/>
    <w:rsid w:val="003D2C83"/>
    <w:rsid w:val="003E2EB1"/>
    <w:rsid w:val="003E3C16"/>
    <w:rsid w:val="003F07BA"/>
    <w:rsid w:val="003F34C5"/>
    <w:rsid w:val="00407D96"/>
    <w:rsid w:val="004116C7"/>
    <w:rsid w:val="00417090"/>
    <w:rsid w:val="0042081F"/>
    <w:rsid w:val="00432495"/>
    <w:rsid w:val="00437551"/>
    <w:rsid w:val="00440F4D"/>
    <w:rsid w:val="00444DA7"/>
    <w:rsid w:val="0045120B"/>
    <w:rsid w:val="00451775"/>
    <w:rsid w:val="0045471F"/>
    <w:rsid w:val="00457882"/>
    <w:rsid w:val="00463CC7"/>
    <w:rsid w:val="00473594"/>
    <w:rsid w:val="004809C4"/>
    <w:rsid w:val="0048433C"/>
    <w:rsid w:val="004847B1"/>
    <w:rsid w:val="00492935"/>
    <w:rsid w:val="00494259"/>
    <w:rsid w:val="0049545B"/>
    <w:rsid w:val="004A6F97"/>
    <w:rsid w:val="004B1E5A"/>
    <w:rsid w:val="004C0B93"/>
    <w:rsid w:val="004C1D6A"/>
    <w:rsid w:val="004D3BD0"/>
    <w:rsid w:val="004D45B1"/>
    <w:rsid w:val="004D67A4"/>
    <w:rsid w:val="004D68A7"/>
    <w:rsid w:val="004E29D1"/>
    <w:rsid w:val="004E405F"/>
    <w:rsid w:val="004F31B1"/>
    <w:rsid w:val="00500566"/>
    <w:rsid w:val="00505907"/>
    <w:rsid w:val="005073A3"/>
    <w:rsid w:val="00521E5C"/>
    <w:rsid w:val="00523608"/>
    <w:rsid w:val="00524B62"/>
    <w:rsid w:val="00525C0A"/>
    <w:rsid w:val="005266FD"/>
    <w:rsid w:val="00535608"/>
    <w:rsid w:val="00543D06"/>
    <w:rsid w:val="00547404"/>
    <w:rsid w:val="00547CB9"/>
    <w:rsid w:val="00556688"/>
    <w:rsid w:val="0056162B"/>
    <w:rsid w:val="00564ADC"/>
    <w:rsid w:val="0056707B"/>
    <w:rsid w:val="00567C08"/>
    <w:rsid w:val="00576D88"/>
    <w:rsid w:val="00577204"/>
    <w:rsid w:val="00581A9D"/>
    <w:rsid w:val="00582F97"/>
    <w:rsid w:val="005964D6"/>
    <w:rsid w:val="00596B51"/>
    <w:rsid w:val="005A2503"/>
    <w:rsid w:val="005B4F04"/>
    <w:rsid w:val="005B5A34"/>
    <w:rsid w:val="005B7CB9"/>
    <w:rsid w:val="005C15E1"/>
    <w:rsid w:val="005C245D"/>
    <w:rsid w:val="005D0023"/>
    <w:rsid w:val="005E1B6C"/>
    <w:rsid w:val="005E21C4"/>
    <w:rsid w:val="005E63A4"/>
    <w:rsid w:val="005F4D59"/>
    <w:rsid w:val="0060001C"/>
    <w:rsid w:val="00600D31"/>
    <w:rsid w:val="0060338E"/>
    <w:rsid w:val="0060786A"/>
    <w:rsid w:val="006237FE"/>
    <w:rsid w:val="00627AF7"/>
    <w:rsid w:val="00631E02"/>
    <w:rsid w:val="00632540"/>
    <w:rsid w:val="00633F73"/>
    <w:rsid w:val="00645199"/>
    <w:rsid w:val="00645850"/>
    <w:rsid w:val="00661ECF"/>
    <w:rsid w:val="00670071"/>
    <w:rsid w:val="00681DA1"/>
    <w:rsid w:val="006868EE"/>
    <w:rsid w:val="0068796A"/>
    <w:rsid w:val="00690D48"/>
    <w:rsid w:val="00692071"/>
    <w:rsid w:val="00692CBD"/>
    <w:rsid w:val="00694B28"/>
    <w:rsid w:val="006978E6"/>
    <w:rsid w:val="006A232B"/>
    <w:rsid w:val="006B1580"/>
    <w:rsid w:val="006C4D5B"/>
    <w:rsid w:val="006C5349"/>
    <w:rsid w:val="006C5854"/>
    <w:rsid w:val="006C5F2A"/>
    <w:rsid w:val="006C662C"/>
    <w:rsid w:val="006D3DA6"/>
    <w:rsid w:val="006D4F69"/>
    <w:rsid w:val="006E10F8"/>
    <w:rsid w:val="006F4848"/>
    <w:rsid w:val="006F4A5C"/>
    <w:rsid w:val="00702F83"/>
    <w:rsid w:val="00705CD4"/>
    <w:rsid w:val="00706B55"/>
    <w:rsid w:val="00715F5C"/>
    <w:rsid w:val="00726474"/>
    <w:rsid w:val="007278C1"/>
    <w:rsid w:val="00733493"/>
    <w:rsid w:val="0073497C"/>
    <w:rsid w:val="00737F1D"/>
    <w:rsid w:val="00740627"/>
    <w:rsid w:val="00741B81"/>
    <w:rsid w:val="00762F56"/>
    <w:rsid w:val="00774AE6"/>
    <w:rsid w:val="00782816"/>
    <w:rsid w:val="00785A46"/>
    <w:rsid w:val="007861E3"/>
    <w:rsid w:val="007940D6"/>
    <w:rsid w:val="00797240"/>
    <w:rsid w:val="007B1740"/>
    <w:rsid w:val="007B38A3"/>
    <w:rsid w:val="007C1ABE"/>
    <w:rsid w:val="007C1F4E"/>
    <w:rsid w:val="007C33E9"/>
    <w:rsid w:val="007C61B5"/>
    <w:rsid w:val="007D244A"/>
    <w:rsid w:val="007D3889"/>
    <w:rsid w:val="007D39E4"/>
    <w:rsid w:val="007D43A7"/>
    <w:rsid w:val="007D6759"/>
    <w:rsid w:val="007E1695"/>
    <w:rsid w:val="007E1C3C"/>
    <w:rsid w:val="007F0A34"/>
    <w:rsid w:val="007F204C"/>
    <w:rsid w:val="007F56E6"/>
    <w:rsid w:val="00804060"/>
    <w:rsid w:val="00804F70"/>
    <w:rsid w:val="008070EA"/>
    <w:rsid w:val="00812BB4"/>
    <w:rsid w:val="008166C9"/>
    <w:rsid w:val="00820FA8"/>
    <w:rsid w:val="00821383"/>
    <w:rsid w:val="00824E43"/>
    <w:rsid w:val="008312DA"/>
    <w:rsid w:val="00833D8C"/>
    <w:rsid w:val="00834C9A"/>
    <w:rsid w:val="00836FC5"/>
    <w:rsid w:val="008377F2"/>
    <w:rsid w:val="0084708C"/>
    <w:rsid w:val="008472F7"/>
    <w:rsid w:val="008509A4"/>
    <w:rsid w:val="00850AD5"/>
    <w:rsid w:val="00852739"/>
    <w:rsid w:val="0085664F"/>
    <w:rsid w:val="00860B2B"/>
    <w:rsid w:val="00860F60"/>
    <w:rsid w:val="008629CC"/>
    <w:rsid w:val="008644CF"/>
    <w:rsid w:val="00865EBB"/>
    <w:rsid w:val="00867B22"/>
    <w:rsid w:val="00882B6F"/>
    <w:rsid w:val="00886C36"/>
    <w:rsid w:val="00897CDE"/>
    <w:rsid w:val="008A6AC8"/>
    <w:rsid w:val="008B5A7A"/>
    <w:rsid w:val="008B5C75"/>
    <w:rsid w:val="008C4068"/>
    <w:rsid w:val="008C5591"/>
    <w:rsid w:val="008C6FD9"/>
    <w:rsid w:val="008D04A6"/>
    <w:rsid w:val="008D48B6"/>
    <w:rsid w:val="008D4C1A"/>
    <w:rsid w:val="008D56A9"/>
    <w:rsid w:val="008D6258"/>
    <w:rsid w:val="008E7898"/>
    <w:rsid w:val="008F0867"/>
    <w:rsid w:val="008F172F"/>
    <w:rsid w:val="008F2044"/>
    <w:rsid w:val="008F2BE1"/>
    <w:rsid w:val="008F4DD1"/>
    <w:rsid w:val="00903FF1"/>
    <w:rsid w:val="009056DB"/>
    <w:rsid w:val="0090626E"/>
    <w:rsid w:val="009109D6"/>
    <w:rsid w:val="00911C53"/>
    <w:rsid w:val="00913835"/>
    <w:rsid w:val="00943E49"/>
    <w:rsid w:val="00947592"/>
    <w:rsid w:val="00950280"/>
    <w:rsid w:val="009515A6"/>
    <w:rsid w:val="009907BA"/>
    <w:rsid w:val="00991A18"/>
    <w:rsid w:val="00994A16"/>
    <w:rsid w:val="00996C4E"/>
    <w:rsid w:val="009A0635"/>
    <w:rsid w:val="009A1F17"/>
    <w:rsid w:val="009A30D3"/>
    <w:rsid w:val="009A571F"/>
    <w:rsid w:val="009B0D59"/>
    <w:rsid w:val="009B1BF5"/>
    <w:rsid w:val="009B7E71"/>
    <w:rsid w:val="009C075D"/>
    <w:rsid w:val="009C692E"/>
    <w:rsid w:val="009C7365"/>
    <w:rsid w:val="009D03A7"/>
    <w:rsid w:val="009D6F21"/>
    <w:rsid w:val="009E0479"/>
    <w:rsid w:val="009E3723"/>
    <w:rsid w:val="009E5389"/>
    <w:rsid w:val="009E54FC"/>
    <w:rsid w:val="009F41A2"/>
    <w:rsid w:val="009F57C9"/>
    <w:rsid w:val="00A0102E"/>
    <w:rsid w:val="00A07D1D"/>
    <w:rsid w:val="00A12960"/>
    <w:rsid w:val="00A1570D"/>
    <w:rsid w:val="00A22386"/>
    <w:rsid w:val="00A22E30"/>
    <w:rsid w:val="00A2559E"/>
    <w:rsid w:val="00A3017A"/>
    <w:rsid w:val="00A50C9C"/>
    <w:rsid w:val="00A53BC5"/>
    <w:rsid w:val="00A56B75"/>
    <w:rsid w:val="00A6787A"/>
    <w:rsid w:val="00A70702"/>
    <w:rsid w:val="00A71C04"/>
    <w:rsid w:val="00A819EE"/>
    <w:rsid w:val="00A90986"/>
    <w:rsid w:val="00AA0017"/>
    <w:rsid w:val="00AA4BC5"/>
    <w:rsid w:val="00AB09B3"/>
    <w:rsid w:val="00AB71EA"/>
    <w:rsid w:val="00AC02D1"/>
    <w:rsid w:val="00AE6F88"/>
    <w:rsid w:val="00AF0210"/>
    <w:rsid w:val="00B06019"/>
    <w:rsid w:val="00B07409"/>
    <w:rsid w:val="00B1006E"/>
    <w:rsid w:val="00B10A75"/>
    <w:rsid w:val="00B178FB"/>
    <w:rsid w:val="00B20B09"/>
    <w:rsid w:val="00B224A8"/>
    <w:rsid w:val="00B22DE6"/>
    <w:rsid w:val="00B3002F"/>
    <w:rsid w:val="00B43FAB"/>
    <w:rsid w:val="00B46879"/>
    <w:rsid w:val="00B5252A"/>
    <w:rsid w:val="00B63DB1"/>
    <w:rsid w:val="00B67138"/>
    <w:rsid w:val="00B6715C"/>
    <w:rsid w:val="00B73C11"/>
    <w:rsid w:val="00B81CFE"/>
    <w:rsid w:val="00B903AE"/>
    <w:rsid w:val="00B9157F"/>
    <w:rsid w:val="00B95225"/>
    <w:rsid w:val="00B96B03"/>
    <w:rsid w:val="00BA55D3"/>
    <w:rsid w:val="00BA6759"/>
    <w:rsid w:val="00BA7204"/>
    <w:rsid w:val="00BC6826"/>
    <w:rsid w:val="00BD21C5"/>
    <w:rsid w:val="00BD4196"/>
    <w:rsid w:val="00BE4C71"/>
    <w:rsid w:val="00BE53E4"/>
    <w:rsid w:val="00C0295C"/>
    <w:rsid w:val="00C03C06"/>
    <w:rsid w:val="00C121EC"/>
    <w:rsid w:val="00C12C65"/>
    <w:rsid w:val="00C12F90"/>
    <w:rsid w:val="00C14FFF"/>
    <w:rsid w:val="00C2219C"/>
    <w:rsid w:val="00C224C4"/>
    <w:rsid w:val="00C445E2"/>
    <w:rsid w:val="00C600B4"/>
    <w:rsid w:val="00C63904"/>
    <w:rsid w:val="00C63CD3"/>
    <w:rsid w:val="00C6719E"/>
    <w:rsid w:val="00C70DAF"/>
    <w:rsid w:val="00C70F1B"/>
    <w:rsid w:val="00C7129D"/>
    <w:rsid w:val="00C718F8"/>
    <w:rsid w:val="00C748D1"/>
    <w:rsid w:val="00C825E0"/>
    <w:rsid w:val="00C85111"/>
    <w:rsid w:val="00C8675D"/>
    <w:rsid w:val="00C91014"/>
    <w:rsid w:val="00CA1CE9"/>
    <w:rsid w:val="00CA7E70"/>
    <w:rsid w:val="00CB1A4E"/>
    <w:rsid w:val="00CC29F6"/>
    <w:rsid w:val="00CD2287"/>
    <w:rsid w:val="00CD5BBB"/>
    <w:rsid w:val="00CE0685"/>
    <w:rsid w:val="00CE61AA"/>
    <w:rsid w:val="00CE775A"/>
    <w:rsid w:val="00CF1B52"/>
    <w:rsid w:val="00CF2488"/>
    <w:rsid w:val="00CF47CA"/>
    <w:rsid w:val="00D04A04"/>
    <w:rsid w:val="00D053BA"/>
    <w:rsid w:val="00D22562"/>
    <w:rsid w:val="00D226C9"/>
    <w:rsid w:val="00D30DAA"/>
    <w:rsid w:val="00D37EA5"/>
    <w:rsid w:val="00D45FEB"/>
    <w:rsid w:val="00D6532E"/>
    <w:rsid w:val="00D6667B"/>
    <w:rsid w:val="00D73628"/>
    <w:rsid w:val="00D73918"/>
    <w:rsid w:val="00D740E1"/>
    <w:rsid w:val="00D7441A"/>
    <w:rsid w:val="00D807D5"/>
    <w:rsid w:val="00D943B6"/>
    <w:rsid w:val="00D95137"/>
    <w:rsid w:val="00D967D7"/>
    <w:rsid w:val="00DA125D"/>
    <w:rsid w:val="00DA616D"/>
    <w:rsid w:val="00DB19B9"/>
    <w:rsid w:val="00DC2ECE"/>
    <w:rsid w:val="00DC3A44"/>
    <w:rsid w:val="00DC4BC2"/>
    <w:rsid w:val="00DD32A5"/>
    <w:rsid w:val="00DD4490"/>
    <w:rsid w:val="00DE057D"/>
    <w:rsid w:val="00DF5F04"/>
    <w:rsid w:val="00E0020F"/>
    <w:rsid w:val="00E118C7"/>
    <w:rsid w:val="00E1427B"/>
    <w:rsid w:val="00E14E0D"/>
    <w:rsid w:val="00E22B8B"/>
    <w:rsid w:val="00E317D1"/>
    <w:rsid w:val="00E35F30"/>
    <w:rsid w:val="00E4036C"/>
    <w:rsid w:val="00E40DF0"/>
    <w:rsid w:val="00E4267B"/>
    <w:rsid w:val="00E47DAC"/>
    <w:rsid w:val="00E63C8A"/>
    <w:rsid w:val="00E70BF6"/>
    <w:rsid w:val="00E87251"/>
    <w:rsid w:val="00E912DE"/>
    <w:rsid w:val="00EA2D1A"/>
    <w:rsid w:val="00EB01F9"/>
    <w:rsid w:val="00EB1CCA"/>
    <w:rsid w:val="00EB2471"/>
    <w:rsid w:val="00EC761E"/>
    <w:rsid w:val="00ED0CCF"/>
    <w:rsid w:val="00EF0DC0"/>
    <w:rsid w:val="00EF2D29"/>
    <w:rsid w:val="00F018CB"/>
    <w:rsid w:val="00F10644"/>
    <w:rsid w:val="00F118C0"/>
    <w:rsid w:val="00F11C98"/>
    <w:rsid w:val="00F12E47"/>
    <w:rsid w:val="00F223B2"/>
    <w:rsid w:val="00F225F7"/>
    <w:rsid w:val="00F22BD1"/>
    <w:rsid w:val="00F246E5"/>
    <w:rsid w:val="00F371C9"/>
    <w:rsid w:val="00F4705A"/>
    <w:rsid w:val="00F53241"/>
    <w:rsid w:val="00F54ED6"/>
    <w:rsid w:val="00F643E2"/>
    <w:rsid w:val="00F673A3"/>
    <w:rsid w:val="00F67790"/>
    <w:rsid w:val="00F75D9A"/>
    <w:rsid w:val="00FA2643"/>
    <w:rsid w:val="00FB1A1B"/>
    <w:rsid w:val="00FB551E"/>
    <w:rsid w:val="00FB645B"/>
    <w:rsid w:val="00FC09D6"/>
    <w:rsid w:val="00FC34EC"/>
    <w:rsid w:val="00FC3F69"/>
    <w:rsid w:val="00FC5312"/>
    <w:rsid w:val="00FC5383"/>
    <w:rsid w:val="00FC5EA6"/>
    <w:rsid w:val="00FC6665"/>
    <w:rsid w:val="00FD3964"/>
    <w:rsid w:val="00FF2181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F07EE"/>
  <w15:docId w15:val="{F584BFDE-1EDB-42D2-9067-BA0C1A612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12D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paragraph" w:styleId="Revision">
    <w:name w:val="Revision"/>
    <w:hidden/>
    <w:uiPriority w:val="99"/>
    <w:semiHidden/>
    <w:rsid w:val="009C075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8CE67-B8FA-424D-8173-C25B6FB55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1817</Words>
  <Characters>10362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Jelena Veličković</cp:lastModifiedBy>
  <cp:revision>3</cp:revision>
  <cp:lastPrinted>2018-09-05T12:48:00Z</cp:lastPrinted>
  <dcterms:created xsi:type="dcterms:W3CDTF">2020-07-03T10:33:00Z</dcterms:created>
  <dcterms:modified xsi:type="dcterms:W3CDTF">2020-07-03T11:24:00Z</dcterms:modified>
</cp:coreProperties>
</file>