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E5AF0" w14:textId="3E71AA37" w:rsidR="000E2036" w:rsidRPr="007E12B9" w:rsidRDefault="005D4349" w:rsidP="00E129A3">
      <w:pPr>
        <w:pStyle w:val="NormalWeb"/>
        <w:spacing w:before="0" w:beforeAutospacing="0" w:after="0" w:afterAutospacing="0"/>
        <w:jc w:val="center"/>
        <w:rPr>
          <w:b/>
          <w:sz w:val="22"/>
          <w:szCs w:val="22"/>
          <w:lang w:val="sr-Cyrl-RS"/>
        </w:rPr>
      </w:pPr>
      <w:bookmarkStart w:id="0" w:name="_GoBack"/>
      <w:bookmarkEnd w:id="0"/>
      <w:r w:rsidRPr="005D4349">
        <w:rPr>
          <w:b/>
          <w:sz w:val="22"/>
          <w:szCs w:val="22"/>
          <w:lang w:val="sr-Cyrl-RS"/>
        </w:rPr>
        <w:t>ДИГИТАЛИЗАЦИЈА УЗ ПОЈЕДНОСТАВЉЕЊЕ ПОСТУПКА ИЗДАВАЊА ОДОБРЕЊА ЛОКАЦИЈЕ ЗА ИЗГРАДЊУ И БЕЗБЕДНО ПОСТАВЉАЊЕ ОБЈЕКАТА</w:t>
      </w:r>
    </w:p>
    <w:p w14:paraId="299395FC" w14:textId="77777777" w:rsidR="00B1006E" w:rsidRPr="00AF726E" w:rsidRDefault="00B1006E" w:rsidP="00E129A3">
      <w:pPr>
        <w:pStyle w:val="NormalWeb"/>
        <w:spacing w:before="0" w:beforeAutospacing="0" w:after="0" w:afterAutospacing="0"/>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AF726E" w:rsidRPr="00AF726E" w14:paraId="1976FB87" w14:textId="77777777" w:rsidTr="00700E29">
        <w:trPr>
          <w:trHeight w:val="888"/>
        </w:trPr>
        <w:tc>
          <w:tcPr>
            <w:tcW w:w="2689" w:type="dxa"/>
            <w:shd w:val="clear" w:color="auto" w:fill="DBE5F1" w:themeFill="accent1" w:themeFillTint="33"/>
            <w:vAlign w:val="center"/>
          </w:tcPr>
          <w:p w14:paraId="11F785D1" w14:textId="77777777" w:rsidR="00F53BBD" w:rsidRPr="00AF726E" w:rsidRDefault="00F53BBD" w:rsidP="00E129A3">
            <w:pPr>
              <w:jc w:val="left"/>
              <w:rPr>
                <w:rFonts w:ascii="Times New Roman" w:hAnsi="Times New Roman"/>
                <w:b/>
                <w:sz w:val="22"/>
                <w:szCs w:val="22"/>
                <w:lang w:val="sr-Cyrl-RS"/>
              </w:rPr>
            </w:pPr>
            <w:r w:rsidRPr="00AF726E">
              <w:rPr>
                <w:rFonts w:ascii="Times New Roman" w:hAnsi="Times New Roman"/>
                <w:b/>
                <w:sz w:val="22"/>
                <w:szCs w:val="22"/>
                <w:lang w:val="sr-Cyrl-RS"/>
              </w:rPr>
              <w:t xml:space="preserve">Назив административног поступка  </w:t>
            </w:r>
          </w:p>
        </w:tc>
        <w:tc>
          <w:tcPr>
            <w:tcW w:w="6371" w:type="dxa"/>
          </w:tcPr>
          <w:p w14:paraId="5FD56B01" w14:textId="775E5519" w:rsidR="00F53BBD" w:rsidRPr="008F60E8" w:rsidRDefault="002D19EB" w:rsidP="00765ACF">
            <w:pPr>
              <w:pStyle w:val="NormalWeb"/>
              <w:spacing w:before="120" w:beforeAutospacing="0" w:after="120" w:afterAutospacing="0"/>
              <w:jc w:val="both"/>
              <w:rPr>
                <w:b/>
                <w:sz w:val="22"/>
                <w:szCs w:val="22"/>
                <w:lang w:val="sr-Cyrl-RS"/>
              </w:rPr>
            </w:pPr>
            <w:r w:rsidRPr="008F60E8">
              <w:rPr>
                <w:b/>
                <w:sz w:val="22"/>
                <w:szCs w:val="22"/>
                <w:lang w:val="sr-Cyrl-RS"/>
              </w:rPr>
              <w:t>Одобрење локације за изградњу и безбедно постављање објеката</w:t>
            </w:r>
          </w:p>
        </w:tc>
      </w:tr>
      <w:tr w:rsidR="00AF726E" w:rsidRPr="00AF726E" w14:paraId="7A6AA442" w14:textId="77777777" w:rsidTr="00700E29">
        <w:trPr>
          <w:trHeight w:val="418"/>
        </w:trPr>
        <w:tc>
          <w:tcPr>
            <w:tcW w:w="2689" w:type="dxa"/>
            <w:shd w:val="clear" w:color="auto" w:fill="DBE5F1" w:themeFill="accent1" w:themeFillTint="33"/>
            <w:vAlign w:val="center"/>
          </w:tcPr>
          <w:p w14:paraId="049C2EAE" w14:textId="77777777" w:rsidR="00F53BBD" w:rsidRPr="00AF726E" w:rsidRDefault="00F53BBD" w:rsidP="00E129A3">
            <w:pPr>
              <w:pStyle w:val="NormalWeb"/>
              <w:spacing w:before="0" w:beforeAutospacing="0" w:after="0" w:afterAutospacing="0"/>
              <w:rPr>
                <w:b/>
                <w:sz w:val="22"/>
                <w:szCs w:val="22"/>
                <w:lang w:val="sr-Cyrl-RS"/>
              </w:rPr>
            </w:pPr>
            <w:r w:rsidRPr="00AF726E">
              <w:rPr>
                <w:b/>
                <w:sz w:val="22"/>
                <w:szCs w:val="22"/>
                <w:lang w:val="sr-Cyrl-RS"/>
              </w:rPr>
              <w:t>Шифра поступка</w:t>
            </w:r>
          </w:p>
        </w:tc>
        <w:tc>
          <w:tcPr>
            <w:tcW w:w="6371" w:type="dxa"/>
          </w:tcPr>
          <w:p w14:paraId="76B78B5F" w14:textId="39D75DE7" w:rsidR="00F53BBD" w:rsidRPr="00AF726E" w:rsidRDefault="00F53BBD" w:rsidP="00E129A3">
            <w:pPr>
              <w:pStyle w:val="NormalWeb"/>
              <w:spacing w:before="120" w:beforeAutospacing="0" w:after="120" w:afterAutospacing="0"/>
              <w:rPr>
                <w:b/>
                <w:sz w:val="22"/>
                <w:szCs w:val="22"/>
                <w:lang w:val="sr-Cyrl-RS"/>
              </w:rPr>
            </w:pPr>
            <w:r w:rsidRPr="00AF726E">
              <w:rPr>
                <w:sz w:val="22"/>
                <w:szCs w:val="22"/>
                <w:lang w:val="sr-Cyrl-RS"/>
              </w:rPr>
              <w:t>03.00.00</w:t>
            </w:r>
            <w:r w:rsidR="002D19EB" w:rsidRPr="00AF726E">
              <w:rPr>
                <w:sz w:val="22"/>
                <w:szCs w:val="22"/>
                <w:lang w:val="sr-Cyrl-RS"/>
              </w:rPr>
              <w:t>52</w:t>
            </w:r>
          </w:p>
        </w:tc>
      </w:tr>
      <w:tr w:rsidR="00AF726E" w:rsidRPr="00AF726E" w14:paraId="2CEE52A6" w14:textId="77777777" w:rsidTr="00EB48D5">
        <w:tc>
          <w:tcPr>
            <w:tcW w:w="2689" w:type="dxa"/>
            <w:shd w:val="clear" w:color="auto" w:fill="DBE5F1" w:themeFill="accent1" w:themeFillTint="33"/>
            <w:vAlign w:val="center"/>
          </w:tcPr>
          <w:p w14:paraId="682C75C7" w14:textId="77777777" w:rsidR="00F53BBD" w:rsidRPr="00AF726E" w:rsidRDefault="00F53BBD" w:rsidP="00E129A3">
            <w:pPr>
              <w:pStyle w:val="NormalWeb"/>
              <w:spacing w:before="0" w:beforeAutospacing="0" w:after="0" w:afterAutospacing="0"/>
              <w:rPr>
                <w:b/>
                <w:sz w:val="22"/>
                <w:szCs w:val="22"/>
                <w:lang w:val="sr-Cyrl-RS"/>
              </w:rPr>
            </w:pPr>
            <w:r w:rsidRPr="00AF726E">
              <w:rPr>
                <w:b/>
                <w:sz w:val="22"/>
                <w:szCs w:val="22"/>
                <w:lang w:val="sr-Cyrl-RS"/>
              </w:rPr>
              <w:t>Регулаторно тело</w:t>
            </w:r>
          </w:p>
          <w:p w14:paraId="0CAF5299" w14:textId="77777777" w:rsidR="00F53BBD" w:rsidRPr="00AF726E" w:rsidRDefault="00F53BBD" w:rsidP="00E129A3">
            <w:pPr>
              <w:pStyle w:val="NormalWeb"/>
              <w:spacing w:before="0" w:beforeAutospacing="0" w:after="0" w:afterAutospacing="0"/>
              <w:rPr>
                <w:b/>
                <w:sz w:val="22"/>
                <w:szCs w:val="22"/>
                <w:lang w:val="sr-Cyrl-RS"/>
              </w:rPr>
            </w:pPr>
            <w:r w:rsidRPr="00AF726E">
              <w:rPr>
                <w:b/>
                <w:sz w:val="22"/>
                <w:szCs w:val="22"/>
                <w:lang w:val="sr-Cyrl-RS"/>
              </w:rPr>
              <w:t>(надлежно за спровођење препоруке)</w:t>
            </w:r>
          </w:p>
        </w:tc>
        <w:tc>
          <w:tcPr>
            <w:tcW w:w="6371" w:type="dxa"/>
            <w:vAlign w:val="center"/>
          </w:tcPr>
          <w:p w14:paraId="5795E7E6" w14:textId="7C5F1282" w:rsidR="00F53BBD" w:rsidRPr="00AF726E" w:rsidRDefault="00F53BBD" w:rsidP="00EB48D5">
            <w:pPr>
              <w:pStyle w:val="NormalWeb"/>
              <w:spacing w:before="120" w:beforeAutospacing="0" w:after="120" w:afterAutospacing="0"/>
              <w:rPr>
                <w:sz w:val="22"/>
                <w:szCs w:val="22"/>
                <w:lang w:val="sr-Cyrl-RS"/>
              </w:rPr>
            </w:pPr>
            <w:r w:rsidRPr="00AF726E">
              <w:rPr>
                <w:sz w:val="22"/>
                <w:szCs w:val="22"/>
                <w:lang w:val="sr-Cyrl-RS"/>
              </w:rPr>
              <w:t>Министарство унутрашњих послова</w:t>
            </w:r>
          </w:p>
        </w:tc>
      </w:tr>
      <w:tr w:rsidR="00AF726E" w:rsidRPr="00AF726E" w14:paraId="10DA1CD3" w14:textId="77777777" w:rsidTr="00EB48D5">
        <w:tc>
          <w:tcPr>
            <w:tcW w:w="2689" w:type="dxa"/>
            <w:shd w:val="clear" w:color="auto" w:fill="DBE5F1" w:themeFill="accent1" w:themeFillTint="33"/>
            <w:vAlign w:val="center"/>
          </w:tcPr>
          <w:p w14:paraId="4DE579F4" w14:textId="77777777" w:rsidR="00F53BBD" w:rsidRPr="00AF726E" w:rsidRDefault="00F53BBD" w:rsidP="00E129A3">
            <w:pPr>
              <w:pStyle w:val="NormalWeb"/>
              <w:spacing w:before="0" w:beforeAutospacing="0" w:after="0" w:afterAutospacing="0"/>
              <w:rPr>
                <w:b/>
                <w:sz w:val="22"/>
                <w:szCs w:val="22"/>
                <w:lang w:val="sr-Cyrl-RS"/>
              </w:rPr>
            </w:pPr>
            <w:r w:rsidRPr="00AF726E">
              <w:rPr>
                <w:b/>
                <w:sz w:val="22"/>
                <w:szCs w:val="22"/>
                <w:lang w:val="sr-Cyrl-RS"/>
              </w:rPr>
              <w:t>Правни оквир којим је уређен административни поступак</w:t>
            </w:r>
          </w:p>
        </w:tc>
        <w:tc>
          <w:tcPr>
            <w:tcW w:w="6371" w:type="dxa"/>
            <w:vAlign w:val="center"/>
          </w:tcPr>
          <w:p w14:paraId="1A7B4137" w14:textId="77777777" w:rsidR="007D0A56" w:rsidRPr="00AF726E" w:rsidRDefault="007D0A56" w:rsidP="00CF114C">
            <w:pPr>
              <w:pStyle w:val="ListParagraph"/>
              <w:numPr>
                <w:ilvl w:val="0"/>
                <w:numId w:val="5"/>
              </w:numPr>
              <w:spacing w:after="200" w:line="276" w:lineRule="auto"/>
              <w:rPr>
                <w:rFonts w:ascii="Times New Roman" w:eastAsiaTheme="minorHAnsi" w:hAnsi="Times New Roman"/>
                <w:sz w:val="22"/>
                <w:szCs w:val="22"/>
                <w:lang w:val="sr-Cyrl-RS"/>
              </w:rPr>
            </w:pPr>
            <w:r w:rsidRPr="00AF726E">
              <w:rPr>
                <w:rFonts w:ascii="Times New Roman" w:hAnsi="Times New Roman"/>
                <w:sz w:val="22"/>
                <w:szCs w:val="22"/>
                <w:lang w:val="sr-Cyrl-RS"/>
              </w:rPr>
              <w:t>Закон о запаљивим и горивим течностима и запаљивим гасовима: ( „Сл. Гласник РС“, 54/2015-6)</w:t>
            </w:r>
          </w:p>
          <w:p w14:paraId="2CCB5DCC" w14:textId="0581ACE2" w:rsidR="00F53BBD" w:rsidRPr="00AF726E" w:rsidRDefault="007D0A56" w:rsidP="00CF114C">
            <w:pPr>
              <w:pStyle w:val="ListParagraph"/>
              <w:numPr>
                <w:ilvl w:val="0"/>
                <w:numId w:val="5"/>
              </w:numPr>
              <w:spacing w:after="200" w:line="276" w:lineRule="auto"/>
              <w:jc w:val="left"/>
              <w:rPr>
                <w:rFonts w:ascii="Times New Roman" w:eastAsiaTheme="minorHAnsi" w:hAnsi="Times New Roman"/>
                <w:lang w:val="sr-Cyrl-RS"/>
              </w:rPr>
            </w:pPr>
            <w:r w:rsidRPr="00AF726E">
              <w:rPr>
                <w:rFonts w:ascii="Times New Roman" w:hAnsi="Times New Roman"/>
                <w:sz w:val="22"/>
                <w:szCs w:val="22"/>
                <w:lang w:val="sr-Cyrl-RS"/>
              </w:rPr>
              <w:t>Закон о експлозивним материјама, запаљивим течностима и гасовима: 44/1977-2236, 45/1985-2238, 18/1989-749, 53/1993-2467 (др. закон), 67/1993-3111 (др. закон), 48/1994-1497 (др. закон), 101/2005-28  (др. закон), 54/2015-6 (др. закон)</w:t>
            </w:r>
          </w:p>
        </w:tc>
      </w:tr>
      <w:tr w:rsidR="00AF726E" w:rsidRPr="00AF726E" w14:paraId="724CF23D" w14:textId="77777777" w:rsidTr="00EB48D5">
        <w:tc>
          <w:tcPr>
            <w:tcW w:w="2689" w:type="dxa"/>
            <w:shd w:val="clear" w:color="auto" w:fill="DBE5F1" w:themeFill="accent1" w:themeFillTint="33"/>
            <w:vAlign w:val="center"/>
          </w:tcPr>
          <w:p w14:paraId="1A908998" w14:textId="11A1AF2D" w:rsidR="00F53BBD" w:rsidRPr="00AF726E" w:rsidRDefault="00F53BBD" w:rsidP="00E129A3">
            <w:pPr>
              <w:pStyle w:val="NormalWeb"/>
              <w:spacing w:before="0" w:beforeAutospacing="0" w:after="0" w:afterAutospacing="0"/>
              <w:rPr>
                <w:rFonts w:eastAsiaTheme="minorHAnsi"/>
                <w:b/>
                <w:bCs/>
                <w:sz w:val="22"/>
                <w:szCs w:val="22"/>
                <w:lang w:val="sr-Cyrl-RS" w:eastAsia="en-GB"/>
              </w:rPr>
            </w:pPr>
            <w:r w:rsidRPr="00AF726E">
              <w:rPr>
                <w:rFonts w:eastAsiaTheme="minorHAnsi"/>
                <w:b/>
                <w:bCs/>
                <w:sz w:val="22"/>
                <w:szCs w:val="22"/>
                <w:lang w:val="sr-Cyrl-RS" w:eastAsia="en-GB"/>
              </w:rPr>
              <w:t>Прописи које треба променити /донети/укинути да би се спровеле препоруке</w:t>
            </w:r>
          </w:p>
        </w:tc>
        <w:tc>
          <w:tcPr>
            <w:tcW w:w="6371" w:type="dxa"/>
            <w:vAlign w:val="center"/>
          </w:tcPr>
          <w:p w14:paraId="55CB4618" w14:textId="66CE1FA4" w:rsidR="007D0A56" w:rsidRPr="00AF726E" w:rsidRDefault="007D0A56" w:rsidP="00CF114C">
            <w:pPr>
              <w:pStyle w:val="ListParagraph"/>
              <w:numPr>
                <w:ilvl w:val="0"/>
                <w:numId w:val="6"/>
              </w:numPr>
              <w:spacing w:after="200" w:line="276" w:lineRule="auto"/>
              <w:jc w:val="left"/>
              <w:rPr>
                <w:rFonts w:ascii="Times New Roman" w:eastAsiaTheme="minorHAnsi" w:hAnsi="Times New Roman"/>
                <w:sz w:val="22"/>
                <w:szCs w:val="22"/>
                <w:lang w:val="sr-Cyrl-RS"/>
              </w:rPr>
            </w:pPr>
            <w:r w:rsidRPr="00AF726E">
              <w:rPr>
                <w:rFonts w:ascii="Times New Roman" w:hAnsi="Times New Roman"/>
                <w:sz w:val="22"/>
                <w:szCs w:val="22"/>
                <w:lang w:val="sr-Cyrl-RS"/>
              </w:rPr>
              <w:t>Закон о запаљивим и горивим течностима и запаљивим гасовима: ( „Сл. Гласник РС“, 54/2015-6)</w:t>
            </w:r>
          </w:p>
        </w:tc>
      </w:tr>
      <w:tr w:rsidR="00AF726E" w:rsidRPr="00AF726E" w14:paraId="58812BCA" w14:textId="77777777" w:rsidTr="00700E29">
        <w:tc>
          <w:tcPr>
            <w:tcW w:w="2689" w:type="dxa"/>
            <w:shd w:val="clear" w:color="auto" w:fill="DBE5F1" w:themeFill="accent1" w:themeFillTint="33"/>
            <w:vAlign w:val="center"/>
          </w:tcPr>
          <w:p w14:paraId="0CF6011B" w14:textId="0E1BBDD3" w:rsidR="00F53BBD" w:rsidRPr="00AF726E" w:rsidRDefault="00F53BBD" w:rsidP="00E129A3">
            <w:pPr>
              <w:pStyle w:val="NormalWeb"/>
              <w:spacing w:before="0" w:beforeAutospacing="0" w:after="0" w:afterAutospacing="0"/>
              <w:rPr>
                <w:b/>
                <w:sz w:val="22"/>
                <w:szCs w:val="22"/>
                <w:lang w:val="sr-Cyrl-RS"/>
              </w:rPr>
            </w:pPr>
            <w:r w:rsidRPr="00AF726E">
              <w:rPr>
                <w:b/>
                <w:sz w:val="22"/>
                <w:szCs w:val="22"/>
                <w:lang w:val="sr-Cyrl-RS"/>
              </w:rPr>
              <w:t>Рок за спровођење препорука</w:t>
            </w:r>
          </w:p>
        </w:tc>
        <w:tc>
          <w:tcPr>
            <w:tcW w:w="6371" w:type="dxa"/>
          </w:tcPr>
          <w:p w14:paraId="19A48B50" w14:textId="7B97E4B2" w:rsidR="00F53BBD" w:rsidRPr="00AF726E" w:rsidRDefault="00EF571D" w:rsidP="008F60E8">
            <w:pPr>
              <w:pStyle w:val="NormalWeb"/>
              <w:spacing w:before="120" w:beforeAutospacing="0" w:after="120" w:afterAutospacing="0"/>
              <w:rPr>
                <w:sz w:val="22"/>
                <w:szCs w:val="22"/>
                <w:lang w:val="sr-Cyrl-RS"/>
              </w:rPr>
            </w:pPr>
            <w:r w:rsidRPr="00EF571D">
              <w:rPr>
                <w:sz w:val="22"/>
                <w:szCs w:val="22"/>
                <w:lang w:val="sr-Cyrl-RS"/>
              </w:rPr>
              <w:t xml:space="preserve">Четврти квартал 2019. </w:t>
            </w:r>
            <w:r w:rsidR="008F60E8">
              <w:rPr>
                <w:sz w:val="22"/>
                <w:szCs w:val="22"/>
                <w:lang w:val="sr-Cyrl-RS"/>
              </w:rPr>
              <w:t>године</w:t>
            </w:r>
          </w:p>
        </w:tc>
      </w:tr>
      <w:tr w:rsidR="00AF726E" w:rsidRPr="00AF726E" w14:paraId="539113B1" w14:textId="77777777" w:rsidTr="00CA1CE9">
        <w:trPr>
          <w:trHeight w:val="409"/>
        </w:trPr>
        <w:tc>
          <w:tcPr>
            <w:tcW w:w="9060" w:type="dxa"/>
            <w:gridSpan w:val="2"/>
            <w:shd w:val="clear" w:color="auto" w:fill="DBE5F1" w:themeFill="accent1" w:themeFillTint="33"/>
            <w:vAlign w:val="center"/>
          </w:tcPr>
          <w:p w14:paraId="6E79D945" w14:textId="77777777" w:rsidR="00194AE9" w:rsidRPr="00AF726E" w:rsidRDefault="00194AE9" w:rsidP="00CF114C">
            <w:pPr>
              <w:pStyle w:val="NormalWeb"/>
              <w:numPr>
                <w:ilvl w:val="0"/>
                <w:numId w:val="1"/>
              </w:numPr>
              <w:spacing w:before="120" w:beforeAutospacing="0" w:after="120" w:afterAutospacing="0"/>
              <w:jc w:val="center"/>
              <w:rPr>
                <w:b/>
                <w:sz w:val="22"/>
                <w:szCs w:val="22"/>
                <w:lang w:val="sr-Cyrl-RS"/>
              </w:rPr>
            </w:pPr>
            <w:r w:rsidRPr="00AF726E">
              <w:rPr>
                <w:b/>
                <w:sz w:val="22"/>
                <w:szCs w:val="22"/>
                <w:lang w:val="sr-Cyrl-RS"/>
              </w:rPr>
              <w:t>КРАТАК ОПИС ПРОБЛЕМА</w:t>
            </w:r>
          </w:p>
        </w:tc>
      </w:tr>
      <w:tr w:rsidR="00AF726E" w:rsidRPr="00AF726E" w14:paraId="4635A4BE" w14:textId="77777777" w:rsidTr="00CA1CE9">
        <w:tc>
          <w:tcPr>
            <w:tcW w:w="9060" w:type="dxa"/>
            <w:gridSpan w:val="2"/>
          </w:tcPr>
          <w:p w14:paraId="445B35F3" w14:textId="1CCBBB85" w:rsidR="00FD5668" w:rsidRPr="00AF726E" w:rsidRDefault="00C831F5" w:rsidP="00E129A3">
            <w:pPr>
              <w:spacing w:before="120" w:after="120"/>
              <w:rPr>
                <w:rFonts w:ascii="Times New Roman" w:eastAsia="Times New Roman" w:hAnsi="Times New Roman"/>
                <w:sz w:val="22"/>
                <w:szCs w:val="22"/>
                <w:lang w:val="sr-Cyrl-RS"/>
              </w:rPr>
            </w:pPr>
            <w:r w:rsidRPr="00AF726E">
              <w:rPr>
                <w:rFonts w:ascii="Times New Roman" w:eastAsia="Times New Roman" w:hAnsi="Times New Roman"/>
                <w:sz w:val="22"/>
                <w:szCs w:val="22"/>
                <w:lang w:val="sr-Cyrl-RS"/>
              </w:rPr>
              <w:t>Законом о запаљивим и горивим течностима и запаљивим гасовима (у даљем тексту:</w:t>
            </w:r>
            <w:r w:rsidR="00871AB3" w:rsidRPr="00AF726E">
              <w:rPr>
                <w:rFonts w:ascii="Times New Roman" w:eastAsia="Times New Roman" w:hAnsi="Times New Roman"/>
                <w:sz w:val="22"/>
                <w:szCs w:val="22"/>
                <w:lang w:val="sr-Cyrl-RS"/>
              </w:rPr>
              <w:t xml:space="preserve"> Закон) је дефинисана документација којом се доказује испуњеност услова и коју је потребно доставити уз захтев, међутим </w:t>
            </w:r>
            <w:r w:rsidR="00FD5668" w:rsidRPr="00AF726E">
              <w:rPr>
                <w:rFonts w:ascii="Times New Roman" w:hAnsi="Times New Roman"/>
                <w:sz w:val="22"/>
                <w:szCs w:val="22"/>
                <w:lang w:val="sr-Cyrl-RS"/>
              </w:rPr>
              <w:t>у пракси поједини подаци не прибављају по службеној дужности већ се то захтева од подносиоца захтева, услед чега долази до непотребног административног оптерећења подносиоца захтева.</w:t>
            </w:r>
          </w:p>
          <w:p w14:paraId="4BCB02C2" w14:textId="2A7163E2" w:rsidR="00194AE9" w:rsidRPr="00AF726E" w:rsidRDefault="002B3F27" w:rsidP="00E129A3">
            <w:pPr>
              <w:spacing w:before="120" w:after="120"/>
              <w:rPr>
                <w:rFonts w:ascii="Times New Roman" w:eastAsia="Times New Roman" w:hAnsi="Times New Roman"/>
                <w:sz w:val="22"/>
                <w:szCs w:val="22"/>
                <w:lang w:val="sr-Cyrl-RS"/>
              </w:rPr>
            </w:pPr>
            <w:r w:rsidRPr="00AF726E">
              <w:rPr>
                <w:rFonts w:ascii="Times New Roman" w:eastAsia="Times New Roman" w:hAnsi="Times New Roman"/>
                <w:sz w:val="22"/>
                <w:szCs w:val="22"/>
                <w:lang w:val="sr-Cyrl-RS"/>
              </w:rPr>
              <w:t xml:space="preserve">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 адекватан приступ информацијама о начину подношења и решавања захтева, што води до непредвидивости самог поступка.     </w:t>
            </w:r>
          </w:p>
        </w:tc>
      </w:tr>
      <w:tr w:rsidR="00AF726E" w:rsidRPr="00AF726E" w14:paraId="31663FC5" w14:textId="77777777" w:rsidTr="00C70F1B">
        <w:trPr>
          <w:trHeight w:val="454"/>
        </w:trPr>
        <w:tc>
          <w:tcPr>
            <w:tcW w:w="9060" w:type="dxa"/>
            <w:gridSpan w:val="2"/>
            <w:tcBorders>
              <w:bottom w:val="single" w:sz="4" w:space="0" w:color="000000"/>
            </w:tcBorders>
            <w:shd w:val="clear" w:color="auto" w:fill="DBE5F1" w:themeFill="accent1" w:themeFillTint="33"/>
            <w:vAlign w:val="center"/>
          </w:tcPr>
          <w:p w14:paraId="12FDE5D1" w14:textId="77777777" w:rsidR="00194AE9" w:rsidRPr="00AF726E" w:rsidRDefault="00194AE9" w:rsidP="00CF114C">
            <w:pPr>
              <w:pStyle w:val="NormalWeb"/>
              <w:numPr>
                <w:ilvl w:val="0"/>
                <w:numId w:val="1"/>
              </w:numPr>
              <w:spacing w:before="120" w:beforeAutospacing="0" w:after="120" w:afterAutospacing="0"/>
              <w:jc w:val="center"/>
              <w:rPr>
                <w:b/>
                <w:sz w:val="22"/>
                <w:szCs w:val="22"/>
                <w:lang w:val="sr-Cyrl-RS"/>
              </w:rPr>
            </w:pPr>
            <w:r w:rsidRPr="00AF726E">
              <w:rPr>
                <w:b/>
                <w:sz w:val="22"/>
                <w:szCs w:val="22"/>
                <w:lang w:val="sr-Cyrl-RS"/>
              </w:rPr>
              <w:t>САЖЕТАК ПРЕПОРУКА</w:t>
            </w:r>
          </w:p>
        </w:tc>
      </w:tr>
      <w:tr w:rsidR="00AF726E" w:rsidRPr="00AF726E" w14:paraId="66715B57" w14:textId="77777777" w:rsidTr="00C70F1B">
        <w:trPr>
          <w:trHeight w:val="454"/>
        </w:trPr>
        <w:tc>
          <w:tcPr>
            <w:tcW w:w="9060" w:type="dxa"/>
            <w:gridSpan w:val="2"/>
            <w:tcBorders>
              <w:bottom w:val="nil"/>
            </w:tcBorders>
            <w:shd w:val="clear" w:color="auto" w:fill="FFFFFF" w:themeFill="background1"/>
            <w:vAlign w:val="center"/>
          </w:tcPr>
          <w:p w14:paraId="43426D8C" w14:textId="77777777" w:rsidR="00194AE9" w:rsidRPr="00AF726E" w:rsidRDefault="00194AE9" w:rsidP="00E129A3">
            <w:pPr>
              <w:pStyle w:val="NormalWeb"/>
              <w:spacing w:before="120" w:beforeAutospacing="0" w:after="120" w:afterAutospacing="0"/>
              <w:rPr>
                <w:b/>
                <w:sz w:val="2"/>
                <w:szCs w:val="22"/>
                <w:lang w:val="sr-Cyrl-RS"/>
              </w:rPr>
            </w:pPr>
          </w:p>
        </w:tc>
      </w:tr>
      <w:tr w:rsidR="00AF726E" w:rsidRPr="00AF726E" w14:paraId="3010E605" w14:textId="77777777" w:rsidTr="00C70F1B">
        <w:trPr>
          <w:trHeight w:val="454"/>
        </w:trPr>
        <w:tc>
          <w:tcPr>
            <w:tcW w:w="9060" w:type="dxa"/>
            <w:gridSpan w:val="2"/>
            <w:tcBorders>
              <w:top w:val="nil"/>
            </w:tcBorders>
            <w:shd w:val="clear" w:color="auto" w:fill="auto"/>
            <w:vAlign w:val="center"/>
          </w:tcPr>
          <w:tbl>
            <w:tblPr>
              <w:tblStyle w:val="TableGrid"/>
              <w:tblW w:w="0" w:type="auto"/>
              <w:tblLook w:val="04A0" w:firstRow="1" w:lastRow="0" w:firstColumn="1" w:lastColumn="0" w:noHBand="0" w:noVBand="1"/>
            </w:tblPr>
            <w:tblGrid>
              <w:gridCol w:w="3632"/>
              <w:gridCol w:w="1784"/>
              <w:gridCol w:w="1781"/>
              <w:gridCol w:w="1637"/>
            </w:tblGrid>
            <w:tr w:rsidR="00AF726E" w:rsidRPr="00AF726E" w14:paraId="3F5079D8" w14:textId="77777777" w:rsidTr="00700E29">
              <w:trPr>
                <w:trHeight w:val="749"/>
              </w:trPr>
              <w:tc>
                <w:tcPr>
                  <w:tcW w:w="3632" w:type="dxa"/>
                  <w:vMerge w:val="restart"/>
                  <w:shd w:val="clear" w:color="auto" w:fill="F2F2F2" w:themeFill="background1" w:themeFillShade="F2"/>
                  <w:vAlign w:val="center"/>
                </w:tcPr>
                <w:p w14:paraId="6E6F8646" w14:textId="77777777" w:rsidR="00194AE9" w:rsidRPr="00AF726E" w:rsidRDefault="00194AE9" w:rsidP="00E129A3">
                  <w:pPr>
                    <w:jc w:val="center"/>
                    <w:rPr>
                      <w:rFonts w:ascii="Times New Roman" w:eastAsia="Times New Roman" w:hAnsi="Times New Roman"/>
                      <w:b/>
                      <w:szCs w:val="24"/>
                      <w:lang w:val="sr-Cyrl-RS"/>
                    </w:rPr>
                  </w:pPr>
                  <w:r w:rsidRPr="00AF726E">
                    <w:rPr>
                      <w:rFonts w:ascii="Times New Roman" w:eastAsia="Times New Roman" w:hAnsi="Times New Roman"/>
                      <w:b/>
                      <w:szCs w:val="24"/>
                      <w:lang w:val="sr-Cyrl-RS"/>
                    </w:rPr>
                    <w:t>ПРЕПОРУКА</w:t>
                  </w:r>
                </w:p>
              </w:tc>
              <w:tc>
                <w:tcPr>
                  <w:tcW w:w="3565" w:type="dxa"/>
                  <w:gridSpan w:val="2"/>
                  <w:shd w:val="clear" w:color="auto" w:fill="F2F2F2" w:themeFill="background1" w:themeFillShade="F2"/>
                  <w:vAlign w:val="center"/>
                </w:tcPr>
                <w:p w14:paraId="477F22CA" w14:textId="77777777" w:rsidR="00194AE9" w:rsidRPr="00AF726E" w:rsidRDefault="00194AE9" w:rsidP="00E129A3">
                  <w:pPr>
                    <w:jc w:val="center"/>
                    <w:rPr>
                      <w:rFonts w:ascii="Times New Roman" w:eastAsia="Times New Roman" w:hAnsi="Times New Roman"/>
                      <w:b/>
                      <w:lang w:val="sr-Cyrl-RS"/>
                    </w:rPr>
                  </w:pPr>
                  <w:r w:rsidRPr="00AF726E">
                    <w:rPr>
                      <w:rFonts w:ascii="Times New Roman" w:eastAsia="Times New Roman" w:hAnsi="Times New Roman"/>
                      <w:b/>
                      <w:lang w:val="sr-Cyrl-RS"/>
                    </w:rPr>
                    <w:t>ПОТРЕБНА ИЗМЕНА/УКИДАЊЕ/ДОНОШЕЊЕ ПРОПИСА</w:t>
                  </w:r>
                </w:p>
              </w:tc>
              <w:tc>
                <w:tcPr>
                  <w:tcW w:w="1637" w:type="dxa"/>
                  <w:vMerge w:val="restart"/>
                  <w:shd w:val="clear" w:color="auto" w:fill="F2F2F2" w:themeFill="background1" w:themeFillShade="F2"/>
                  <w:vAlign w:val="center"/>
                </w:tcPr>
                <w:p w14:paraId="736686DB" w14:textId="77777777" w:rsidR="00194AE9" w:rsidRPr="00AF726E" w:rsidRDefault="00194AE9" w:rsidP="00E129A3">
                  <w:pPr>
                    <w:jc w:val="center"/>
                    <w:rPr>
                      <w:rFonts w:ascii="Times New Roman" w:eastAsia="Times New Roman" w:hAnsi="Times New Roman"/>
                      <w:b/>
                      <w:lang w:val="sr-Cyrl-RS"/>
                    </w:rPr>
                  </w:pPr>
                  <w:r w:rsidRPr="00AF726E">
                    <w:rPr>
                      <w:rFonts w:ascii="Times New Roman" w:eastAsia="Times New Roman" w:hAnsi="Times New Roman"/>
                      <w:b/>
                      <w:lang w:val="sr-Cyrl-RS"/>
                    </w:rPr>
                    <w:t>УКОЛИКО ЈЕ ОДГОВОР ДА, КОЈИХ</w:t>
                  </w:r>
                </w:p>
              </w:tc>
            </w:tr>
            <w:tr w:rsidR="00AF726E" w:rsidRPr="00AF726E" w14:paraId="1AB0CAED" w14:textId="77777777" w:rsidTr="00700E29">
              <w:trPr>
                <w:trHeight w:val="260"/>
              </w:trPr>
              <w:tc>
                <w:tcPr>
                  <w:tcW w:w="3632" w:type="dxa"/>
                  <w:vMerge/>
                </w:tcPr>
                <w:p w14:paraId="0D5F17BB" w14:textId="77777777" w:rsidR="00194AE9" w:rsidRPr="00AF726E" w:rsidRDefault="00194AE9" w:rsidP="00E129A3">
                  <w:pPr>
                    <w:jc w:val="left"/>
                    <w:rPr>
                      <w:rFonts w:ascii="Times New Roman" w:eastAsia="Times New Roman" w:hAnsi="Times New Roman"/>
                      <w:b/>
                      <w:lang w:val="sr-Cyrl-RS"/>
                    </w:rPr>
                  </w:pPr>
                </w:p>
              </w:tc>
              <w:tc>
                <w:tcPr>
                  <w:tcW w:w="1784" w:type="dxa"/>
                  <w:shd w:val="clear" w:color="auto" w:fill="F2F2F2" w:themeFill="background1" w:themeFillShade="F2"/>
                </w:tcPr>
                <w:p w14:paraId="141E269F" w14:textId="77777777" w:rsidR="00194AE9" w:rsidRPr="00AF726E" w:rsidRDefault="00194AE9" w:rsidP="00E129A3">
                  <w:pPr>
                    <w:jc w:val="center"/>
                    <w:rPr>
                      <w:rFonts w:ascii="Times New Roman" w:eastAsia="Times New Roman" w:hAnsi="Times New Roman"/>
                      <w:b/>
                      <w:lang w:val="sr-Cyrl-RS"/>
                    </w:rPr>
                  </w:pPr>
                  <w:r w:rsidRPr="00AF726E">
                    <w:rPr>
                      <w:rFonts w:ascii="Times New Roman" w:eastAsia="Times New Roman" w:hAnsi="Times New Roman"/>
                      <w:b/>
                      <w:lang w:val="sr-Cyrl-RS"/>
                    </w:rPr>
                    <w:t>Да</w:t>
                  </w:r>
                </w:p>
              </w:tc>
              <w:tc>
                <w:tcPr>
                  <w:tcW w:w="1781" w:type="dxa"/>
                  <w:shd w:val="clear" w:color="auto" w:fill="F2F2F2" w:themeFill="background1" w:themeFillShade="F2"/>
                </w:tcPr>
                <w:p w14:paraId="63BC5263" w14:textId="77777777" w:rsidR="00194AE9" w:rsidRPr="00AF726E" w:rsidRDefault="00194AE9" w:rsidP="00E129A3">
                  <w:pPr>
                    <w:jc w:val="center"/>
                    <w:rPr>
                      <w:rFonts w:ascii="Times New Roman" w:eastAsia="Times New Roman" w:hAnsi="Times New Roman"/>
                      <w:b/>
                      <w:lang w:val="sr-Cyrl-RS"/>
                    </w:rPr>
                  </w:pPr>
                  <w:r w:rsidRPr="00AF726E">
                    <w:rPr>
                      <w:rFonts w:ascii="Times New Roman" w:eastAsia="Times New Roman" w:hAnsi="Times New Roman"/>
                      <w:b/>
                      <w:lang w:val="sr-Cyrl-RS"/>
                    </w:rPr>
                    <w:t>Не</w:t>
                  </w:r>
                </w:p>
              </w:tc>
              <w:tc>
                <w:tcPr>
                  <w:tcW w:w="1637" w:type="dxa"/>
                  <w:vMerge/>
                </w:tcPr>
                <w:p w14:paraId="4AB19BBF" w14:textId="77777777" w:rsidR="00194AE9" w:rsidRPr="00AF726E" w:rsidRDefault="00194AE9" w:rsidP="00E129A3">
                  <w:pPr>
                    <w:jc w:val="left"/>
                    <w:rPr>
                      <w:rFonts w:ascii="Times New Roman" w:eastAsia="Times New Roman" w:hAnsi="Times New Roman"/>
                      <w:b/>
                      <w:lang w:val="sr-Cyrl-RS"/>
                    </w:rPr>
                  </w:pPr>
                </w:p>
              </w:tc>
            </w:tr>
            <w:tr w:rsidR="00AF726E" w:rsidRPr="00AF726E" w14:paraId="340D4CBD" w14:textId="77777777" w:rsidTr="00223820">
              <w:trPr>
                <w:trHeight w:val="244"/>
              </w:trPr>
              <w:tc>
                <w:tcPr>
                  <w:tcW w:w="3632" w:type="dxa"/>
                  <w:vAlign w:val="center"/>
                </w:tcPr>
                <w:p w14:paraId="4D7393AE" w14:textId="234C7FA1" w:rsidR="00C50383" w:rsidRPr="00C92BB8" w:rsidRDefault="00C50383" w:rsidP="00C50383">
                  <w:pPr>
                    <w:jc w:val="left"/>
                    <w:rPr>
                      <w:rFonts w:ascii="Times New Roman" w:eastAsia="Times New Roman" w:hAnsi="Times New Roman"/>
                      <w:b/>
                      <w:lang w:val="sr-Cyrl-RS"/>
                    </w:rPr>
                  </w:pPr>
                  <w:r w:rsidRPr="00C92BB8">
                    <w:rPr>
                      <w:rFonts w:ascii="Times New Roman" w:eastAsia="Times New Roman" w:hAnsi="Times New Roman"/>
                      <w:b/>
                      <w:lang w:val="sr-Cyrl-RS"/>
                    </w:rPr>
                    <w:t>Прибављање података и докумената по службеној дужности</w:t>
                  </w:r>
                </w:p>
              </w:tc>
              <w:tc>
                <w:tcPr>
                  <w:tcW w:w="1784" w:type="dxa"/>
                  <w:vAlign w:val="center"/>
                </w:tcPr>
                <w:p w14:paraId="65F55BC4" w14:textId="48C90D4B" w:rsidR="00C50383" w:rsidRPr="00AF726E" w:rsidRDefault="00C50383" w:rsidP="00C50383">
                  <w:pPr>
                    <w:jc w:val="center"/>
                    <w:rPr>
                      <w:rFonts w:ascii="Times New Roman" w:eastAsia="Times New Roman" w:hAnsi="Times New Roman"/>
                      <w:b/>
                      <w:lang w:val="sr-Cyrl-RS"/>
                    </w:rPr>
                  </w:pPr>
                  <w:r w:rsidRPr="00AF726E">
                    <w:rPr>
                      <w:rFonts w:ascii="Times New Roman" w:eastAsia="Times New Roman" w:hAnsi="Times New Roman"/>
                      <w:b/>
                      <w:lang w:val="sr-Cyrl-RS"/>
                    </w:rPr>
                    <w:t>X</w:t>
                  </w:r>
                </w:p>
              </w:tc>
              <w:tc>
                <w:tcPr>
                  <w:tcW w:w="1781" w:type="dxa"/>
                  <w:vAlign w:val="center"/>
                </w:tcPr>
                <w:p w14:paraId="10CE5B14" w14:textId="77777777" w:rsidR="00C50383" w:rsidRPr="00AF726E" w:rsidRDefault="00C50383" w:rsidP="00C50383">
                  <w:pPr>
                    <w:jc w:val="center"/>
                    <w:rPr>
                      <w:rFonts w:ascii="Times New Roman" w:eastAsia="Times New Roman" w:hAnsi="Times New Roman"/>
                      <w:b/>
                      <w:lang w:val="sr-Cyrl-RS"/>
                    </w:rPr>
                  </w:pPr>
                </w:p>
              </w:tc>
              <w:tc>
                <w:tcPr>
                  <w:tcW w:w="1637" w:type="dxa"/>
                  <w:vAlign w:val="center"/>
                </w:tcPr>
                <w:p w14:paraId="5788BED1" w14:textId="640FCCDC" w:rsidR="00C50383" w:rsidRPr="00AF726E" w:rsidRDefault="00C50383" w:rsidP="00C50383">
                  <w:pPr>
                    <w:jc w:val="center"/>
                    <w:rPr>
                      <w:rFonts w:ascii="Times New Roman" w:eastAsia="Times New Roman" w:hAnsi="Times New Roman"/>
                      <w:b/>
                      <w:lang w:val="sr-Cyrl-RS"/>
                    </w:rPr>
                  </w:pPr>
                  <w:r w:rsidRPr="00AF726E">
                    <w:rPr>
                      <w:rFonts w:ascii="Times New Roman" w:eastAsia="Times New Roman" w:hAnsi="Times New Roman"/>
                      <w:b/>
                      <w:lang w:val="sr-Cyrl-RS"/>
                    </w:rPr>
                    <w:t>1</w:t>
                  </w:r>
                </w:p>
              </w:tc>
            </w:tr>
            <w:tr w:rsidR="00EF571D" w:rsidRPr="00AF726E" w14:paraId="6D4E90D6" w14:textId="77777777" w:rsidTr="00223820">
              <w:trPr>
                <w:trHeight w:val="244"/>
              </w:trPr>
              <w:tc>
                <w:tcPr>
                  <w:tcW w:w="3632" w:type="dxa"/>
                  <w:vAlign w:val="center"/>
                </w:tcPr>
                <w:p w14:paraId="1FCEBCFE" w14:textId="487AB96C" w:rsidR="00EF571D" w:rsidRPr="00C92BB8" w:rsidRDefault="00EF571D" w:rsidP="00C50383">
                  <w:pPr>
                    <w:jc w:val="left"/>
                    <w:rPr>
                      <w:rFonts w:ascii="Times New Roman" w:eastAsia="Times New Roman" w:hAnsi="Times New Roman"/>
                      <w:i/>
                      <w:lang w:val="sr-Cyrl-RS"/>
                    </w:rPr>
                  </w:pPr>
                  <w:r w:rsidRPr="00C92BB8">
                    <w:rPr>
                      <w:rFonts w:ascii="Times New Roman" w:eastAsia="Times New Roman" w:hAnsi="Times New Roman"/>
                      <w:i/>
                      <w:lang w:val="sr-Cyrl-RS"/>
                    </w:rPr>
                    <w:t>Промена форме документа</w:t>
                  </w:r>
                </w:p>
              </w:tc>
              <w:tc>
                <w:tcPr>
                  <w:tcW w:w="1784" w:type="dxa"/>
                  <w:vAlign w:val="center"/>
                </w:tcPr>
                <w:p w14:paraId="59351225" w14:textId="77777777" w:rsidR="00EF571D" w:rsidRPr="00AF726E" w:rsidRDefault="00EF571D" w:rsidP="00C50383">
                  <w:pPr>
                    <w:jc w:val="center"/>
                    <w:rPr>
                      <w:rFonts w:ascii="Times New Roman" w:eastAsia="Times New Roman" w:hAnsi="Times New Roman"/>
                      <w:b/>
                      <w:lang w:val="sr-Cyrl-RS"/>
                    </w:rPr>
                  </w:pPr>
                </w:p>
              </w:tc>
              <w:tc>
                <w:tcPr>
                  <w:tcW w:w="1781" w:type="dxa"/>
                  <w:vAlign w:val="center"/>
                </w:tcPr>
                <w:p w14:paraId="64060648" w14:textId="27283396" w:rsidR="00EF571D" w:rsidRPr="00AF726E" w:rsidRDefault="00EF571D" w:rsidP="00C50383">
                  <w:pPr>
                    <w:jc w:val="center"/>
                    <w:rPr>
                      <w:rFonts w:ascii="Times New Roman" w:eastAsia="Times New Roman" w:hAnsi="Times New Roman"/>
                      <w:b/>
                      <w:lang w:val="sr-Cyrl-RS"/>
                    </w:rPr>
                  </w:pPr>
                  <w:r>
                    <w:rPr>
                      <w:rFonts w:ascii="Times New Roman" w:eastAsia="Times New Roman" w:hAnsi="Times New Roman"/>
                      <w:b/>
                      <w:lang w:val="sr-Cyrl-RS"/>
                    </w:rPr>
                    <w:t>Х</w:t>
                  </w:r>
                </w:p>
              </w:tc>
              <w:tc>
                <w:tcPr>
                  <w:tcW w:w="1637" w:type="dxa"/>
                  <w:vAlign w:val="center"/>
                </w:tcPr>
                <w:p w14:paraId="562BE720" w14:textId="77777777" w:rsidR="00EF571D" w:rsidRPr="00AF726E" w:rsidRDefault="00EF571D" w:rsidP="00C50383">
                  <w:pPr>
                    <w:jc w:val="center"/>
                    <w:rPr>
                      <w:rFonts w:ascii="Times New Roman" w:eastAsia="Times New Roman" w:hAnsi="Times New Roman"/>
                      <w:b/>
                      <w:lang w:val="sr-Cyrl-RS"/>
                    </w:rPr>
                  </w:pPr>
                </w:p>
              </w:tc>
            </w:tr>
            <w:tr w:rsidR="00AF726E" w:rsidRPr="00AF726E" w14:paraId="501BDC3C" w14:textId="77777777" w:rsidTr="00700E29">
              <w:trPr>
                <w:trHeight w:val="244"/>
              </w:trPr>
              <w:tc>
                <w:tcPr>
                  <w:tcW w:w="3632" w:type="dxa"/>
                  <w:vAlign w:val="center"/>
                </w:tcPr>
                <w:p w14:paraId="13C2A0D4" w14:textId="77777777" w:rsidR="002A159B" w:rsidRPr="00AF726E" w:rsidRDefault="002A159B" w:rsidP="002A159B">
                  <w:pPr>
                    <w:tabs>
                      <w:tab w:val="left" w:pos="313"/>
                    </w:tabs>
                    <w:jc w:val="left"/>
                    <w:rPr>
                      <w:rFonts w:ascii="Times New Roman" w:eastAsia="Times New Roman" w:hAnsi="Times New Roman"/>
                      <w:i/>
                      <w:lang w:val="sr-Cyrl-RS"/>
                    </w:rPr>
                  </w:pPr>
                  <w:r w:rsidRPr="00AF726E">
                    <w:rPr>
                      <w:rFonts w:ascii="Times New Roman" w:eastAsia="Times New Roman" w:hAnsi="Times New Roman"/>
                      <w:b/>
                      <w:lang w:val="sr-Cyrl-RS"/>
                    </w:rPr>
                    <w:t>Образац административног захтева</w:t>
                  </w:r>
                </w:p>
                <w:p w14:paraId="59DA7568" w14:textId="77777777" w:rsidR="002A159B" w:rsidRPr="00AF726E" w:rsidRDefault="002A159B" w:rsidP="00263C95">
                  <w:pPr>
                    <w:jc w:val="left"/>
                    <w:rPr>
                      <w:rFonts w:ascii="Times New Roman" w:eastAsia="Times New Roman" w:hAnsi="Times New Roman"/>
                      <w:i/>
                      <w:lang w:val="sr-Cyrl-RS"/>
                    </w:rPr>
                  </w:pPr>
                </w:p>
              </w:tc>
              <w:tc>
                <w:tcPr>
                  <w:tcW w:w="5202" w:type="dxa"/>
                  <w:gridSpan w:val="3"/>
                  <w:vAlign w:val="center"/>
                </w:tcPr>
                <w:p w14:paraId="147B0FDA" w14:textId="77777777" w:rsidR="002A159B" w:rsidRPr="00AF726E" w:rsidRDefault="002A159B" w:rsidP="00E129A3">
                  <w:pPr>
                    <w:jc w:val="center"/>
                    <w:rPr>
                      <w:rFonts w:ascii="Times New Roman" w:eastAsia="Times New Roman" w:hAnsi="Times New Roman"/>
                      <w:b/>
                      <w:lang w:val="sr-Cyrl-RS"/>
                    </w:rPr>
                  </w:pPr>
                </w:p>
              </w:tc>
            </w:tr>
            <w:tr w:rsidR="00AF726E" w:rsidRPr="00AF726E" w14:paraId="308DA1F4" w14:textId="77777777" w:rsidTr="00223820">
              <w:trPr>
                <w:trHeight w:val="244"/>
              </w:trPr>
              <w:tc>
                <w:tcPr>
                  <w:tcW w:w="3632" w:type="dxa"/>
                  <w:vAlign w:val="center"/>
                </w:tcPr>
                <w:p w14:paraId="68394A1C" w14:textId="2B2E7844" w:rsidR="00223820" w:rsidRPr="00AF726E" w:rsidRDefault="00223820" w:rsidP="00263C95">
                  <w:pPr>
                    <w:jc w:val="left"/>
                    <w:rPr>
                      <w:rFonts w:ascii="Times New Roman" w:eastAsia="Times New Roman" w:hAnsi="Times New Roman"/>
                      <w:i/>
                      <w:lang w:val="sr-Cyrl-RS"/>
                    </w:rPr>
                  </w:pPr>
                  <w:r w:rsidRPr="00AF726E">
                    <w:rPr>
                      <w:rFonts w:ascii="Times New Roman" w:eastAsia="Times New Roman" w:hAnsi="Times New Roman"/>
                      <w:i/>
                      <w:lang w:val="sr-Cyrl-RS"/>
                    </w:rPr>
                    <w:t>Увођење обрасца  за подношење захтева</w:t>
                  </w:r>
                </w:p>
              </w:tc>
              <w:tc>
                <w:tcPr>
                  <w:tcW w:w="1784" w:type="dxa"/>
                  <w:vAlign w:val="center"/>
                </w:tcPr>
                <w:p w14:paraId="34B0C60C" w14:textId="77777777" w:rsidR="00223820" w:rsidRPr="00AF726E" w:rsidRDefault="00223820" w:rsidP="00E129A3">
                  <w:pPr>
                    <w:jc w:val="center"/>
                    <w:rPr>
                      <w:rFonts w:ascii="Times New Roman" w:eastAsia="Times New Roman" w:hAnsi="Times New Roman"/>
                      <w:b/>
                      <w:lang w:val="sr-Cyrl-RS"/>
                    </w:rPr>
                  </w:pPr>
                </w:p>
              </w:tc>
              <w:tc>
                <w:tcPr>
                  <w:tcW w:w="1781" w:type="dxa"/>
                  <w:vAlign w:val="center"/>
                </w:tcPr>
                <w:p w14:paraId="7CAA9CF6" w14:textId="30C89AC0" w:rsidR="00223820" w:rsidRPr="00AF726E" w:rsidRDefault="00223820" w:rsidP="00E129A3">
                  <w:pPr>
                    <w:jc w:val="center"/>
                    <w:rPr>
                      <w:rFonts w:ascii="Times New Roman" w:eastAsia="Times New Roman" w:hAnsi="Times New Roman"/>
                      <w:b/>
                      <w:lang w:val="sr-Cyrl-RS"/>
                    </w:rPr>
                  </w:pPr>
                  <w:r w:rsidRPr="00AF726E">
                    <w:rPr>
                      <w:rFonts w:ascii="Times New Roman" w:eastAsia="Times New Roman" w:hAnsi="Times New Roman"/>
                      <w:b/>
                      <w:lang w:val="sr-Cyrl-RS"/>
                    </w:rPr>
                    <w:t>X</w:t>
                  </w:r>
                </w:p>
              </w:tc>
              <w:tc>
                <w:tcPr>
                  <w:tcW w:w="1637" w:type="dxa"/>
                  <w:vAlign w:val="center"/>
                </w:tcPr>
                <w:p w14:paraId="21435E84" w14:textId="616682B2" w:rsidR="00223820" w:rsidRPr="00AF726E" w:rsidRDefault="00223820" w:rsidP="00E129A3">
                  <w:pPr>
                    <w:jc w:val="center"/>
                    <w:rPr>
                      <w:rFonts w:ascii="Times New Roman" w:eastAsia="Times New Roman" w:hAnsi="Times New Roman"/>
                      <w:b/>
                      <w:lang w:val="sr-Cyrl-RS"/>
                    </w:rPr>
                  </w:pPr>
                </w:p>
              </w:tc>
            </w:tr>
          </w:tbl>
          <w:p w14:paraId="6E28D8C5" w14:textId="64D43147" w:rsidR="00194AE9" w:rsidRPr="00AF726E" w:rsidRDefault="00194AE9" w:rsidP="00E129A3">
            <w:pPr>
              <w:pStyle w:val="NormalWeb"/>
              <w:spacing w:before="120" w:beforeAutospacing="0" w:after="120" w:afterAutospacing="0"/>
              <w:jc w:val="both"/>
              <w:rPr>
                <w:b/>
                <w:sz w:val="22"/>
                <w:szCs w:val="22"/>
                <w:lang w:val="sr-Cyrl-RS"/>
              </w:rPr>
            </w:pPr>
          </w:p>
        </w:tc>
      </w:tr>
      <w:tr w:rsidR="00AF726E" w:rsidRPr="00AF726E" w14:paraId="0B4EEBB8" w14:textId="77777777" w:rsidTr="00C70F1B">
        <w:trPr>
          <w:trHeight w:val="454"/>
        </w:trPr>
        <w:tc>
          <w:tcPr>
            <w:tcW w:w="9060" w:type="dxa"/>
            <w:gridSpan w:val="2"/>
            <w:shd w:val="clear" w:color="auto" w:fill="DBE5F1" w:themeFill="accent1" w:themeFillTint="33"/>
            <w:vAlign w:val="center"/>
          </w:tcPr>
          <w:p w14:paraId="30CB88E1" w14:textId="18030B78" w:rsidR="00194AE9" w:rsidRPr="00AF726E" w:rsidRDefault="00194AE9" w:rsidP="00CF114C">
            <w:pPr>
              <w:pStyle w:val="NormalWeb"/>
              <w:numPr>
                <w:ilvl w:val="0"/>
                <w:numId w:val="1"/>
              </w:numPr>
              <w:spacing w:before="120" w:beforeAutospacing="0" w:after="120" w:afterAutospacing="0"/>
              <w:jc w:val="center"/>
              <w:rPr>
                <w:b/>
                <w:sz w:val="22"/>
                <w:szCs w:val="22"/>
                <w:lang w:val="sr-Cyrl-RS"/>
              </w:rPr>
            </w:pPr>
            <w:r w:rsidRPr="00AF726E">
              <w:rPr>
                <w:b/>
                <w:sz w:val="22"/>
                <w:szCs w:val="22"/>
                <w:lang w:val="sr-Cyrl-RS"/>
              </w:rPr>
              <w:t>ОБРАЗЛОЖЕЊЕ</w:t>
            </w:r>
          </w:p>
        </w:tc>
      </w:tr>
      <w:tr w:rsidR="00794AAF" w:rsidRPr="00E81626" w14:paraId="4C67EFD3" w14:textId="77777777" w:rsidTr="00DB19B9">
        <w:trPr>
          <w:trHeight w:val="454"/>
        </w:trPr>
        <w:tc>
          <w:tcPr>
            <w:tcW w:w="9060" w:type="dxa"/>
            <w:gridSpan w:val="2"/>
            <w:shd w:val="clear" w:color="auto" w:fill="auto"/>
          </w:tcPr>
          <w:p w14:paraId="1833FBD0" w14:textId="2481F86F" w:rsidR="00194AE9" w:rsidRPr="00E81626" w:rsidRDefault="00194AE9" w:rsidP="00E129A3">
            <w:pPr>
              <w:pStyle w:val="ListParagraph"/>
              <w:jc w:val="left"/>
              <w:rPr>
                <w:rFonts w:ascii="Times New Roman" w:eastAsia="Times New Roman" w:hAnsi="Times New Roman"/>
                <w:b/>
                <w:sz w:val="22"/>
                <w:szCs w:val="22"/>
                <w:lang w:val="sr-Cyrl-RS"/>
              </w:rPr>
            </w:pPr>
          </w:p>
          <w:p w14:paraId="2C7B2D43" w14:textId="18E2BB73" w:rsidR="00EF571D" w:rsidRPr="00E81626" w:rsidRDefault="00485E07" w:rsidP="00996CC9">
            <w:pPr>
              <w:pStyle w:val="NormalWeb"/>
              <w:spacing w:before="0" w:beforeAutospacing="0" w:after="0" w:afterAutospacing="0"/>
              <w:jc w:val="both"/>
              <w:rPr>
                <w:b/>
                <w:sz w:val="22"/>
                <w:szCs w:val="22"/>
                <w:lang w:val="sr-Cyrl-RS"/>
              </w:rPr>
            </w:pPr>
            <w:r w:rsidRPr="00E81626">
              <w:rPr>
                <w:b/>
                <w:sz w:val="22"/>
                <w:szCs w:val="22"/>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r w:rsidR="00996CC9" w:rsidRPr="00E81626">
              <w:rPr>
                <w:b/>
                <w:sz w:val="22"/>
                <w:szCs w:val="22"/>
                <w:lang w:val="sr-Cyrl-RS"/>
              </w:rPr>
              <w:t>.</w:t>
            </w:r>
          </w:p>
          <w:p w14:paraId="3BA17FF8" w14:textId="77777777" w:rsidR="00996CC9" w:rsidRPr="00E81626" w:rsidRDefault="00996CC9" w:rsidP="00EF571D">
            <w:pPr>
              <w:pStyle w:val="NormalWeb"/>
              <w:spacing w:before="0" w:beforeAutospacing="0" w:after="0" w:afterAutospacing="0"/>
              <w:rPr>
                <w:b/>
                <w:sz w:val="22"/>
                <w:szCs w:val="22"/>
                <w:lang w:val="sr-Cyrl-RS"/>
              </w:rPr>
            </w:pPr>
          </w:p>
          <w:p w14:paraId="65D0FDAA" w14:textId="6B6212E1" w:rsidR="00C50383" w:rsidRPr="00E81626" w:rsidRDefault="00C50383" w:rsidP="00CF114C">
            <w:pPr>
              <w:pStyle w:val="NormalWeb"/>
              <w:numPr>
                <w:ilvl w:val="1"/>
                <w:numId w:val="1"/>
              </w:numPr>
              <w:spacing w:before="0" w:beforeAutospacing="0" w:after="0" w:afterAutospacing="0"/>
              <w:ind w:left="792" w:hanging="432"/>
              <w:rPr>
                <w:b/>
                <w:sz w:val="22"/>
                <w:szCs w:val="22"/>
                <w:lang w:val="sr-Cyrl-RS"/>
              </w:rPr>
            </w:pPr>
            <w:r w:rsidRPr="00E81626">
              <w:rPr>
                <w:b/>
                <w:sz w:val="22"/>
                <w:szCs w:val="22"/>
                <w:lang w:val="sr-Cyrl-RS"/>
              </w:rPr>
              <w:t>Прибављање података и докумената по службеној дужности</w:t>
            </w:r>
          </w:p>
          <w:p w14:paraId="1DA058B3" w14:textId="77777777" w:rsidR="00C50383" w:rsidRPr="00E81626" w:rsidRDefault="00C50383" w:rsidP="00C50383">
            <w:pPr>
              <w:pStyle w:val="NormalWeb"/>
              <w:spacing w:before="0" w:beforeAutospacing="0" w:after="0" w:afterAutospacing="0"/>
              <w:ind w:left="459"/>
              <w:rPr>
                <w:sz w:val="22"/>
                <w:szCs w:val="22"/>
                <w:lang w:val="sr-Cyrl-RS"/>
              </w:rPr>
            </w:pPr>
            <w:r w:rsidRPr="00E81626">
              <w:rPr>
                <w:sz w:val="22"/>
                <w:szCs w:val="22"/>
                <w:lang w:val="sr-Cyrl-RS"/>
              </w:rPr>
              <w:t xml:space="preserve"> </w:t>
            </w:r>
          </w:p>
          <w:p w14:paraId="2B777AC2" w14:textId="157D88C2" w:rsidR="00C50383" w:rsidRPr="00E81626" w:rsidRDefault="00C50383" w:rsidP="00C50383">
            <w:pPr>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 xml:space="preserve">Законом (члан 7) је прописано да се уз захтев прилажу планови, изводи, технички описи и уверења, којима се доказује испуњеност услова за давање </w:t>
            </w:r>
            <w:r w:rsidR="008C4631" w:rsidRPr="00E81626">
              <w:rPr>
                <w:rFonts w:ascii="Times New Roman" w:eastAsia="Times New Roman" w:hAnsi="Times New Roman"/>
                <w:sz w:val="22"/>
                <w:szCs w:val="22"/>
                <w:lang w:val="sr-Cyrl-RS"/>
              </w:rPr>
              <w:t>одобрења локације</w:t>
            </w:r>
            <w:r w:rsidRPr="00E81626">
              <w:rPr>
                <w:rFonts w:ascii="Times New Roman" w:eastAsia="Times New Roman" w:hAnsi="Times New Roman"/>
                <w:sz w:val="22"/>
                <w:szCs w:val="22"/>
                <w:lang w:val="sr-Cyrl-RS"/>
              </w:rPr>
              <w:t xml:space="preserve">. </w:t>
            </w:r>
          </w:p>
          <w:p w14:paraId="486D3524" w14:textId="0724A3D3" w:rsidR="008C4631" w:rsidRPr="00E81626" w:rsidRDefault="00C50383" w:rsidP="008C4631">
            <w:pPr>
              <w:spacing w:before="120" w:after="120"/>
              <w:rPr>
                <w:rFonts w:ascii="Times New Roman" w:eastAsia="Times New Roman" w:hAnsi="Times New Roman"/>
                <w:bCs/>
                <w:sz w:val="22"/>
                <w:szCs w:val="22"/>
                <w:lang w:val="sr-Cyrl-RS"/>
              </w:rPr>
            </w:pPr>
            <w:r w:rsidRPr="00E81626">
              <w:rPr>
                <w:rFonts w:ascii="Times New Roman" w:eastAsia="Times New Roman" w:hAnsi="Times New Roman"/>
                <w:bCs/>
                <w:sz w:val="22"/>
                <w:szCs w:val="22"/>
                <w:lang w:val="sr-Cyrl-RS"/>
              </w:rPr>
              <w:t>Предлаже се елиминација подношења следећих докумената од стране подносиоца захтева, јер je надлежни орган дужан да, у складу са члановима 9. и 103. ЗОУП-а ("Службени гласник РС", бр. 18/16), по службеној дужности прибави потребне податке о чињеницама о којима се води службена евиденција, а који су неопходни за одлучивање</w:t>
            </w:r>
            <w:r w:rsidR="00DB517B" w:rsidRPr="00E81626">
              <w:rPr>
                <w:rFonts w:ascii="Times New Roman" w:eastAsia="Times New Roman" w:hAnsi="Times New Roman"/>
                <w:bCs/>
                <w:sz w:val="22"/>
                <w:szCs w:val="22"/>
                <w:lang w:val="sr-Cyrl-RS"/>
              </w:rPr>
              <w:t>:</w:t>
            </w:r>
          </w:p>
          <w:p w14:paraId="30ECDD06" w14:textId="74C6867D" w:rsidR="008C4631" w:rsidRPr="00E81626" w:rsidRDefault="008C4631" w:rsidP="00CF114C">
            <w:pPr>
              <w:pStyle w:val="ListParagraph"/>
              <w:numPr>
                <w:ilvl w:val="0"/>
                <w:numId w:val="7"/>
              </w:numPr>
              <w:rPr>
                <w:rFonts w:ascii="Times New Roman" w:hAnsi="Times New Roman"/>
                <w:b/>
                <w:sz w:val="22"/>
                <w:szCs w:val="22"/>
                <w:lang w:val="sr-Cyrl-RS"/>
              </w:rPr>
            </w:pPr>
            <w:r w:rsidRPr="00E81626">
              <w:rPr>
                <w:rFonts w:ascii="Times New Roman" w:hAnsi="Times New Roman"/>
                <w:b/>
                <w:sz w:val="22"/>
                <w:szCs w:val="22"/>
                <w:lang w:val="sr-Cyrl-RS"/>
              </w:rPr>
              <w:t>Документ 4</w:t>
            </w:r>
            <w:r w:rsidR="00DB517B" w:rsidRPr="00E81626">
              <w:rPr>
                <w:rFonts w:ascii="Times New Roman" w:hAnsi="Times New Roman"/>
                <w:b/>
                <w:sz w:val="22"/>
                <w:szCs w:val="22"/>
                <w:lang w:val="sr-Cyrl-RS"/>
              </w:rPr>
              <w:t xml:space="preserve"> - </w:t>
            </w:r>
            <w:r w:rsidRPr="00E81626">
              <w:rPr>
                <w:rFonts w:ascii="Times New Roman" w:hAnsi="Times New Roman"/>
                <w:b/>
                <w:sz w:val="22"/>
                <w:szCs w:val="22"/>
                <w:lang w:val="sr-Cyrl-RS"/>
              </w:rPr>
              <w:t>Извод из листа непокретности са забележбом о забрани градње</w:t>
            </w:r>
          </w:p>
          <w:p w14:paraId="09E7FE92" w14:textId="48B9F78E" w:rsidR="008C4631" w:rsidRPr="00E81626" w:rsidRDefault="008C4631" w:rsidP="00CF114C">
            <w:pPr>
              <w:pStyle w:val="ListParagraph"/>
              <w:numPr>
                <w:ilvl w:val="0"/>
                <w:numId w:val="7"/>
              </w:numPr>
              <w:rPr>
                <w:rFonts w:ascii="Times New Roman" w:hAnsi="Times New Roman"/>
                <w:b/>
                <w:sz w:val="22"/>
                <w:szCs w:val="22"/>
                <w:lang w:val="sr-Cyrl-RS"/>
              </w:rPr>
            </w:pPr>
            <w:r w:rsidRPr="00E81626">
              <w:rPr>
                <w:rFonts w:ascii="Times New Roman" w:hAnsi="Times New Roman"/>
                <w:b/>
                <w:sz w:val="22"/>
                <w:szCs w:val="22"/>
                <w:lang w:val="sr-Cyrl-RS"/>
              </w:rPr>
              <w:t>Документ 6</w:t>
            </w:r>
            <w:r w:rsidR="00DB517B" w:rsidRPr="00E81626">
              <w:rPr>
                <w:rFonts w:ascii="Times New Roman" w:hAnsi="Times New Roman"/>
                <w:b/>
                <w:sz w:val="22"/>
                <w:szCs w:val="22"/>
                <w:lang w:val="sr-Cyrl-RS"/>
              </w:rPr>
              <w:t xml:space="preserve"> - </w:t>
            </w:r>
            <w:r w:rsidRPr="00E81626">
              <w:rPr>
                <w:rFonts w:ascii="Times New Roman" w:hAnsi="Times New Roman"/>
                <w:b/>
                <w:sz w:val="22"/>
                <w:szCs w:val="22"/>
                <w:lang w:val="sr-Cyrl-RS"/>
              </w:rPr>
              <w:t>Потврда да је објекат у поступку озакоњења</w:t>
            </w:r>
          </w:p>
          <w:p w14:paraId="5284EED2" w14:textId="6787B180" w:rsidR="00BF1421" w:rsidRPr="00E81626" w:rsidRDefault="00DB517B" w:rsidP="008C4631">
            <w:pPr>
              <w:spacing w:before="120" w:after="120"/>
              <w:rPr>
                <w:rFonts w:ascii="Times New Roman" w:eastAsia="Times New Roman" w:hAnsi="Times New Roman"/>
                <w:bCs/>
                <w:sz w:val="22"/>
                <w:szCs w:val="22"/>
                <w:lang w:val="sr-Cyrl-RS"/>
              </w:rPr>
            </w:pPr>
            <w:r w:rsidRPr="00E81626">
              <w:rPr>
                <w:rFonts w:ascii="Times New Roman" w:eastAsia="Times New Roman" w:hAnsi="Times New Roman"/>
                <w:bCs/>
                <w:sz w:val="22"/>
                <w:szCs w:val="22"/>
                <w:lang w:val="sr-Cyrl-RS"/>
              </w:rPr>
              <w:t xml:space="preserve">Прибављање података по службеној дужности је потребно спровести путем информационог система еЗУП на порталу е-Управа, тако што ће се проверити </w:t>
            </w:r>
            <w:r w:rsidR="00BF1421" w:rsidRPr="00E81626">
              <w:rPr>
                <w:rFonts w:ascii="Times New Roman" w:eastAsia="Times New Roman" w:hAnsi="Times New Roman"/>
                <w:bCs/>
                <w:sz w:val="22"/>
                <w:szCs w:val="22"/>
                <w:lang w:val="sr-Cyrl-RS"/>
              </w:rPr>
              <w:t xml:space="preserve">да ли постоји забележба о забрани градње </w:t>
            </w:r>
            <w:r w:rsidRPr="00E81626">
              <w:rPr>
                <w:rFonts w:ascii="Times New Roman" w:eastAsia="Times New Roman" w:hAnsi="Times New Roman"/>
                <w:bCs/>
                <w:sz w:val="22"/>
                <w:szCs w:val="22"/>
                <w:lang w:val="sr-Cyrl-RS"/>
              </w:rPr>
              <w:t xml:space="preserve"> над пословним просто</w:t>
            </w:r>
            <w:r w:rsidR="00BF1421" w:rsidRPr="00E81626">
              <w:rPr>
                <w:rFonts w:ascii="Times New Roman" w:eastAsia="Times New Roman" w:hAnsi="Times New Roman"/>
                <w:bCs/>
                <w:sz w:val="22"/>
                <w:szCs w:val="22"/>
                <w:lang w:val="sr-Cyrl-RS"/>
              </w:rPr>
              <w:t xml:space="preserve">ром у коме се планира обављање </w:t>
            </w:r>
            <w:r w:rsidRPr="00E81626">
              <w:rPr>
                <w:rFonts w:ascii="Times New Roman" w:eastAsia="Times New Roman" w:hAnsi="Times New Roman"/>
                <w:bCs/>
                <w:sz w:val="22"/>
                <w:szCs w:val="22"/>
                <w:lang w:val="sr-Cyrl-RS"/>
              </w:rPr>
              <w:t xml:space="preserve"> делатност</w:t>
            </w:r>
            <w:r w:rsidR="00BF1421" w:rsidRPr="00E81626">
              <w:rPr>
                <w:rFonts w:ascii="Times New Roman" w:eastAsia="Times New Roman" w:hAnsi="Times New Roman"/>
                <w:bCs/>
                <w:sz w:val="22"/>
                <w:szCs w:val="22"/>
                <w:lang w:val="sr-Cyrl-RS"/>
              </w:rPr>
              <w:t>и</w:t>
            </w:r>
            <w:r w:rsidRPr="00E81626">
              <w:rPr>
                <w:rFonts w:ascii="Times New Roman" w:eastAsia="Times New Roman" w:hAnsi="Times New Roman"/>
                <w:bCs/>
                <w:sz w:val="22"/>
                <w:szCs w:val="22"/>
                <w:lang w:val="sr-Cyrl-RS"/>
              </w:rPr>
              <w:t>, увидом у Катастар непокретности</w:t>
            </w:r>
            <w:r w:rsidR="00BF1421" w:rsidRPr="00E81626">
              <w:rPr>
                <w:rFonts w:ascii="Times New Roman" w:eastAsia="Times New Roman" w:hAnsi="Times New Roman"/>
                <w:bCs/>
                <w:sz w:val="22"/>
                <w:szCs w:val="22"/>
                <w:lang w:val="sr-Cyrl-RS"/>
              </w:rPr>
              <w:t xml:space="preserve">, односно од надлежног органа ( ЈЛС, АП, Министарства надлежног за послове грађевине), да ли објекат у поступку озакоњења. </w:t>
            </w:r>
            <w:r w:rsidRPr="00E81626">
              <w:rPr>
                <w:rFonts w:ascii="Times New Roman" w:eastAsia="Times New Roman" w:hAnsi="Times New Roman"/>
                <w:bCs/>
                <w:sz w:val="22"/>
                <w:szCs w:val="22"/>
                <w:lang w:val="sr-Cyrl-RS"/>
              </w:rPr>
              <w:t xml:space="preserve"> Како би се ово омогућило, у обрасцу захтева је потребно затражити неопходне информације о лицима које су власници непокретности да би се могло утврдити чињенично стање (име и презиме, бр. катастарске парцеле, листа непокретности).</w:t>
            </w:r>
          </w:p>
          <w:p w14:paraId="3D12D98D" w14:textId="2CBD3AC6" w:rsidR="00EF571D" w:rsidRPr="00E81626" w:rsidRDefault="003E6C75" w:rsidP="008C4631">
            <w:pPr>
              <w:spacing w:before="120" w:after="120"/>
              <w:rPr>
                <w:rFonts w:ascii="Times New Roman" w:eastAsia="Times New Roman" w:hAnsi="Times New Roman"/>
                <w:b/>
                <w:bCs/>
                <w:sz w:val="22"/>
                <w:szCs w:val="22"/>
                <w:lang w:val="sr-Cyrl-RS"/>
              </w:rPr>
            </w:pPr>
            <w:r w:rsidRPr="00E81626">
              <w:rPr>
                <w:rFonts w:ascii="Times New Roman" w:eastAsia="Times New Roman" w:hAnsi="Times New Roman"/>
                <w:b/>
                <w:bCs/>
                <w:sz w:val="22"/>
                <w:szCs w:val="22"/>
                <w:lang w:val="sr-Cyrl-RS"/>
              </w:rPr>
              <w:t>За примену ове препоруке је потребно изменити Закон о запаљивим и горивим течностима и запаљивим гасовима.</w:t>
            </w:r>
          </w:p>
          <w:p w14:paraId="7284973E" w14:textId="36383BD3" w:rsidR="00EF571D" w:rsidRPr="00E81626" w:rsidRDefault="00EF571D" w:rsidP="00CF114C">
            <w:pPr>
              <w:pStyle w:val="NormalWeb"/>
              <w:numPr>
                <w:ilvl w:val="1"/>
                <w:numId w:val="1"/>
              </w:numPr>
              <w:spacing w:before="0" w:beforeAutospacing="0" w:after="0" w:afterAutospacing="0"/>
              <w:ind w:left="792" w:hanging="432"/>
              <w:rPr>
                <w:b/>
                <w:bCs/>
                <w:sz w:val="22"/>
                <w:szCs w:val="22"/>
                <w:lang w:val="sr-Cyrl-RS"/>
              </w:rPr>
            </w:pPr>
            <w:r w:rsidRPr="00E81626">
              <w:rPr>
                <w:b/>
                <w:sz w:val="22"/>
                <w:szCs w:val="22"/>
                <w:lang w:val="sr-Cyrl-RS"/>
              </w:rPr>
              <w:t>Промена</w:t>
            </w:r>
            <w:r w:rsidRPr="00E81626">
              <w:rPr>
                <w:b/>
                <w:bCs/>
                <w:sz w:val="22"/>
                <w:szCs w:val="22"/>
                <w:lang w:val="sr-Cyrl-RS"/>
              </w:rPr>
              <w:t xml:space="preserve"> форме документа</w:t>
            </w:r>
          </w:p>
          <w:p w14:paraId="63A022D2" w14:textId="77777777" w:rsidR="00EF571D" w:rsidRPr="00E81626" w:rsidRDefault="00EF571D" w:rsidP="00CF114C">
            <w:pPr>
              <w:pStyle w:val="odluka-zakon"/>
              <w:numPr>
                <w:ilvl w:val="0"/>
                <w:numId w:val="8"/>
              </w:numPr>
              <w:shd w:val="clear" w:color="auto" w:fill="FFFFFF"/>
              <w:rPr>
                <w:sz w:val="22"/>
                <w:szCs w:val="22"/>
                <w:lang w:val="sr-Cyrl-RS"/>
              </w:rPr>
            </w:pPr>
            <w:r w:rsidRPr="00E81626">
              <w:rPr>
                <w:sz w:val="22"/>
                <w:szCs w:val="22"/>
                <w:lang w:val="sr-Cyrl-RS"/>
              </w:rPr>
              <w:t>Доказ о уплати републичке административне таксе</w:t>
            </w:r>
          </w:p>
          <w:p w14:paraId="5D902F5F" w14:textId="77777777" w:rsidR="000F00E4" w:rsidRPr="00E81626" w:rsidRDefault="000F00E4" w:rsidP="000F00E4">
            <w:pPr>
              <w:spacing w:after="120"/>
              <w:rPr>
                <w:rFonts w:ascii="Times New Roman" w:hAnsi="Times New Roman"/>
                <w:sz w:val="22"/>
                <w:szCs w:val="22"/>
                <w:lang w:val="sr-Cyrl-RS"/>
              </w:rPr>
            </w:pPr>
            <w:r w:rsidRPr="00E81626">
              <w:rPr>
                <w:rFonts w:ascii="Times New Roman" w:hAnsi="Times New Roman"/>
                <w:sz w:val="22"/>
                <w:szCs w:val="22"/>
                <w:lang w:val="sr-Cyrl-RS"/>
              </w:rPr>
              <w:t>Надлежни органи често</w:t>
            </w:r>
            <w:r w:rsidRPr="00E81626">
              <w:rPr>
                <w:rFonts w:ascii="Times New Roman" w:hAnsi="Times New Roman"/>
                <w:sz w:val="22"/>
                <w:szCs w:val="22"/>
                <w:lang w:val="en-GB"/>
              </w:rPr>
              <w:t xml:space="preserve"> </w:t>
            </w:r>
            <w:r w:rsidRPr="00E81626">
              <w:rPr>
                <w:rFonts w:ascii="Times New Roman" w:hAnsi="Times New Roman"/>
                <w:sz w:val="22"/>
                <w:szCs w:val="22"/>
                <w:lang w:val="sr-Cyrl-RS"/>
              </w:rPr>
              <w:t xml:space="preserve">траже од подносиоца захтева да уз захтев прилажу оригинал уплатнице или потврду банке, као доказ да је плаћен финансијски издатак за спровођење поступка, што ствара непотребне трошкове за подносиоца захтева. </w:t>
            </w:r>
          </w:p>
          <w:p w14:paraId="7F76430C" w14:textId="77777777" w:rsidR="000F00E4" w:rsidRPr="00E81626" w:rsidRDefault="000F00E4" w:rsidP="000F00E4">
            <w:pPr>
              <w:spacing w:after="120"/>
              <w:rPr>
                <w:rFonts w:ascii="Times New Roman" w:hAnsi="Times New Roman"/>
                <w:sz w:val="22"/>
                <w:szCs w:val="22"/>
                <w:lang w:val="sr-Cyrl-RS"/>
              </w:rPr>
            </w:pPr>
            <w:r w:rsidRPr="00E81626">
              <w:rPr>
                <w:rFonts w:ascii="Times New Roman" w:hAnsi="Times New Roman"/>
                <w:sz w:val="22"/>
                <w:szCs w:val="22"/>
                <w:lang w:val="sr-Cyrl-RS"/>
              </w:rPr>
              <w:t xml:space="preserve">С тим у вези, предлаже се промена форме из оригинала у копију </w:t>
            </w:r>
            <w:r w:rsidRPr="00E81626">
              <w:rPr>
                <w:rFonts w:ascii="Times New Roman" w:hAnsi="Times New Roman"/>
                <w:bCs/>
                <w:sz w:val="22"/>
                <w:szCs w:val="22"/>
                <w:lang w:val="sr-Cyrl-RS"/>
              </w:rPr>
              <w:t xml:space="preserve">за доказ о плаћању финансијског  издатка односно </w:t>
            </w:r>
            <w:r w:rsidRPr="00E81626">
              <w:rPr>
                <w:rFonts w:ascii="Times New Roman" w:hAnsi="Times New Roman"/>
                <w:sz w:val="22"/>
                <w:szCs w:val="22"/>
                <w:lang w:val="sr-Cyrl-RS"/>
              </w:rPr>
              <w:t>извод са пословног рачуна странке, без печата банке, у складу са мишљењем Министарства финансија бр. 434-01-7/07-04 од 25.05.2009. године, у коме се наводи да је извод са пословног рачуна странке, без печата банке, валидан доказ о уплати таксе.</w:t>
            </w:r>
          </w:p>
          <w:p w14:paraId="535D1BBB" w14:textId="0AE28EA3" w:rsidR="004B364D" w:rsidRPr="00E81626" w:rsidRDefault="004B364D" w:rsidP="004B364D">
            <w:pPr>
              <w:shd w:val="clear" w:color="auto" w:fill="FFFFFF"/>
              <w:rPr>
                <w:rFonts w:ascii="Times New Roman" w:eastAsia="Times New Roman" w:hAnsi="Times New Roman"/>
                <w:b/>
                <w:bCs/>
                <w:sz w:val="22"/>
                <w:szCs w:val="22"/>
                <w:lang w:val="sr-Cyrl-RS"/>
              </w:rPr>
            </w:pPr>
          </w:p>
          <w:p w14:paraId="35FDC6C0" w14:textId="1B338354" w:rsidR="004B364D" w:rsidRPr="00E81626" w:rsidRDefault="004B364D" w:rsidP="0052067D">
            <w:pPr>
              <w:shd w:val="clear" w:color="auto" w:fill="FFFFFF"/>
              <w:rPr>
                <w:rFonts w:ascii="Times New Roman" w:eastAsia="Times New Roman" w:hAnsi="Times New Roman"/>
                <w:b/>
                <w:bCs/>
                <w:sz w:val="22"/>
                <w:szCs w:val="22"/>
                <w:lang w:val="sr-Cyrl-RS"/>
              </w:rPr>
            </w:pPr>
            <w:r w:rsidRPr="00E81626">
              <w:rPr>
                <w:rFonts w:ascii="Times New Roman" w:eastAsia="Times New Roman" w:hAnsi="Times New Roman"/>
                <w:b/>
                <w:bCs/>
                <w:sz w:val="22"/>
                <w:szCs w:val="22"/>
                <w:lang w:val="sr-Cyrl-RS"/>
              </w:rPr>
              <w:t xml:space="preserve">За примену ове препоруке, није потребна измена прописа. </w:t>
            </w:r>
          </w:p>
          <w:p w14:paraId="4CDF7B45" w14:textId="77777777" w:rsidR="0052067D" w:rsidRPr="00E81626" w:rsidRDefault="0052067D" w:rsidP="0052067D">
            <w:pPr>
              <w:shd w:val="clear" w:color="auto" w:fill="FFFFFF"/>
              <w:rPr>
                <w:b/>
                <w:bCs/>
                <w:sz w:val="22"/>
                <w:szCs w:val="22"/>
                <w:lang w:val="sr-Latn-RS"/>
              </w:rPr>
            </w:pPr>
          </w:p>
          <w:p w14:paraId="0B16FEA9" w14:textId="4D331339" w:rsidR="00457595" w:rsidRPr="00E81626" w:rsidRDefault="0058169D" w:rsidP="00CF114C">
            <w:pPr>
              <w:pStyle w:val="NormalWeb"/>
              <w:numPr>
                <w:ilvl w:val="1"/>
                <w:numId w:val="1"/>
              </w:numPr>
              <w:spacing w:before="0" w:beforeAutospacing="0" w:after="0" w:afterAutospacing="0"/>
              <w:ind w:left="792" w:hanging="432"/>
              <w:rPr>
                <w:b/>
                <w:sz w:val="22"/>
                <w:szCs w:val="22"/>
                <w:lang w:val="sr-Cyrl-RS"/>
              </w:rPr>
            </w:pPr>
            <w:r w:rsidRPr="00E81626">
              <w:rPr>
                <w:b/>
                <w:sz w:val="22"/>
                <w:szCs w:val="22"/>
                <w:lang w:val="sr-Cyrl-RS"/>
              </w:rPr>
              <w:t>Увођење обрасца</w:t>
            </w:r>
            <w:r w:rsidR="009535B1" w:rsidRPr="00E81626">
              <w:rPr>
                <w:b/>
                <w:sz w:val="22"/>
                <w:szCs w:val="22"/>
                <w:lang w:val="sr-Cyrl-RS"/>
              </w:rPr>
              <w:t xml:space="preserve"> за подношење захтева</w:t>
            </w:r>
          </w:p>
          <w:p w14:paraId="436CD743" w14:textId="77777777" w:rsidR="001B46B0" w:rsidRPr="00E81626" w:rsidRDefault="001B46B0" w:rsidP="00E129A3">
            <w:pPr>
              <w:rPr>
                <w:rFonts w:ascii="Times New Roman" w:eastAsia="Times New Roman" w:hAnsi="Times New Roman"/>
                <w:sz w:val="22"/>
                <w:szCs w:val="22"/>
                <w:lang w:val="sr-Cyrl-RS"/>
              </w:rPr>
            </w:pPr>
          </w:p>
          <w:p w14:paraId="68EC2B8B" w14:textId="77777777" w:rsidR="0058169D" w:rsidRPr="00E81626" w:rsidRDefault="0058169D" w:rsidP="00E129A3">
            <w:pPr>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0B3CF222" w14:textId="77777777" w:rsidR="00E81626" w:rsidRPr="00E81626" w:rsidRDefault="00E81626" w:rsidP="00CF114C">
            <w:pPr>
              <w:pStyle w:val="ListParagraph"/>
              <w:numPr>
                <w:ilvl w:val="0"/>
                <w:numId w:val="11"/>
              </w:numPr>
              <w:spacing w:before="100" w:beforeAutospacing="1" w:after="100" w:afterAutospacing="1"/>
              <w:ind w:left="390" w:hanging="214"/>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који укључују: </w:t>
            </w:r>
          </w:p>
          <w:p w14:paraId="3C21C20B" w14:textId="77777777" w:rsidR="00E81626" w:rsidRPr="00E81626" w:rsidRDefault="00E81626" w:rsidP="00CF114C">
            <w:pPr>
              <w:pStyle w:val="ListParagraph"/>
              <w:numPr>
                <w:ilvl w:val="1"/>
                <w:numId w:val="11"/>
              </w:numPr>
              <w:spacing w:before="100" w:beforeAutospacing="1" w:after="100" w:afterAutospacing="1"/>
              <w:ind w:left="99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761DE29B" w14:textId="77777777" w:rsidR="00E81626" w:rsidRPr="00E81626" w:rsidRDefault="00E81626" w:rsidP="00CF114C">
            <w:pPr>
              <w:pStyle w:val="ListParagraph"/>
              <w:numPr>
                <w:ilvl w:val="1"/>
                <w:numId w:val="11"/>
              </w:numPr>
              <w:spacing w:before="100" w:beforeAutospacing="1" w:after="100" w:afterAutospacing="1"/>
              <w:ind w:left="99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lastRenderedPageBreak/>
              <w:t>Шифра административног поступка или назив обрасца може да стоји у горњем десном углу обрасца;</w:t>
            </w:r>
          </w:p>
          <w:p w14:paraId="738B4081" w14:textId="77777777" w:rsidR="00E81626" w:rsidRPr="00E81626" w:rsidRDefault="00E81626" w:rsidP="00CF114C">
            <w:pPr>
              <w:pStyle w:val="ListParagraph"/>
              <w:numPr>
                <w:ilvl w:val="1"/>
                <w:numId w:val="11"/>
              </w:numPr>
              <w:spacing w:before="100" w:beforeAutospacing="1" w:after="100" w:afterAutospacing="1"/>
              <w:ind w:left="99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403679CB" w14:textId="77777777" w:rsidR="00E81626" w:rsidRPr="00E81626" w:rsidRDefault="00E81626" w:rsidP="00CF114C">
            <w:pPr>
              <w:pStyle w:val="ListParagraph"/>
              <w:numPr>
                <w:ilvl w:val="1"/>
                <w:numId w:val="11"/>
              </w:numPr>
              <w:spacing w:before="100" w:beforeAutospacing="1" w:after="100" w:afterAutospacing="1"/>
              <w:ind w:left="885"/>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Места за унос информација о подносиоцу захтева (Име и презиме, Адреса, Контакт телефон, Матични број, Адреса електронске поште)</w:t>
            </w:r>
          </w:p>
          <w:p w14:paraId="04EB2E00" w14:textId="77777777" w:rsidR="00E81626" w:rsidRPr="00E81626" w:rsidRDefault="00E81626" w:rsidP="00CF114C">
            <w:pPr>
              <w:pStyle w:val="ListParagraph"/>
              <w:numPr>
                <w:ilvl w:val="1"/>
                <w:numId w:val="11"/>
              </w:numPr>
              <w:spacing w:before="100" w:beforeAutospacing="1" w:after="100" w:afterAutospacing="1"/>
              <w:ind w:left="885"/>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w:t>
            </w:r>
          </w:p>
          <w:p w14:paraId="4D5073E4" w14:textId="77777777" w:rsidR="00E81626" w:rsidRPr="00E81626" w:rsidRDefault="00E81626" w:rsidP="00CF114C">
            <w:pPr>
              <w:pStyle w:val="ListParagraph"/>
              <w:numPr>
                <w:ilvl w:val="1"/>
                <w:numId w:val="11"/>
              </w:numPr>
              <w:spacing w:before="100" w:beforeAutospacing="1" w:after="100" w:afterAutospacing="1"/>
              <w:ind w:left="885"/>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 xml:space="preserve">Информације о потребној документацији: </w:t>
            </w:r>
          </w:p>
          <w:p w14:paraId="227ACD05" w14:textId="77777777" w:rsidR="00E81626" w:rsidRPr="00E81626" w:rsidRDefault="00E81626" w:rsidP="00CF114C">
            <w:pPr>
              <w:pStyle w:val="ListParagraph"/>
              <w:numPr>
                <w:ilvl w:val="0"/>
                <w:numId w:val="12"/>
              </w:numPr>
              <w:tabs>
                <w:tab w:val="left" w:pos="300"/>
              </w:tabs>
              <w:spacing w:before="100" w:beforeAutospacing="1" w:after="100" w:afterAutospacing="1"/>
              <w:ind w:left="1310"/>
              <w:rPr>
                <w:rFonts w:ascii="Times New Roman" w:hAnsi="Times New Roman"/>
                <w:sz w:val="22"/>
                <w:szCs w:val="22"/>
                <w:lang w:val="sr-Cyrl-RS"/>
              </w:rPr>
            </w:pPr>
            <w:r w:rsidRPr="00E81626">
              <w:rPr>
                <w:rFonts w:ascii="Times New Roman" w:hAnsi="Times New Roman"/>
                <w:sz w:val="22"/>
                <w:szCs w:val="22"/>
                <w:lang w:val="sr-Cyrl-RS"/>
              </w:rPr>
              <w:t xml:space="preserve">Таксативно набројана сва потребна документа  </w:t>
            </w:r>
          </w:p>
          <w:p w14:paraId="5C17EE77" w14:textId="77777777" w:rsidR="00E81626" w:rsidRPr="00E81626" w:rsidRDefault="00E81626" w:rsidP="00CF114C">
            <w:pPr>
              <w:pStyle w:val="ListParagraph"/>
              <w:numPr>
                <w:ilvl w:val="0"/>
                <w:numId w:val="12"/>
              </w:numPr>
              <w:tabs>
                <w:tab w:val="left" w:pos="300"/>
              </w:tabs>
              <w:spacing w:before="100" w:beforeAutospacing="1" w:after="100" w:afterAutospacing="1"/>
              <w:ind w:left="1310"/>
              <w:rPr>
                <w:rFonts w:ascii="Times New Roman" w:hAnsi="Times New Roman"/>
                <w:sz w:val="22"/>
                <w:szCs w:val="22"/>
                <w:lang w:val="sr-Cyrl-RS"/>
              </w:rPr>
            </w:pPr>
            <w:r w:rsidRPr="00E81626">
              <w:rPr>
                <w:rFonts w:ascii="Times New Roman" w:hAnsi="Times New Roman"/>
                <w:sz w:val="22"/>
                <w:szCs w:val="22"/>
                <w:lang w:val="sr-Cyrl-RS"/>
              </w:rPr>
              <w:t>Форма докумената (оригинал, копија, оверена копија, копија уз оригинал на увид), уколико се документација подноси у папиру</w:t>
            </w:r>
          </w:p>
          <w:p w14:paraId="1D24272C" w14:textId="77777777" w:rsidR="00E81626" w:rsidRPr="00E81626" w:rsidRDefault="00E81626" w:rsidP="00CF114C">
            <w:pPr>
              <w:pStyle w:val="ListParagraph"/>
              <w:numPr>
                <w:ilvl w:val="0"/>
                <w:numId w:val="12"/>
              </w:numPr>
              <w:tabs>
                <w:tab w:val="left" w:pos="300"/>
              </w:tabs>
              <w:spacing w:before="100" w:beforeAutospacing="1" w:after="100" w:afterAutospacing="1"/>
              <w:ind w:left="1310"/>
              <w:rPr>
                <w:rFonts w:ascii="Times New Roman" w:hAnsi="Times New Roman"/>
                <w:sz w:val="22"/>
                <w:szCs w:val="22"/>
                <w:lang w:val="sr-Cyrl-RS"/>
              </w:rPr>
            </w:pPr>
            <w:r w:rsidRPr="00E81626">
              <w:rPr>
                <w:rFonts w:ascii="Times New Roman" w:hAnsi="Times New Roman"/>
                <w:sz w:val="22"/>
                <w:szCs w:val="22"/>
                <w:lang w:val="sr-Cyrl-RS"/>
              </w:rPr>
              <w:t>Издавалац документа</w:t>
            </w:r>
          </w:p>
          <w:p w14:paraId="0EFF7198" w14:textId="77777777" w:rsidR="00E81626" w:rsidRPr="00E81626" w:rsidRDefault="00E81626" w:rsidP="00CF114C">
            <w:pPr>
              <w:pStyle w:val="ListParagraph"/>
              <w:numPr>
                <w:ilvl w:val="0"/>
                <w:numId w:val="12"/>
              </w:numPr>
              <w:tabs>
                <w:tab w:val="left" w:pos="300"/>
              </w:tabs>
              <w:spacing w:after="200"/>
              <w:ind w:left="1310"/>
              <w:rPr>
                <w:rFonts w:ascii="Times New Roman" w:hAnsi="Times New Roman"/>
                <w:sz w:val="22"/>
                <w:szCs w:val="22"/>
                <w:lang w:val="sr-Cyrl-RS"/>
              </w:rPr>
            </w:pPr>
            <w:r w:rsidRPr="00E81626">
              <w:rPr>
                <w:rFonts w:ascii="Times New Roman" w:hAnsi="Times New Roman"/>
                <w:sz w:val="22"/>
                <w:szCs w:val="22"/>
                <w:lang w:val="sr-Cyrl-RS"/>
              </w:rPr>
              <w:t>Специфичности у вези документа, ако их има (нпр. број потребних примерака, уколико се документација подноси у папиру и у више од једног примерка или нпр. документ подносе само привредна друштва и сл.).</w:t>
            </w:r>
          </w:p>
          <w:p w14:paraId="78B586F1" w14:textId="77777777" w:rsidR="00E81626" w:rsidRPr="00E81626" w:rsidRDefault="00E81626" w:rsidP="00CF114C">
            <w:pPr>
              <w:pStyle w:val="ListParagraph"/>
              <w:numPr>
                <w:ilvl w:val="1"/>
                <w:numId w:val="11"/>
              </w:numPr>
              <w:spacing w:before="100" w:beforeAutospacing="1" w:after="100" w:afterAutospacing="1"/>
              <w:ind w:left="99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6706CAA1" w14:textId="77777777" w:rsidR="00E81626" w:rsidRPr="00E81626" w:rsidRDefault="00E81626" w:rsidP="00E81626">
            <w:pPr>
              <w:pStyle w:val="ListParagraph"/>
              <w:spacing w:before="100" w:beforeAutospacing="1" w:after="100" w:afterAutospacing="1"/>
              <w:ind w:left="99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1.ДА</w:t>
            </w:r>
          </w:p>
          <w:p w14:paraId="0A985EBB" w14:textId="77777777" w:rsidR="00E81626" w:rsidRPr="00E81626" w:rsidRDefault="00E81626" w:rsidP="00E81626">
            <w:pPr>
              <w:pStyle w:val="ListParagraph"/>
              <w:spacing w:before="100" w:beforeAutospacing="1" w:after="100" w:afterAutospacing="1"/>
              <w:ind w:left="99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2. НЕ</w:t>
            </w:r>
          </w:p>
          <w:p w14:paraId="1276D00D" w14:textId="77777777" w:rsidR="00E81626" w:rsidRPr="00E81626" w:rsidRDefault="00E81626" w:rsidP="00E81626">
            <w:pPr>
              <w:pStyle w:val="ListParagraph"/>
              <w:spacing w:before="100" w:beforeAutospacing="1" w:after="100" w:afterAutospacing="1"/>
              <w:ind w:left="99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73184B53" w14:textId="77777777" w:rsidR="00E81626" w:rsidRPr="00E81626" w:rsidRDefault="00E81626" w:rsidP="00E81626">
            <w:pPr>
              <w:pStyle w:val="ListParagraph"/>
              <w:spacing w:before="100" w:beforeAutospacing="1" w:after="100" w:afterAutospacing="1"/>
              <w:ind w:left="99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060EAFBC" w14:textId="77777777" w:rsidR="00E81626" w:rsidRPr="00E81626" w:rsidRDefault="00E81626" w:rsidP="00CF114C">
            <w:pPr>
              <w:pStyle w:val="ListParagraph"/>
              <w:numPr>
                <w:ilvl w:val="1"/>
                <w:numId w:val="11"/>
              </w:numPr>
              <w:spacing w:before="100" w:beforeAutospacing="1" w:after="100" w:afterAutospacing="1"/>
              <w:ind w:left="885"/>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 xml:space="preserve">Место за унос података о месту и датуму подношења захтева </w:t>
            </w:r>
          </w:p>
          <w:p w14:paraId="7C786715" w14:textId="77777777" w:rsidR="00E81626" w:rsidRPr="00E81626" w:rsidRDefault="00E81626" w:rsidP="00CF114C">
            <w:pPr>
              <w:pStyle w:val="ListParagraph"/>
              <w:numPr>
                <w:ilvl w:val="1"/>
                <w:numId w:val="11"/>
              </w:numPr>
              <w:spacing w:before="100" w:beforeAutospacing="1" w:after="100" w:afterAutospacing="1"/>
              <w:ind w:left="885"/>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Место за потпис подносиоца захтева</w:t>
            </w:r>
          </w:p>
          <w:p w14:paraId="32177BC7" w14:textId="77777777" w:rsidR="00E81626" w:rsidRPr="00E81626" w:rsidRDefault="00E81626" w:rsidP="00E81626">
            <w:pPr>
              <w:spacing w:before="100" w:beforeAutospacing="1" w:after="100" w:afterAutospacing="1"/>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Уз образац захтева стоји и писмена информација о:</w:t>
            </w:r>
          </w:p>
          <w:p w14:paraId="49F4518A" w14:textId="77777777" w:rsidR="00E81626" w:rsidRPr="00E81626" w:rsidRDefault="00E81626" w:rsidP="00CF114C">
            <w:pPr>
              <w:pStyle w:val="ListParagraph"/>
              <w:numPr>
                <w:ilvl w:val="1"/>
                <w:numId w:val="11"/>
              </w:numPr>
              <w:spacing w:before="100" w:beforeAutospacing="1" w:after="100" w:afterAutospacing="1"/>
              <w:ind w:left="885"/>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Прописаном року за решавање предмета</w:t>
            </w:r>
          </w:p>
          <w:p w14:paraId="3CE90994" w14:textId="77777777" w:rsidR="00E81626" w:rsidRPr="00E81626" w:rsidRDefault="00E81626" w:rsidP="00CF114C">
            <w:pPr>
              <w:pStyle w:val="ListParagraph"/>
              <w:numPr>
                <w:ilvl w:val="1"/>
                <w:numId w:val="11"/>
              </w:numPr>
              <w:spacing w:before="100" w:beforeAutospacing="1" w:after="100" w:afterAutospacing="1"/>
              <w:ind w:left="885"/>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Финансијским издацима:</w:t>
            </w:r>
          </w:p>
          <w:p w14:paraId="53214290" w14:textId="77777777" w:rsidR="00E81626" w:rsidRPr="00E81626" w:rsidRDefault="00E81626" w:rsidP="00CF114C">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Износ издатка</w:t>
            </w:r>
          </w:p>
          <w:p w14:paraId="3E03794F" w14:textId="77777777" w:rsidR="00E81626" w:rsidRPr="00E81626" w:rsidRDefault="00E81626" w:rsidP="00CF114C">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Сврха уплате</w:t>
            </w:r>
          </w:p>
          <w:p w14:paraId="2651B43A" w14:textId="77777777" w:rsidR="00E81626" w:rsidRPr="00E81626" w:rsidRDefault="00E81626" w:rsidP="00CF114C">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Назив и адреса примаоца</w:t>
            </w:r>
          </w:p>
          <w:p w14:paraId="277BD775" w14:textId="77777777" w:rsidR="00E81626" w:rsidRPr="00E81626" w:rsidRDefault="00E81626" w:rsidP="00CF114C">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Број рачуна</w:t>
            </w:r>
          </w:p>
          <w:p w14:paraId="55057ACB" w14:textId="77777777" w:rsidR="00E81626" w:rsidRPr="00E81626" w:rsidRDefault="00E81626" w:rsidP="00CF114C">
            <w:pPr>
              <w:pStyle w:val="ListParagraph"/>
              <w:numPr>
                <w:ilvl w:val="0"/>
                <w:numId w:val="12"/>
              </w:numPr>
              <w:spacing w:before="100" w:beforeAutospacing="1" w:after="100" w:afterAutospacing="1"/>
              <w:ind w:left="1350"/>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Модел и позив на број</w:t>
            </w:r>
          </w:p>
          <w:p w14:paraId="4AE2DD27" w14:textId="03991FC3" w:rsidR="00CD095E" w:rsidRPr="00E81626" w:rsidRDefault="00E81626" w:rsidP="00E129A3">
            <w:pPr>
              <w:pStyle w:val="ListParagraph"/>
              <w:spacing w:before="100" w:beforeAutospacing="1" w:after="100" w:afterAutospacing="1"/>
              <w:ind w:left="885"/>
              <w:rPr>
                <w:rFonts w:ascii="Times New Roman" w:eastAsia="Times New Roman" w:hAnsi="Times New Roman"/>
                <w:sz w:val="22"/>
                <w:szCs w:val="22"/>
                <w:lang w:val="sr-Cyrl-RS"/>
              </w:rPr>
            </w:pPr>
            <w:r w:rsidRPr="00E81626" w:rsidDel="00E81626">
              <w:rPr>
                <w:rFonts w:ascii="Times New Roman" w:eastAsia="Times New Roman" w:hAnsi="Times New Roman"/>
                <w:sz w:val="22"/>
                <w:szCs w:val="22"/>
                <w:lang w:val="sr-Cyrl-RS"/>
              </w:rPr>
              <w:t xml:space="preserve"> </w:t>
            </w:r>
          </w:p>
          <w:p w14:paraId="5DCFA9D8" w14:textId="263EECCC" w:rsidR="00CD095E" w:rsidRPr="00E81626" w:rsidRDefault="00CD095E" w:rsidP="00CF114C">
            <w:pPr>
              <w:pStyle w:val="ListParagraph"/>
              <w:numPr>
                <w:ilvl w:val="0"/>
                <w:numId w:val="2"/>
              </w:numPr>
              <w:spacing w:before="100" w:beforeAutospacing="1" w:after="100" w:afterAutospacing="1"/>
              <w:ind w:left="390" w:hanging="214"/>
              <w:rPr>
                <w:rFonts w:ascii="Times New Roman" w:eastAsia="Times New Roman" w:hAnsi="Times New Roman"/>
                <w:sz w:val="22"/>
                <w:szCs w:val="22"/>
                <w:lang w:val="sr-Cyrl-RS"/>
              </w:rPr>
            </w:pPr>
            <w:r w:rsidRPr="00E81626">
              <w:rPr>
                <w:rFonts w:ascii="Times New Roman" w:eastAsia="Times New Roman" w:hAnsi="Times New Roman"/>
                <w:sz w:val="22"/>
                <w:szCs w:val="22"/>
                <w:lang w:val="sr-Cyrl-RS"/>
              </w:rPr>
              <w:t>Омогућавање електронског попуњавања обрасца захтева.</w:t>
            </w:r>
          </w:p>
          <w:p w14:paraId="7CA886C2" w14:textId="77777777" w:rsidR="007102E8" w:rsidRPr="00E81626" w:rsidRDefault="007102E8" w:rsidP="007102E8">
            <w:pPr>
              <w:pStyle w:val="ListParagraph"/>
              <w:spacing w:before="120" w:after="120"/>
              <w:ind w:left="-23"/>
              <w:rPr>
                <w:rFonts w:ascii="Times New Roman" w:hAnsi="Times New Roman"/>
                <w:b/>
                <w:sz w:val="22"/>
                <w:szCs w:val="22"/>
                <w:lang w:val="sr-Cyrl-RS"/>
              </w:rPr>
            </w:pPr>
          </w:p>
          <w:p w14:paraId="1EB91672" w14:textId="2D82594C" w:rsidR="007102E8" w:rsidRPr="00E81626" w:rsidRDefault="007102E8" w:rsidP="007102E8">
            <w:pPr>
              <w:pStyle w:val="ListParagraph"/>
              <w:spacing w:before="120" w:after="120"/>
              <w:ind w:left="-23"/>
              <w:rPr>
                <w:rFonts w:ascii="Times New Roman" w:hAnsi="Times New Roman"/>
                <w:sz w:val="22"/>
                <w:szCs w:val="22"/>
                <w:lang w:val="sr-Cyrl-RS"/>
              </w:rPr>
            </w:pPr>
            <w:r w:rsidRPr="00E81626">
              <w:rPr>
                <w:rFonts w:ascii="Times New Roman" w:hAnsi="Times New Roman"/>
                <w:b/>
                <w:sz w:val="22"/>
                <w:szCs w:val="22"/>
                <w:lang w:val="sr-Cyrl-RS"/>
              </w:rPr>
              <w:t>Напомена</w:t>
            </w:r>
            <w:r w:rsidRPr="00E81626">
              <w:rPr>
                <w:rFonts w:ascii="Times New Roman" w:hAnsi="Times New Roman"/>
                <w:sz w:val="22"/>
                <w:szCs w:val="22"/>
                <w:lang w:val="sr-Cyrl-RS"/>
              </w:rPr>
              <w:t xml:space="preserve">: 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  </w:t>
            </w:r>
          </w:p>
          <w:p w14:paraId="2766FDC3" w14:textId="77777777" w:rsidR="007102E8" w:rsidRPr="00E81626" w:rsidRDefault="00194AE9" w:rsidP="00263C95">
            <w:pPr>
              <w:pStyle w:val="odluka-zakon"/>
              <w:shd w:val="clear" w:color="auto" w:fill="FFFFFF"/>
              <w:jc w:val="both"/>
              <w:rPr>
                <w:b/>
                <w:bCs/>
                <w:sz w:val="22"/>
                <w:szCs w:val="22"/>
                <w:lang w:val="sr-Cyrl-RS"/>
              </w:rPr>
            </w:pPr>
            <w:r w:rsidRPr="00E81626">
              <w:rPr>
                <w:b/>
                <w:sz w:val="22"/>
                <w:szCs w:val="22"/>
                <w:lang w:val="sr-Cyrl-RS"/>
              </w:rPr>
              <w:t>За примену ове препоруке, није потребна измена прописа.</w:t>
            </w:r>
            <w:r w:rsidR="00E129A3" w:rsidRPr="00E81626">
              <w:rPr>
                <w:b/>
                <w:bCs/>
                <w:sz w:val="22"/>
                <w:szCs w:val="22"/>
                <w:lang w:val="sr-Cyrl-RS"/>
              </w:rPr>
              <w:t xml:space="preserve"> </w:t>
            </w:r>
          </w:p>
          <w:p w14:paraId="3EAB4AF8" w14:textId="35A21E09" w:rsidR="00253E80" w:rsidRPr="00E81626" w:rsidRDefault="00253E80" w:rsidP="00263C95">
            <w:pPr>
              <w:pStyle w:val="odluka-zakon"/>
              <w:shd w:val="clear" w:color="auto" w:fill="FFFFFF"/>
              <w:jc w:val="both"/>
              <w:rPr>
                <w:b/>
                <w:bCs/>
                <w:sz w:val="22"/>
                <w:szCs w:val="22"/>
                <w:lang w:val="sr-Cyrl-RS"/>
              </w:rPr>
            </w:pPr>
          </w:p>
        </w:tc>
      </w:tr>
      <w:tr w:rsidR="00AF726E" w:rsidRPr="00AF726E" w14:paraId="52C990E5" w14:textId="77777777" w:rsidTr="00C70F1B">
        <w:trPr>
          <w:trHeight w:val="454"/>
        </w:trPr>
        <w:tc>
          <w:tcPr>
            <w:tcW w:w="9060" w:type="dxa"/>
            <w:gridSpan w:val="2"/>
            <w:shd w:val="clear" w:color="auto" w:fill="DBE5F1" w:themeFill="accent1" w:themeFillTint="33"/>
            <w:vAlign w:val="center"/>
          </w:tcPr>
          <w:p w14:paraId="493D6146" w14:textId="7E30E1D1" w:rsidR="00194AE9" w:rsidRPr="00AF726E" w:rsidRDefault="00194AE9" w:rsidP="00CF114C">
            <w:pPr>
              <w:pStyle w:val="NormalWeb"/>
              <w:numPr>
                <w:ilvl w:val="0"/>
                <w:numId w:val="4"/>
              </w:numPr>
              <w:spacing w:before="120" w:beforeAutospacing="0" w:after="120" w:afterAutospacing="0"/>
              <w:jc w:val="center"/>
              <w:rPr>
                <w:b/>
                <w:lang w:val="sr-Cyrl-RS"/>
              </w:rPr>
            </w:pPr>
            <w:r w:rsidRPr="00AF726E">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AF726E" w:rsidRPr="00AF726E" w14:paraId="077D3505" w14:textId="77777777" w:rsidTr="00DB19B9">
        <w:trPr>
          <w:trHeight w:val="454"/>
        </w:trPr>
        <w:tc>
          <w:tcPr>
            <w:tcW w:w="9060" w:type="dxa"/>
            <w:gridSpan w:val="2"/>
            <w:shd w:val="clear" w:color="auto" w:fill="auto"/>
          </w:tcPr>
          <w:p w14:paraId="637F25AD" w14:textId="2E8B3F46" w:rsidR="0052067D" w:rsidRPr="0052067D" w:rsidRDefault="0052067D" w:rsidP="0052067D">
            <w:pPr>
              <w:jc w:val="right"/>
              <w:rPr>
                <w:rFonts w:ascii="Times New Roman" w:eastAsia="Times New Roman" w:hAnsi="Times New Roman"/>
                <w:b/>
                <w:sz w:val="24"/>
                <w:szCs w:val="24"/>
                <w:lang w:val="sr-Cyrl-RS"/>
              </w:rPr>
            </w:pPr>
            <w:r>
              <w:rPr>
                <w:rFonts w:ascii="Times New Roman" w:eastAsia="Times New Roman" w:hAnsi="Times New Roman"/>
                <w:b/>
                <w:sz w:val="24"/>
                <w:szCs w:val="24"/>
                <w:lang w:val="sr-Cyrl-RS"/>
              </w:rPr>
              <w:lastRenderedPageBreak/>
              <w:t xml:space="preserve">НАЦРТ </w:t>
            </w:r>
          </w:p>
          <w:p w14:paraId="1322FD40" w14:textId="77777777" w:rsidR="00700E29" w:rsidRPr="00AF726E" w:rsidRDefault="00700E29" w:rsidP="00700E29">
            <w:pPr>
              <w:jc w:val="center"/>
              <w:rPr>
                <w:rFonts w:ascii="Times New Roman" w:eastAsia="Times New Roman" w:hAnsi="Times New Roman"/>
                <w:b/>
                <w:sz w:val="24"/>
                <w:szCs w:val="24"/>
                <w:lang w:val="sr-Cyrl-RS"/>
              </w:rPr>
            </w:pPr>
            <w:r w:rsidRPr="00AF726E">
              <w:rPr>
                <w:rFonts w:ascii="Times New Roman" w:eastAsia="Times New Roman" w:hAnsi="Times New Roman"/>
                <w:b/>
                <w:sz w:val="24"/>
                <w:szCs w:val="24"/>
                <w:lang w:val="sr-Cyrl-RS"/>
              </w:rPr>
              <w:t>Закон о изменама и допунама</w:t>
            </w:r>
          </w:p>
          <w:p w14:paraId="77B53660" w14:textId="7D20C540" w:rsidR="00194AE9" w:rsidRPr="00AF726E" w:rsidRDefault="00700E29" w:rsidP="00700E29">
            <w:pPr>
              <w:jc w:val="center"/>
              <w:rPr>
                <w:rFonts w:ascii="Times New Roman" w:hAnsi="Times New Roman"/>
                <w:b/>
                <w:sz w:val="22"/>
                <w:szCs w:val="22"/>
                <w:lang w:val="sr-Cyrl-RS"/>
              </w:rPr>
            </w:pPr>
            <w:r w:rsidRPr="00AF726E">
              <w:rPr>
                <w:rFonts w:ascii="Times New Roman" w:hAnsi="Times New Roman"/>
                <w:b/>
                <w:sz w:val="22"/>
                <w:szCs w:val="22"/>
                <w:lang w:val="sr-Cyrl-RS"/>
              </w:rPr>
              <w:t>Закона о запаљивим и горивим течностима и запаљивим гасовима</w:t>
            </w:r>
          </w:p>
          <w:p w14:paraId="45D83ECD" w14:textId="77777777" w:rsidR="00166830" w:rsidRPr="00AF726E" w:rsidRDefault="00166830" w:rsidP="00700E29">
            <w:pPr>
              <w:jc w:val="center"/>
              <w:rPr>
                <w:rFonts w:ascii="Times New Roman" w:hAnsi="Times New Roman"/>
                <w:b/>
                <w:sz w:val="22"/>
                <w:szCs w:val="22"/>
                <w:lang w:val="sr-Cyrl-RS"/>
              </w:rPr>
            </w:pPr>
          </w:p>
          <w:p w14:paraId="7DF4033F" w14:textId="643AFBBC" w:rsidR="00700E29" w:rsidRPr="00AF726E" w:rsidRDefault="00166830" w:rsidP="00700E29">
            <w:pPr>
              <w:jc w:val="center"/>
              <w:rPr>
                <w:rFonts w:ascii="Times New Roman" w:hAnsi="Times New Roman"/>
                <w:sz w:val="22"/>
                <w:szCs w:val="22"/>
                <w:lang w:val="sr-Cyrl-RS"/>
              </w:rPr>
            </w:pPr>
            <w:r w:rsidRPr="00AF726E">
              <w:rPr>
                <w:rFonts w:ascii="Times New Roman" w:hAnsi="Times New Roman"/>
                <w:sz w:val="22"/>
                <w:szCs w:val="22"/>
                <w:lang w:val="sr-Cyrl-RS"/>
              </w:rPr>
              <w:t xml:space="preserve">Члан 1. </w:t>
            </w:r>
          </w:p>
          <w:p w14:paraId="0D188BDF" w14:textId="6050B8B9" w:rsidR="009B2105" w:rsidRPr="009B2105" w:rsidRDefault="00700E29" w:rsidP="009B2105">
            <w:pPr>
              <w:rPr>
                <w:rFonts w:ascii="Times New Roman" w:eastAsia="Times New Roman" w:hAnsi="Times New Roman"/>
                <w:sz w:val="22"/>
                <w:szCs w:val="22"/>
                <w:lang w:val="sr-Cyrl-RS"/>
              </w:rPr>
            </w:pPr>
            <w:r w:rsidRPr="009B2105">
              <w:rPr>
                <w:rFonts w:ascii="Times New Roman" w:eastAsia="Times New Roman" w:hAnsi="Times New Roman"/>
                <w:sz w:val="22"/>
                <w:szCs w:val="22"/>
                <w:lang w:val="sr-Cyrl-RS"/>
              </w:rPr>
              <w:t>У Закону о запаљивим и горивим течностима и запаљивим гасовима: ( „Сл. Гласник РС“, 54/2015-6),</w:t>
            </w:r>
            <w:r w:rsidR="009B2105" w:rsidRPr="009B2105">
              <w:rPr>
                <w:rFonts w:ascii="Times New Roman" w:eastAsia="Times New Roman" w:hAnsi="Times New Roman"/>
                <w:sz w:val="22"/>
                <w:szCs w:val="22"/>
                <w:lang w:val="sr-Cyrl-RS"/>
              </w:rPr>
              <w:t xml:space="preserve"> </w:t>
            </w:r>
            <w:r w:rsidR="009B2105">
              <w:rPr>
                <w:rFonts w:ascii="Times New Roman" w:eastAsia="Times New Roman" w:hAnsi="Times New Roman"/>
                <w:sz w:val="22"/>
                <w:szCs w:val="22"/>
                <w:lang w:val="sr-Cyrl-RS"/>
              </w:rPr>
              <w:t>у</w:t>
            </w:r>
            <w:r w:rsidR="009B2105" w:rsidRPr="009B2105">
              <w:rPr>
                <w:rFonts w:ascii="Times New Roman" w:eastAsia="Times New Roman" w:hAnsi="Times New Roman"/>
                <w:sz w:val="22"/>
                <w:szCs w:val="22"/>
                <w:lang w:val="sr-Cyrl-RS"/>
              </w:rPr>
              <w:t xml:space="preserve"> члану 6. став 5. мења се и гласи:</w:t>
            </w:r>
          </w:p>
          <w:p w14:paraId="01BA9493" w14:textId="77777777" w:rsidR="009B2105" w:rsidRPr="009B2105" w:rsidRDefault="009B2105" w:rsidP="009B2105">
            <w:pPr>
              <w:rPr>
                <w:rFonts w:ascii="Times New Roman" w:eastAsia="Times New Roman" w:hAnsi="Times New Roman"/>
                <w:sz w:val="22"/>
                <w:szCs w:val="22"/>
                <w:lang w:val="sr-Cyrl-RS"/>
              </w:rPr>
            </w:pPr>
            <w:r w:rsidRPr="009B2105">
              <w:rPr>
                <w:rFonts w:ascii="Times New Roman" w:eastAsia="Times New Roman" w:hAnsi="Times New Roman"/>
                <w:sz w:val="22"/>
                <w:szCs w:val="22"/>
                <w:lang w:val="sr-Cyrl-RS"/>
              </w:rPr>
              <w:t>„За објекте из става 2. овог члана који су предмет озакоњења према посебном закону који уређује озакоњење и који се у смислу закона који уређује рударство сматрају рударским објектима, одобрење за локацију решењем издаје Министарство у складу са чланом 7. овог закона.“</w:t>
            </w:r>
          </w:p>
          <w:p w14:paraId="7E801566" w14:textId="068403C5" w:rsidR="009B2105" w:rsidRDefault="009B2105" w:rsidP="009B2105">
            <w:pPr>
              <w:pStyle w:val="Normal1"/>
              <w:shd w:val="clear" w:color="auto" w:fill="FFFFFF"/>
              <w:spacing w:before="0" w:beforeAutospacing="0" w:after="150" w:afterAutospacing="0"/>
              <w:jc w:val="center"/>
              <w:rPr>
                <w:sz w:val="22"/>
                <w:szCs w:val="22"/>
                <w:lang w:val="sr-Cyrl-RS"/>
              </w:rPr>
            </w:pPr>
            <w:r>
              <w:rPr>
                <w:sz w:val="22"/>
                <w:szCs w:val="22"/>
                <w:lang w:val="sr-Cyrl-RS"/>
              </w:rPr>
              <w:t>Члан 2.</w:t>
            </w:r>
          </w:p>
          <w:p w14:paraId="35D4C1A9" w14:textId="12C1DCD9" w:rsidR="009B2105" w:rsidRPr="009B2105" w:rsidRDefault="009B2105" w:rsidP="009B2105">
            <w:pPr>
              <w:pStyle w:val="Normal1"/>
              <w:shd w:val="clear" w:color="auto" w:fill="FFFFFF"/>
              <w:spacing w:before="0" w:beforeAutospacing="0" w:after="0" w:afterAutospacing="0"/>
              <w:jc w:val="both"/>
              <w:rPr>
                <w:sz w:val="22"/>
                <w:szCs w:val="22"/>
                <w:lang w:val="sr-Cyrl-RS"/>
              </w:rPr>
            </w:pPr>
            <w:r w:rsidRPr="009B2105">
              <w:rPr>
                <w:sz w:val="22"/>
                <w:szCs w:val="22"/>
                <w:lang w:val="sr-Cyrl-RS"/>
              </w:rPr>
              <w:t>У чл</w:t>
            </w:r>
            <w:r>
              <w:rPr>
                <w:sz w:val="22"/>
                <w:szCs w:val="22"/>
                <w:lang w:val="sr-Cyrl-RS"/>
              </w:rPr>
              <w:t xml:space="preserve">ану </w:t>
            </w:r>
            <w:r w:rsidRPr="009B2105">
              <w:rPr>
                <w:sz w:val="22"/>
                <w:szCs w:val="22"/>
                <w:lang w:val="sr-Cyrl-RS"/>
              </w:rPr>
              <w:t xml:space="preserve">7. </w:t>
            </w:r>
            <w:r>
              <w:rPr>
                <w:sz w:val="22"/>
                <w:szCs w:val="22"/>
                <w:lang w:val="sr-Cyrl-RS"/>
              </w:rPr>
              <w:t>после става 1.</w:t>
            </w:r>
            <w:r w:rsidRPr="009B2105">
              <w:rPr>
                <w:sz w:val="22"/>
                <w:szCs w:val="22"/>
                <w:lang w:val="sr-Cyrl-RS"/>
              </w:rPr>
              <w:t xml:space="preserve"> додаје се нови став 2. који гласи:</w:t>
            </w:r>
          </w:p>
          <w:p w14:paraId="3E164B0F" w14:textId="3C6B3463" w:rsidR="009B2105" w:rsidRPr="009B2105" w:rsidRDefault="009B2105" w:rsidP="009B2105">
            <w:pPr>
              <w:pStyle w:val="Normal1"/>
              <w:shd w:val="clear" w:color="auto" w:fill="FFFFFF"/>
              <w:spacing w:before="0" w:beforeAutospacing="0" w:after="0" w:afterAutospacing="0"/>
              <w:jc w:val="both"/>
              <w:rPr>
                <w:sz w:val="22"/>
                <w:szCs w:val="22"/>
                <w:lang w:val="sr-Cyrl-RS"/>
              </w:rPr>
            </w:pPr>
            <w:r w:rsidRPr="009B2105">
              <w:rPr>
                <w:sz w:val="22"/>
                <w:szCs w:val="22"/>
                <w:lang w:val="sr-Cyrl-RS"/>
              </w:rPr>
              <w:t>„Прилоге под тач</w:t>
            </w:r>
            <w:r>
              <w:rPr>
                <w:sz w:val="22"/>
                <w:szCs w:val="22"/>
                <w:lang w:val="sr-Cyrl-RS"/>
              </w:rPr>
              <w:t>.</w:t>
            </w:r>
            <w:r w:rsidRPr="009B2105">
              <w:rPr>
                <w:sz w:val="22"/>
                <w:szCs w:val="22"/>
                <w:lang w:val="sr-Cyrl-RS"/>
              </w:rPr>
              <w:t xml:space="preserve"> 2) и 6) надлежни орган прибавља по службеној дужности.“</w:t>
            </w:r>
          </w:p>
          <w:p w14:paraId="074F7AB6" w14:textId="5AD7D748" w:rsidR="009B2105" w:rsidRPr="00AF726E" w:rsidRDefault="009B2105" w:rsidP="009B2105">
            <w:pPr>
              <w:pStyle w:val="Normal1"/>
              <w:shd w:val="clear" w:color="auto" w:fill="FFFFFF"/>
              <w:spacing w:before="0" w:beforeAutospacing="0" w:after="0" w:afterAutospacing="0"/>
              <w:jc w:val="both"/>
              <w:rPr>
                <w:sz w:val="22"/>
                <w:szCs w:val="22"/>
                <w:lang w:val="sr-Cyrl-RS"/>
              </w:rPr>
            </w:pPr>
            <w:r>
              <w:rPr>
                <w:sz w:val="22"/>
                <w:szCs w:val="22"/>
                <w:lang w:val="sr-Cyrl-RS"/>
              </w:rPr>
              <w:t>Досадашњи ст.</w:t>
            </w:r>
            <w:r w:rsidRPr="009B2105">
              <w:rPr>
                <w:sz w:val="22"/>
                <w:szCs w:val="22"/>
                <w:lang w:val="sr-Cyrl-RS"/>
              </w:rPr>
              <w:t xml:space="preserve"> 2. и 3. постају ст</w:t>
            </w:r>
            <w:r>
              <w:rPr>
                <w:sz w:val="22"/>
                <w:szCs w:val="22"/>
                <w:lang w:val="sr-Cyrl-RS"/>
              </w:rPr>
              <w:t>.</w:t>
            </w:r>
            <w:r w:rsidRPr="009B2105">
              <w:rPr>
                <w:sz w:val="22"/>
                <w:szCs w:val="22"/>
                <w:lang w:val="sr-Cyrl-RS"/>
              </w:rPr>
              <w:t xml:space="preserve"> 3. и 4.</w:t>
            </w:r>
          </w:p>
          <w:p w14:paraId="277BBC3B" w14:textId="77777777" w:rsidR="008420C5" w:rsidRPr="00AF726E" w:rsidRDefault="008420C5" w:rsidP="008420C5">
            <w:pPr>
              <w:pStyle w:val="Normal1"/>
              <w:shd w:val="clear" w:color="auto" w:fill="FFFFFF"/>
              <w:spacing w:after="0" w:afterAutospacing="0"/>
              <w:jc w:val="center"/>
              <w:rPr>
                <w:sz w:val="22"/>
                <w:szCs w:val="22"/>
                <w:lang w:val="sr-Cyrl-RS"/>
              </w:rPr>
            </w:pPr>
            <w:r w:rsidRPr="00AF726E">
              <w:rPr>
                <w:sz w:val="22"/>
                <w:szCs w:val="22"/>
                <w:lang w:val="sr-Cyrl-RS"/>
              </w:rPr>
              <w:t>Члан 2.</w:t>
            </w:r>
          </w:p>
          <w:p w14:paraId="42B31C62" w14:textId="08AB8FD2" w:rsidR="008420C5" w:rsidRPr="00AF726E" w:rsidRDefault="008420C5" w:rsidP="008420C5">
            <w:pPr>
              <w:pStyle w:val="Normal1"/>
              <w:shd w:val="clear" w:color="auto" w:fill="FFFFFF"/>
              <w:spacing w:before="0" w:beforeAutospacing="0" w:after="0" w:afterAutospacing="0"/>
              <w:jc w:val="both"/>
              <w:rPr>
                <w:sz w:val="22"/>
                <w:szCs w:val="22"/>
                <w:lang w:val="sr-Cyrl-RS"/>
              </w:rPr>
            </w:pPr>
            <w:r w:rsidRPr="00AF726E">
              <w:rPr>
                <w:sz w:val="22"/>
                <w:szCs w:val="22"/>
                <w:lang w:val="sr-Cyrl-RS"/>
              </w:rPr>
              <w:t xml:space="preserve">Овај </w:t>
            </w:r>
            <w:r w:rsidR="00DA3D1D">
              <w:rPr>
                <w:sz w:val="22"/>
                <w:szCs w:val="22"/>
                <w:lang w:val="sr-Cyrl-RS"/>
              </w:rPr>
              <w:t>закон</w:t>
            </w:r>
            <w:r w:rsidRPr="00AF726E">
              <w:rPr>
                <w:sz w:val="22"/>
                <w:szCs w:val="22"/>
                <w:lang w:val="sr-Cyrl-RS"/>
              </w:rPr>
              <w:t xml:space="preserve"> ступа на снагу осмог дана од дана објављивања у Службеном гласнику Републике Србије.</w:t>
            </w:r>
          </w:p>
          <w:p w14:paraId="39763933" w14:textId="4F52945C" w:rsidR="00700E29" w:rsidRPr="00AF726E" w:rsidRDefault="00700E29" w:rsidP="00700E29">
            <w:pPr>
              <w:rPr>
                <w:rFonts w:ascii="Times New Roman" w:eastAsia="Times New Roman" w:hAnsi="Times New Roman"/>
                <w:b/>
                <w:sz w:val="24"/>
                <w:szCs w:val="24"/>
                <w:lang w:val="sr-Cyrl-RS"/>
              </w:rPr>
            </w:pPr>
          </w:p>
        </w:tc>
      </w:tr>
      <w:tr w:rsidR="00AF726E" w:rsidRPr="00AF726E" w14:paraId="0489C5FC" w14:textId="77777777" w:rsidTr="00C70F1B">
        <w:trPr>
          <w:trHeight w:val="454"/>
        </w:trPr>
        <w:tc>
          <w:tcPr>
            <w:tcW w:w="9060" w:type="dxa"/>
            <w:gridSpan w:val="2"/>
            <w:shd w:val="clear" w:color="auto" w:fill="DBE5F1" w:themeFill="accent1" w:themeFillTint="33"/>
            <w:vAlign w:val="center"/>
          </w:tcPr>
          <w:p w14:paraId="6DA2404D" w14:textId="1F3F0197" w:rsidR="00194AE9" w:rsidRPr="00AF726E" w:rsidRDefault="00194AE9" w:rsidP="00CF114C">
            <w:pPr>
              <w:pStyle w:val="NormalWeb"/>
              <w:numPr>
                <w:ilvl w:val="0"/>
                <w:numId w:val="4"/>
              </w:numPr>
              <w:spacing w:before="120" w:beforeAutospacing="0" w:after="120" w:afterAutospacing="0"/>
              <w:jc w:val="center"/>
              <w:rPr>
                <w:b/>
                <w:sz w:val="22"/>
                <w:szCs w:val="22"/>
                <w:lang w:val="sr-Cyrl-RS"/>
              </w:rPr>
            </w:pPr>
            <w:r w:rsidRPr="00AF726E">
              <w:rPr>
                <w:b/>
                <w:sz w:val="22"/>
                <w:szCs w:val="22"/>
                <w:lang w:val="sr-Cyrl-RS"/>
              </w:rPr>
              <w:t>ПРЕГЛЕД ОДРЕДБИ ПРОПИСА ЧИЈА СЕ ИЗМЕНА ПРЕДЛАЖЕ</w:t>
            </w:r>
          </w:p>
        </w:tc>
      </w:tr>
      <w:tr w:rsidR="00AF726E" w:rsidRPr="00AF726E" w14:paraId="3C4DDA6A" w14:textId="77777777" w:rsidTr="00DB19B9">
        <w:trPr>
          <w:trHeight w:val="454"/>
        </w:trPr>
        <w:tc>
          <w:tcPr>
            <w:tcW w:w="9060" w:type="dxa"/>
            <w:gridSpan w:val="2"/>
            <w:shd w:val="clear" w:color="auto" w:fill="auto"/>
          </w:tcPr>
          <w:p w14:paraId="20EC246D" w14:textId="2FA70D37" w:rsidR="0052067D" w:rsidRPr="00F6622C" w:rsidRDefault="0052067D" w:rsidP="0052067D">
            <w:pPr>
              <w:jc w:val="center"/>
              <w:rPr>
                <w:rFonts w:ascii="Times New Roman" w:eastAsia="Times New Roman" w:hAnsi="Times New Roman"/>
                <w:b/>
                <w:sz w:val="22"/>
                <w:szCs w:val="22"/>
                <w:lang w:val="sr-Cyrl-RS"/>
              </w:rPr>
            </w:pPr>
            <w:r w:rsidRPr="00F6622C">
              <w:rPr>
                <w:rFonts w:ascii="Times New Roman" w:hAnsi="Times New Roman"/>
                <w:b/>
                <w:sz w:val="22"/>
                <w:szCs w:val="22"/>
                <w:lang w:val="sr-Cyrl-RS"/>
              </w:rPr>
              <w:t>ПРЕГЛЕД ОДРЕДБИ</w:t>
            </w:r>
            <w:r w:rsidRPr="00F6622C">
              <w:rPr>
                <w:rFonts w:ascii="Times New Roman" w:hAnsi="Times New Roman"/>
                <w:b/>
                <w:bCs/>
                <w:sz w:val="22"/>
                <w:szCs w:val="22"/>
                <w:lang w:val="sr-Cyrl-RS"/>
              </w:rPr>
              <w:t xml:space="preserve"> </w:t>
            </w:r>
            <w:r w:rsidRPr="00F6622C">
              <w:rPr>
                <w:rFonts w:ascii="Times New Roman" w:eastAsia="Times New Roman" w:hAnsi="Times New Roman"/>
                <w:b/>
                <w:sz w:val="22"/>
                <w:szCs w:val="22"/>
                <w:lang w:val="sr-Cyrl-RS"/>
              </w:rPr>
              <w:t>ЗАКОНА О ИЗМЕНАМА И ДОПУНАМА</w:t>
            </w:r>
          </w:p>
          <w:p w14:paraId="719F6EB8" w14:textId="5E1B5C66" w:rsidR="0052067D" w:rsidRPr="00F6622C" w:rsidRDefault="0052067D" w:rsidP="0052067D">
            <w:pPr>
              <w:pStyle w:val="wyq110---naslov-clana"/>
              <w:shd w:val="clear" w:color="auto" w:fill="FFFFFF"/>
              <w:spacing w:before="0" w:beforeAutospacing="0" w:after="0" w:afterAutospacing="0"/>
              <w:jc w:val="center"/>
              <w:rPr>
                <w:b/>
                <w:bCs/>
                <w:sz w:val="22"/>
                <w:szCs w:val="22"/>
                <w:lang w:val="sr-Cyrl-RS"/>
              </w:rPr>
            </w:pPr>
            <w:r w:rsidRPr="00F6622C">
              <w:rPr>
                <w:b/>
                <w:sz w:val="22"/>
                <w:szCs w:val="22"/>
                <w:lang w:val="sr-Cyrl-RS"/>
              </w:rPr>
              <w:t>ЗАКОНА О ЗАПАЉИВИМ И ГОРИВИМ ТЕЧНОСТИМА И ЗАПАЉИВИМ ГАСОВИМА</w:t>
            </w:r>
            <w:r w:rsidRPr="00F6622C">
              <w:rPr>
                <w:b/>
                <w:bCs/>
                <w:sz w:val="22"/>
                <w:szCs w:val="22"/>
                <w:lang w:val="sr-Cyrl-RS"/>
              </w:rPr>
              <w:t xml:space="preserve"> КОЈЕ СЕ ДОПУЊУЈУ</w:t>
            </w:r>
          </w:p>
          <w:p w14:paraId="79D347F2" w14:textId="77777777" w:rsidR="009B2105" w:rsidRPr="00F6622C" w:rsidRDefault="009B2105" w:rsidP="009B2105">
            <w:pPr>
              <w:pStyle w:val="wyq110---naslov-clana"/>
              <w:shd w:val="clear" w:color="auto" w:fill="FFFFFF"/>
              <w:spacing w:before="240" w:after="240"/>
              <w:jc w:val="center"/>
              <w:rPr>
                <w:b/>
                <w:sz w:val="22"/>
                <w:szCs w:val="22"/>
                <w:lang w:val="sr-Cyrl-RS"/>
              </w:rPr>
            </w:pPr>
            <w:r w:rsidRPr="00F6622C">
              <w:rPr>
                <w:b/>
                <w:sz w:val="22"/>
                <w:szCs w:val="22"/>
                <w:lang w:val="sr-Cyrl-RS"/>
              </w:rPr>
              <w:t>Безбедно постављање</w:t>
            </w:r>
          </w:p>
          <w:p w14:paraId="397C12A4" w14:textId="7B6C377D" w:rsidR="009B2105" w:rsidRPr="00F6622C" w:rsidRDefault="009B2105" w:rsidP="009B2105">
            <w:pPr>
              <w:pStyle w:val="wyq110---naslov-clana"/>
              <w:shd w:val="clear" w:color="auto" w:fill="FFFFFF"/>
              <w:spacing w:before="240" w:after="240"/>
              <w:jc w:val="center"/>
              <w:rPr>
                <w:b/>
                <w:sz w:val="22"/>
                <w:szCs w:val="22"/>
                <w:lang w:val="sr-Cyrl-RS"/>
              </w:rPr>
            </w:pPr>
            <w:r w:rsidRPr="00F6622C">
              <w:rPr>
                <w:b/>
                <w:sz w:val="22"/>
                <w:szCs w:val="22"/>
                <w:lang w:val="sr-Cyrl-RS"/>
              </w:rPr>
              <w:t>Члан 6</w:t>
            </w:r>
            <w:r w:rsidR="00F6622C" w:rsidRPr="00F6622C">
              <w:rPr>
                <w:b/>
                <w:sz w:val="22"/>
                <w:szCs w:val="22"/>
                <w:lang w:val="sr-Cyrl-RS"/>
              </w:rPr>
              <w:t>.</w:t>
            </w:r>
          </w:p>
          <w:p w14:paraId="67E3DD7D" w14:textId="77777777" w:rsidR="009B2105" w:rsidRPr="00F6622C" w:rsidRDefault="009B2105" w:rsidP="009B2105">
            <w:pPr>
              <w:pStyle w:val="wyq110---naslov-clana"/>
              <w:shd w:val="clear" w:color="auto" w:fill="FFFFFF"/>
              <w:spacing w:before="240" w:after="240"/>
              <w:jc w:val="both"/>
              <w:rPr>
                <w:sz w:val="22"/>
                <w:szCs w:val="22"/>
                <w:lang w:val="sr-Cyrl-RS"/>
              </w:rPr>
            </w:pPr>
            <w:r w:rsidRPr="00F6622C">
              <w:rPr>
                <w:sz w:val="22"/>
                <w:szCs w:val="22"/>
                <w:lang w:val="sr-Cyrl-RS"/>
              </w:rPr>
              <w:t>Постројења и објекти за складиштење запаљивих и горивих течности и запаљивих гасова (нафтоводи, гасоводи, продуктоводи, резервоари, складишта, претакалишта и други објекти или његови саставни делови а намењени су за складиштење и претакање запаљивих и горивих течности и запаљивих гасова, објекти у којима се врши складиштење запаљивих и горивих течности и запаљивих гасова ради обављања трговине или сопствене употребе, станице за снабдевање горивом моторних возила и други слични објекти) морају се градити, постављати и опремати на начин којим се не ствара опасност од пожара или експлозије у складу са прописима.</w:t>
            </w:r>
          </w:p>
          <w:p w14:paraId="2BB5024B" w14:textId="77777777" w:rsidR="009B2105" w:rsidRPr="00F6622C" w:rsidRDefault="009B2105" w:rsidP="009B2105">
            <w:pPr>
              <w:pStyle w:val="wyq110---naslov-clana"/>
              <w:shd w:val="clear" w:color="auto" w:fill="FFFFFF"/>
              <w:spacing w:before="240" w:after="240"/>
              <w:jc w:val="both"/>
              <w:rPr>
                <w:sz w:val="22"/>
                <w:szCs w:val="22"/>
                <w:lang w:val="sr-Cyrl-RS"/>
              </w:rPr>
            </w:pPr>
            <w:r w:rsidRPr="00F6622C">
              <w:rPr>
                <w:sz w:val="22"/>
                <w:szCs w:val="22"/>
                <w:lang w:val="sr-Cyrl-RS"/>
              </w:rPr>
              <w:t>За складишне резервоаре и претакалишта у саставу постројења, као и за све објекте из става 1. овог члана морају се прибавити услови за изградњу и безбедно постављање објеката односно локација за изградњу и безбедно постављање објеката, које издаје Министарство.</w:t>
            </w:r>
          </w:p>
          <w:p w14:paraId="5A25B0B7" w14:textId="77777777" w:rsidR="009B2105" w:rsidRPr="00F6622C" w:rsidRDefault="009B2105" w:rsidP="009B2105">
            <w:pPr>
              <w:pStyle w:val="wyq110---naslov-clana"/>
              <w:shd w:val="clear" w:color="auto" w:fill="FFFFFF"/>
              <w:spacing w:before="240" w:after="240"/>
              <w:jc w:val="both"/>
              <w:rPr>
                <w:sz w:val="22"/>
                <w:szCs w:val="22"/>
                <w:lang w:val="sr-Cyrl-RS"/>
              </w:rPr>
            </w:pPr>
            <w:r w:rsidRPr="00F6622C">
              <w:rPr>
                <w:sz w:val="22"/>
                <w:szCs w:val="22"/>
                <w:lang w:val="sr-Cyrl-RS"/>
              </w:rPr>
              <w:t>Услове за изградњу и безбедно постављање објеката из става 2. овог члана издаје, односно локацију за изградњу и безбедно постављање објеката из става 2. овог члана одобрава:</w:t>
            </w:r>
          </w:p>
          <w:p w14:paraId="72F94288" w14:textId="77777777" w:rsidR="009B2105" w:rsidRPr="00F6622C" w:rsidRDefault="009B2105" w:rsidP="009B2105">
            <w:pPr>
              <w:pStyle w:val="wyq110---naslov-clana"/>
              <w:shd w:val="clear" w:color="auto" w:fill="FFFFFF"/>
              <w:spacing w:before="240" w:after="240"/>
              <w:jc w:val="both"/>
              <w:rPr>
                <w:sz w:val="22"/>
                <w:szCs w:val="22"/>
                <w:lang w:val="sr-Cyrl-RS"/>
              </w:rPr>
            </w:pPr>
            <w:r w:rsidRPr="00F6622C">
              <w:rPr>
                <w:sz w:val="22"/>
                <w:szCs w:val="22"/>
                <w:lang w:val="sr-Cyrl-RS"/>
              </w:rPr>
              <w:t>1) Министарство, ако се ради о објектима чији је капацитет запаљивих и горивих течности укупне запремине преко 500 м3, а запаљивих гасова преко 200 м3, као и за нафтоводе и продуктоводе, гасоводе називног радног натпритиска преко 16 бар, гасоводе називног радног натпритиска до 16 бар уколико прелазе територију две или више општина у различитој подручној надлежности организационих јединица Министарства;</w:t>
            </w:r>
          </w:p>
          <w:p w14:paraId="5F7A4461" w14:textId="77777777" w:rsidR="009B2105" w:rsidRPr="00F6622C" w:rsidRDefault="009B2105" w:rsidP="009B2105">
            <w:pPr>
              <w:pStyle w:val="wyq110---naslov-clana"/>
              <w:shd w:val="clear" w:color="auto" w:fill="FFFFFF"/>
              <w:spacing w:before="240" w:after="240"/>
              <w:jc w:val="both"/>
              <w:rPr>
                <w:sz w:val="22"/>
                <w:szCs w:val="22"/>
                <w:lang w:val="sr-Cyrl-RS"/>
              </w:rPr>
            </w:pPr>
            <w:r w:rsidRPr="00F6622C">
              <w:rPr>
                <w:sz w:val="22"/>
                <w:szCs w:val="22"/>
                <w:lang w:val="sr-Cyrl-RS"/>
              </w:rPr>
              <w:lastRenderedPageBreak/>
              <w:t>2) надлежна подручна организациона јединица Министарства ако се ради о објектима чији је капацитет запаљивих и горивих течности укупне запремине до 500 м3, односно запаљивих гасова до 200 м3, гасоводе који нису наведени у тачки 1) овог става.</w:t>
            </w:r>
          </w:p>
          <w:p w14:paraId="709E2982" w14:textId="77777777" w:rsidR="009B2105" w:rsidRPr="00F6622C" w:rsidRDefault="009B2105" w:rsidP="009B2105">
            <w:pPr>
              <w:pStyle w:val="wyq110---naslov-clana"/>
              <w:shd w:val="clear" w:color="auto" w:fill="FFFFFF"/>
              <w:spacing w:before="240" w:after="240"/>
              <w:jc w:val="both"/>
              <w:rPr>
                <w:sz w:val="22"/>
                <w:szCs w:val="22"/>
                <w:lang w:val="sr-Cyrl-RS"/>
              </w:rPr>
            </w:pPr>
            <w:r w:rsidRPr="00F6622C">
              <w:rPr>
                <w:sz w:val="22"/>
                <w:szCs w:val="22"/>
                <w:lang w:val="sr-Cyrl-RS"/>
              </w:rPr>
              <w:t>Оверени ситуациони план је саставни део услова из става 2. овог члана који се издају у поступку обједињене процедуре на основу идејног решења утврђеног посебним прописом у складу са одредбама закона који уређује изградњу.</w:t>
            </w:r>
          </w:p>
          <w:p w14:paraId="7EAB4C1F" w14:textId="77777777" w:rsidR="009B2105" w:rsidRPr="00F6622C" w:rsidRDefault="009B2105" w:rsidP="009B2105">
            <w:pPr>
              <w:pStyle w:val="wyq110---naslov-clana"/>
              <w:shd w:val="clear" w:color="auto" w:fill="FFFFFF"/>
              <w:spacing w:before="240" w:after="240"/>
              <w:jc w:val="both"/>
              <w:rPr>
                <w:strike/>
                <w:sz w:val="22"/>
                <w:szCs w:val="22"/>
                <w:lang w:val="sr-Cyrl-RS"/>
              </w:rPr>
            </w:pPr>
            <w:r w:rsidRPr="00F6622C">
              <w:rPr>
                <w:strike/>
                <w:sz w:val="22"/>
                <w:szCs w:val="22"/>
                <w:lang w:val="sr-Cyrl-RS"/>
              </w:rPr>
              <w:t>За објекте из става 2. овог члана који су изграђени без грађевинске дозволе одобрење за локацију решењем издаје Министарство у складу са чланом 7. овог закона.</w:t>
            </w:r>
          </w:p>
          <w:p w14:paraId="54A47F66" w14:textId="72B6F1BA" w:rsidR="009B2105" w:rsidRPr="00F6622C" w:rsidRDefault="009B2105" w:rsidP="009B2105">
            <w:pPr>
              <w:pStyle w:val="wyq110---naslov-clana"/>
              <w:shd w:val="clear" w:color="auto" w:fill="FFFFFF"/>
              <w:spacing w:before="240" w:after="240"/>
              <w:jc w:val="both"/>
              <w:rPr>
                <w:strike/>
                <w:sz w:val="22"/>
                <w:szCs w:val="22"/>
                <w:lang w:val="sr-Cyrl-RS"/>
              </w:rPr>
            </w:pPr>
            <w:r w:rsidRPr="00F6622C">
              <w:rPr>
                <w:sz w:val="22"/>
                <w:szCs w:val="22"/>
                <w:lang w:val="sr-Cyrl-RS"/>
              </w:rPr>
              <w:t>ЗА ОБЈЕКТЕ ИЗ СТАВА 2. ОВОГ ЧЛАНА КОЈИ СУ ПРЕДМЕТ ОЗАКОЊЕЊА ПРЕМА ПОСЕБНОМ ЗАКОНУ КОЈИ УРЕЂУЈЕ ОЗАКОЊЕЊЕ И КОЈИ СЕ У СМИСЛУ ЗАКОНА КОЈИ УРЕЂУЈЕ РУДАРСТВО СМАТРАЈУ РУДАРСКИМ ОБЈЕКТИМА, ОДОБРЕЊЕ ЗА ЛОКАЦИЈУ РЕШЕЊЕМ ИЗДАЈЕ МИНИСТАРСТВО У СКЛАДУ СА ЧЛАНОМ 7. ОВОГ ЗАКОНА.</w:t>
            </w:r>
          </w:p>
          <w:p w14:paraId="2CE1C3AA" w14:textId="0C9430AF" w:rsidR="009B2105" w:rsidRPr="00F6622C" w:rsidRDefault="009B2105" w:rsidP="009B2105">
            <w:pPr>
              <w:pStyle w:val="wyq110---naslov-clana"/>
              <w:shd w:val="clear" w:color="auto" w:fill="FFFFFF"/>
              <w:spacing w:before="240" w:beforeAutospacing="0" w:after="240" w:afterAutospacing="0"/>
              <w:jc w:val="both"/>
              <w:rPr>
                <w:sz w:val="22"/>
                <w:szCs w:val="22"/>
                <w:lang w:val="sr-Cyrl-RS"/>
              </w:rPr>
            </w:pPr>
            <w:r w:rsidRPr="00F6622C">
              <w:rPr>
                <w:sz w:val="22"/>
                <w:szCs w:val="22"/>
                <w:lang w:val="sr-Cyrl-RS"/>
              </w:rPr>
              <w:t>За држање запаљивих и горивих течности и запаљивих гасова у складу са овим законом, као и за унутрашње гасне инсталације утврђене посебним прописом не прибављају се услови односно не одобрава се локација из става 2. овог члана.</w:t>
            </w:r>
          </w:p>
          <w:p w14:paraId="6C1C201B" w14:textId="77777777" w:rsidR="009B2105" w:rsidRPr="00F6622C" w:rsidRDefault="009B2105" w:rsidP="0052067D">
            <w:pPr>
              <w:pStyle w:val="wyq110---naslov-clana"/>
              <w:shd w:val="clear" w:color="auto" w:fill="FFFFFF"/>
              <w:spacing w:before="240" w:beforeAutospacing="0" w:after="240" w:afterAutospacing="0"/>
              <w:jc w:val="center"/>
              <w:rPr>
                <w:b/>
                <w:bCs/>
                <w:sz w:val="22"/>
                <w:szCs w:val="22"/>
                <w:lang w:val="sr-Cyrl-RS"/>
              </w:rPr>
            </w:pPr>
          </w:p>
          <w:p w14:paraId="54DAA3D0" w14:textId="0C678813" w:rsidR="00700E29" w:rsidRPr="00F6622C" w:rsidRDefault="00700E29" w:rsidP="0052067D">
            <w:pPr>
              <w:pStyle w:val="wyq110---naslov-clana"/>
              <w:shd w:val="clear" w:color="auto" w:fill="FFFFFF"/>
              <w:spacing w:before="240" w:beforeAutospacing="0" w:after="240" w:afterAutospacing="0"/>
              <w:jc w:val="center"/>
              <w:rPr>
                <w:b/>
                <w:bCs/>
                <w:sz w:val="22"/>
                <w:szCs w:val="22"/>
                <w:lang w:val="sr-Cyrl-RS"/>
              </w:rPr>
            </w:pPr>
            <w:r w:rsidRPr="00F6622C">
              <w:rPr>
                <w:b/>
                <w:bCs/>
                <w:sz w:val="22"/>
                <w:szCs w:val="22"/>
                <w:lang w:val="sr-Cyrl-RS"/>
              </w:rPr>
              <w:t>Захтев за одобрење локације</w:t>
            </w:r>
          </w:p>
          <w:p w14:paraId="62CB4A09" w14:textId="65798D2B" w:rsidR="00700E29" w:rsidRPr="00F6622C" w:rsidRDefault="00700E29" w:rsidP="00700E29">
            <w:pPr>
              <w:pStyle w:val="clan"/>
              <w:shd w:val="clear" w:color="auto" w:fill="FFFFFF"/>
              <w:spacing w:before="240" w:beforeAutospacing="0" w:after="120" w:afterAutospacing="0"/>
              <w:jc w:val="center"/>
              <w:rPr>
                <w:b/>
                <w:bCs/>
                <w:sz w:val="22"/>
                <w:szCs w:val="22"/>
                <w:lang w:val="sr-Cyrl-RS"/>
              </w:rPr>
            </w:pPr>
            <w:bookmarkStart w:id="1" w:name="clan_7"/>
            <w:bookmarkEnd w:id="1"/>
            <w:r w:rsidRPr="00F6622C">
              <w:rPr>
                <w:b/>
                <w:bCs/>
                <w:sz w:val="22"/>
                <w:szCs w:val="22"/>
                <w:lang w:val="sr-Cyrl-RS"/>
              </w:rPr>
              <w:t>Члан 7.</w:t>
            </w:r>
          </w:p>
          <w:p w14:paraId="2BE4358E" w14:textId="5137C30F" w:rsidR="00700E29" w:rsidRPr="00F6622C" w:rsidRDefault="00700E29" w:rsidP="00700E29">
            <w:pPr>
              <w:pStyle w:val="Normal1"/>
              <w:shd w:val="clear" w:color="auto" w:fill="FFFFFF"/>
              <w:spacing w:before="0" w:beforeAutospacing="0" w:after="150" w:afterAutospacing="0"/>
              <w:jc w:val="both"/>
              <w:rPr>
                <w:sz w:val="22"/>
                <w:szCs w:val="22"/>
                <w:lang w:val="sr-Cyrl-RS"/>
              </w:rPr>
            </w:pPr>
            <w:r w:rsidRPr="00F6622C">
              <w:rPr>
                <w:sz w:val="22"/>
                <w:szCs w:val="22"/>
                <w:lang w:val="sr-Cyrl-RS"/>
              </w:rPr>
              <w:t>У поступку прибављања одобрења локације из члана 6. ст. 2. и 5. овог закона подносилац захтева за издавање одобрења за локацију објекта мора уз захтев приложити надлежном органу за заштиту од пожара:</w:t>
            </w:r>
          </w:p>
          <w:p w14:paraId="6CE74CD8" w14:textId="19E0DA5E" w:rsidR="00700E29" w:rsidRPr="00F6622C" w:rsidRDefault="00700E29" w:rsidP="00700E29">
            <w:pPr>
              <w:pStyle w:val="Normal1"/>
              <w:shd w:val="clear" w:color="auto" w:fill="FFFFFF"/>
              <w:spacing w:before="0" w:beforeAutospacing="0" w:after="150" w:afterAutospacing="0"/>
              <w:jc w:val="both"/>
              <w:rPr>
                <w:sz w:val="22"/>
                <w:szCs w:val="22"/>
                <w:lang w:val="sr-Cyrl-RS"/>
              </w:rPr>
            </w:pPr>
            <w:r w:rsidRPr="00F6622C">
              <w:rPr>
                <w:sz w:val="22"/>
                <w:szCs w:val="22"/>
                <w:lang w:val="sr-Cyrl-RS"/>
              </w:rPr>
              <w:t>1) ситуациони план терена на коме је планирана изградња објекта за који се тражи одобрење локације и који мора бити у одговарајућој размери ради сагледавања безбедносних растојања (највише у размери 1:500), са означеним и уцртаним планираним и постојећим објектима и постројењима и њиховом наменом, објектима планираним за уклањање, бројевима катастарских парцела, саобраћајницама и енергетским инсталацијама и сл., као и уцртаним безбедносним растојањима у три примерка;</w:t>
            </w:r>
          </w:p>
          <w:p w14:paraId="007BE685" w14:textId="0E9E3FA0" w:rsidR="00700E29" w:rsidRPr="00F6622C" w:rsidRDefault="00700E29" w:rsidP="00700E29">
            <w:pPr>
              <w:pStyle w:val="Normal1"/>
              <w:shd w:val="clear" w:color="auto" w:fill="FFFFFF"/>
              <w:spacing w:before="0" w:beforeAutospacing="0" w:after="150" w:afterAutospacing="0"/>
              <w:jc w:val="both"/>
              <w:rPr>
                <w:sz w:val="22"/>
                <w:szCs w:val="22"/>
                <w:lang w:val="sr-Cyrl-RS"/>
              </w:rPr>
            </w:pPr>
            <w:r w:rsidRPr="00F6622C">
              <w:rPr>
                <w:sz w:val="22"/>
                <w:szCs w:val="22"/>
                <w:lang w:val="sr-Cyrl-RS"/>
              </w:rPr>
              <w:t>2) извод из листа непокретности са копијом плана катастарских парцела</w:t>
            </w:r>
            <w:r w:rsidR="009B2105" w:rsidRPr="00F6622C">
              <w:rPr>
                <w:sz w:val="22"/>
                <w:szCs w:val="22"/>
                <w:lang w:val="sr-Latn-RS"/>
              </w:rPr>
              <w:t>;</w:t>
            </w:r>
            <w:r w:rsidRPr="00F6622C">
              <w:rPr>
                <w:sz w:val="22"/>
                <w:szCs w:val="22"/>
                <w:lang w:val="sr-Cyrl-RS"/>
              </w:rPr>
              <w:t xml:space="preserve"> </w:t>
            </w:r>
          </w:p>
          <w:p w14:paraId="2C472CF2" w14:textId="69075A34" w:rsidR="00700E29" w:rsidRPr="00F6622C" w:rsidRDefault="00700E29" w:rsidP="00700E29">
            <w:pPr>
              <w:pStyle w:val="Normal1"/>
              <w:shd w:val="clear" w:color="auto" w:fill="FFFFFF"/>
              <w:spacing w:before="0" w:beforeAutospacing="0" w:after="150" w:afterAutospacing="0"/>
              <w:jc w:val="both"/>
              <w:rPr>
                <w:sz w:val="22"/>
                <w:szCs w:val="22"/>
                <w:lang w:val="sr-Cyrl-RS"/>
              </w:rPr>
            </w:pPr>
            <w:r w:rsidRPr="00F6622C">
              <w:rPr>
                <w:sz w:val="22"/>
                <w:szCs w:val="22"/>
                <w:lang w:val="sr-Cyrl-RS"/>
              </w:rPr>
              <w:t>3) технички опис терена приказаног на ситуационом плану са утицајем ризика од пожара и експлозија објекта који је предмет одобрења локације на објекте и простор суседних парцела са мерама заштите;</w:t>
            </w:r>
          </w:p>
          <w:p w14:paraId="41941555" w14:textId="117F18D3" w:rsidR="00700E29" w:rsidRPr="00F6622C" w:rsidRDefault="00700E29" w:rsidP="00700E29">
            <w:pPr>
              <w:pStyle w:val="Normal1"/>
              <w:shd w:val="clear" w:color="auto" w:fill="FFFFFF"/>
              <w:spacing w:before="0" w:beforeAutospacing="0" w:after="150" w:afterAutospacing="0"/>
              <w:jc w:val="both"/>
              <w:rPr>
                <w:sz w:val="22"/>
                <w:szCs w:val="22"/>
                <w:lang w:val="sr-Cyrl-RS"/>
              </w:rPr>
            </w:pPr>
            <w:r w:rsidRPr="00F6622C">
              <w:rPr>
                <w:sz w:val="22"/>
                <w:szCs w:val="22"/>
                <w:lang w:val="sr-Cyrl-RS"/>
              </w:rPr>
              <w:t>4) технички опис планираних и постојећих објеката и постројења и опис технолошког процеса;</w:t>
            </w:r>
          </w:p>
          <w:p w14:paraId="690345EA" w14:textId="0AB9448E" w:rsidR="00700E29" w:rsidRPr="00F6622C" w:rsidRDefault="00700E29" w:rsidP="00700E29">
            <w:pPr>
              <w:pStyle w:val="Normal1"/>
              <w:shd w:val="clear" w:color="auto" w:fill="FFFFFF"/>
              <w:spacing w:before="0" w:beforeAutospacing="0" w:after="150" w:afterAutospacing="0"/>
              <w:jc w:val="both"/>
              <w:rPr>
                <w:sz w:val="22"/>
                <w:szCs w:val="22"/>
                <w:lang w:val="sr-Cyrl-RS"/>
              </w:rPr>
            </w:pPr>
            <w:r w:rsidRPr="00F6622C">
              <w:rPr>
                <w:sz w:val="22"/>
                <w:szCs w:val="22"/>
                <w:lang w:val="sr-Cyrl-RS"/>
              </w:rPr>
              <w:t>5) попис врсте и количине запаљивих и горивих течности и запаљивих гасова који ће бити складиштени;</w:t>
            </w:r>
          </w:p>
          <w:p w14:paraId="3D9E170C" w14:textId="56C386C5" w:rsidR="00700E29" w:rsidRPr="00F6622C" w:rsidRDefault="00700E29" w:rsidP="00700E29">
            <w:pPr>
              <w:pStyle w:val="Normal1"/>
              <w:shd w:val="clear" w:color="auto" w:fill="FFFFFF"/>
              <w:spacing w:before="0" w:beforeAutospacing="0" w:after="150" w:afterAutospacing="0"/>
              <w:jc w:val="both"/>
              <w:rPr>
                <w:sz w:val="22"/>
                <w:szCs w:val="22"/>
                <w:lang w:val="sr-Cyrl-RS"/>
              </w:rPr>
            </w:pPr>
            <w:r w:rsidRPr="00F6622C">
              <w:rPr>
                <w:sz w:val="22"/>
                <w:szCs w:val="22"/>
                <w:lang w:val="sr-Cyrl-RS"/>
              </w:rPr>
              <w:t>6) забележбу о забрани градње у складу са законом који уређује упис права на непокретностима, са позивом на документ из члана 6. овог закона од стране носиоца права на непокретности на терет свагдашњег власника на суседним парцелама на којима је повећан ризик од пожара у смислу тачке 3) овог става, а да пре тога није могуће применити друге техничке мере за ограничење овог ризика.</w:t>
            </w:r>
          </w:p>
          <w:p w14:paraId="67979CC7" w14:textId="0CEBB915" w:rsidR="009B2105" w:rsidRPr="00FD515A" w:rsidRDefault="009B2105" w:rsidP="009B2105">
            <w:pPr>
              <w:rPr>
                <w:rFonts w:ascii="Times New Roman" w:eastAsia="Times New Roman" w:hAnsi="Times New Roman"/>
                <w:sz w:val="22"/>
                <w:szCs w:val="22"/>
                <w:lang w:val="sr-Cyrl-RS"/>
              </w:rPr>
            </w:pPr>
            <w:r w:rsidRPr="00FD515A">
              <w:rPr>
                <w:rFonts w:ascii="Times New Roman" w:eastAsia="Times New Roman" w:hAnsi="Times New Roman"/>
                <w:sz w:val="22"/>
                <w:szCs w:val="22"/>
                <w:lang w:val="sr-Cyrl-RS"/>
              </w:rPr>
              <w:t xml:space="preserve">ПРИЛОГЕ </w:t>
            </w:r>
            <w:r w:rsidRPr="00FD515A">
              <w:rPr>
                <w:rFonts w:ascii="Times New Roman" w:eastAsia="Times New Roman" w:hAnsi="Times New Roman"/>
                <w:sz w:val="22"/>
                <w:szCs w:val="22"/>
              </w:rPr>
              <w:t>ПОД ТАЧ</w:t>
            </w:r>
            <w:r w:rsidRPr="00FD515A">
              <w:rPr>
                <w:rFonts w:ascii="Times New Roman" w:eastAsia="Times New Roman" w:hAnsi="Times New Roman"/>
                <w:sz w:val="22"/>
                <w:szCs w:val="22"/>
                <w:lang w:val="sr-Cyrl-RS"/>
              </w:rPr>
              <w:t>.</w:t>
            </w:r>
            <w:r w:rsidRPr="00FD515A">
              <w:rPr>
                <w:rFonts w:ascii="Times New Roman" w:eastAsia="Times New Roman" w:hAnsi="Times New Roman"/>
                <w:sz w:val="22"/>
                <w:szCs w:val="22"/>
              </w:rPr>
              <w:t xml:space="preserve"> 2) И 6) </w:t>
            </w:r>
            <w:r w:rsidRPr="00FD515A">
              <w:rPr>
                <w:rFonts w:ascii="Times New Roman" w:eastAsia="Times New Roman" w:hAnsi="Times New Roman"/>
                <w:sz w:val="22"/>
                <w:szCs w:val="22"/>
                <w:lang w:val="sr-Cyrl-RS"/>
              </w:rPr>
              <w:t xml:space="preserve">ОВОГ ЧЛАНА </w:t>
            </w:r>
            <w:r w:rsidRPr="00FD515A">
              <w:rPr>
                <w:rFonts w:ascii="Times New Roman" w:eastAsia="Times New Roman" w:hAnsi="Times New Roman"/>
                <w:sz w:val="22"/>
                <w:szCs w:val="22"/>
              </w:rPr>
              <w:t>НАДЛЕЖНИ ОРГАН ПРИБАВЉА ПО СЛУЖБЕНОЈ ДУЖНОСТИ.</w:t>
            </w:r>
          </w:p>
          <w:p w14:paraId="3682A5FF" w14:textId="77777777" w:rsidR="009B2105" w:rsidRPr="00F6622C" w:rsidRDefault="009B2105" w:rsidP="009B2105">
            <w:pPr>
              <w:rPr>
                <w:rFonts w:ascii="Times New Roman" w:eastAsia="Times New Roman" w:hAnsi="Times New Roman"/>
                <w:sz w:val="22"/>
                <w:szCs w:val="22"/>
                <w:highlight w:val="yellow"/>
                <w:lang w:val="sr-Cyrl-RS"/>
              </w:rPr>
            </w:pPr>
          </w:p>
          <w:p w14:paraId="74E6F68E" w14:textId="280F4CE0" w:rsidR="00700E29" w:rsidRPr="00F6622C" w:rsidRDefault="00700E29" w:rsidP="00700E29">
            <w:pPr>
              <w:pStyle w:val="Normal1"/>
              <w:shd w:val="clear" w:color="auto" w:fill="FFFFFF"/>
              <w:spacing w:before="0" w:beforeAutospacing="0" w:after="150" w:afterAutospacing="0"/>
              <w:jc w:val="both"/>
              <w:rPr>
                <w:sz w:val="22"/>
                <w:szCs w:val="22"/>
                <w:lang w:val="sr-Cyrl-RS"/>
              </w:rPr>
            </w:pPr>
            <w:r w:rsidRPr="00F6622C">
              <w:rPr>
                <w:sz w:val="22"/>
                <w:szCs w:val="22"/>
                <w:lang w:val="sr-Cyrl-RS"/>
              </w:rPr>
              <w:lastRenderedPageBreak/>
              <w:t>У случају уклањања објекта који је био предмет одобрења локације стичу се услови за брисање забележбе, по захтеву поднетом од стране носиоца права на непокретности и достављању записника о уклањању објекта сачињеног од стране грађевинског инспектора.</w:t>
            </w:r>
          </w:p>
          <w:p w14:paraId="5B8DA590" w14:textId="076D7ADC" w:rsidR="00700E29" w:rsidRPr="00F6622C" w:rsidRDefault="00700E29" w:rsidP="00700E29">
            <w:pPr>
              <w:pStyle w:val="Normal1"/>
              <w:shd w:val="clear" w:color="auto" w:fill="FFFFFF"/>
              <w:spacing w:before="0" w:beforeAutospacing="0" w:after="150" w:afterAutospacing="0"/>
              <w:jc w:val="both"/>
              <w:rPr>
                <w:sz w:val="22"/>
                <w:szCs w:val="22"/>
                <w:lang w:val="sr-Cyrl-RS"/>
              </w:rPr>
            </w:pPr>
            <w:r w:rsidRPr="00F6622C">
              <w:rPr>
                <w:sz w:val="22"/>
                <w:szCs w:val="22"/>
                <w:lang w:val="sr-Cyrl-RS"/>
              </w:rPr>
              <w:t>Безбедносно растојање се одређује на основу прописа и српских стандарда.</w:t>
            </w:r>
          </w:p>
          <w:p w14:paraId="1506ADFF" w14:textId="77777777" w:rsidR="00194AE9" w:rsidRPr="00AF726E" w:rsidRDefault="00194AE9" w:rsidP="009B2105">
            <w:pPr>
              <w:rPr>
                <w:rFonts w:ascii="Times New Roman" w:eastAsia="Times New Roman" w:hAnsi="Times New Roman"/>
                <w:b/>
                <w:sz w:val="24"/>
                <w:szCs w:val="24"/>
                <w:lang w:val="sr-Cyrl-RS"/>
              </w:rPr>
            </w:pPr>
          </w:p>
        </w:tc>
      </w:tr>
      <w:tr w:rsidR="00AF726E" w:rsidRPr="00AF726E" w14:paraId="429F5407" w14:textId="77777777" w:rsidTr="00C70F1B">
        <w:trPr>
          <w:trHeight w:val="454"/>
        </w:trPr>
        <w:tc>
          <w:tcPr>
            <w:tcW w:w="9060" w:type="dxa"/>
            <w:gridSpan w:val="2"/>
            <w:shd w:val="clear" w:color="auto" w:fill="DBE5F1" w:themeFill="accent1" w:themeFillTint="33"/>
            <w:vAlign w:val="center"/>
          </w:tcPr>
          <w:p w14:paraId="033C7D4B" w14:textId="7099FA8B" w:rsidR="00194AE9" w:rsidRPr="00AF726E" w:rsidRDefault="00194AE9" w:rsidP="00CF114C">
            <w:pPr>
              <w:pStyle w:val="NormalWeb"/>
              <w:numPr>
                <w:ilvl w:val="0"/>
                <w:numId w:val="4"/>
              </w:numPr>
              <w:spacing w:before="120" w:beforeAutospacing="0" w:after="120" w:afterAutospacing="0"/>
              <w:jc w:val="center"/>
              <w:rPr>
                <w:b/>
                <w:sz w:val="22"/>
                <w:szCs w:val="22"/>
                <w:lang w:val="sr-Cyrl-RS"/>
              </w:rPr>
            </w:pPr>
            <w:r w:rsidRPr="00AF726E">
              <w:rPr>
                <w:b/>
                <w:sz w:val="22"/>
                <w:szCs w:val="22"/>
                <w:lang w:val="sr-Cyrl-RS"/>
              </w:rPr>
              <w:lastRenderedPageBreak/>
              <w:t>АНАЛИЗА ЕФЕКАТА ПРЕПОРУКЕ (АЕП)</w:t>
            </w:r>
          </w:p>
        </w:tc>
      </w:tr>
      <w:tr w:rsidR="00194AE9" w:rsidRPr="00FD515A" w14:paraId="72BD2239" w14:textId="77777777" w:rsidTr="00DB19B9">
        <w:trPr>
          <w:trHeight w:val="454"/>
        </w:trPr>
        <w:tc>
          <w:tcPr>
            <w:tcW w:w="9060" w:type="dxa"/>
            <w:gridSpan w:val="2"/>
            <w:shd w:val="clear" w:color="auto" w:fill="auto"/>
          </w:tcPr>
          <w:p w14:paraId="46911847" w14:textId="77777777" w:rsidR="00194AE9" w:rsidRDefault="008F60E8" w:rsidP="008F60E8">
            <w:pPr>
              <w:rPr>
                <w:rFonts w:ascii="Times New Roman" w:eastAsia="Times New Roman" w:hAnsi="Times New Roman"/>
                <w:sz w:val="22"/>
                <w:szCs w:val="22"/>
                <w:lang w:val="sr-Cyrl-RS"/>
              </w:rPr>
            </w:pPr>
            <w:r w:rsidRPr="008F60E8">
              <w:rPr>
                <w:rFonts w:ascii="Times New Roman" w:eastAsia="Times New Roman" w:hAnsi="Times New Roman"/>
                <w:sz w:val="22"/>
                <w:szCs w:val="22"/>
                <w:lang w:val="sr-Cyrl-RS"/>
              </w:rPr>
              <w:t>Директни трошкови спровођења овог поступка за привредне субјекте на годишњем нивоу износе 61.704.643,78 РСД. Усвајање и примена препорука ће донети привредним субјектима годишње директне уштеде од 291.132,95 РСД или 2.393,75 ЕУР. Ове уштеде износе 0,47% укупних директних трошкова привредних субјеката у поступку.</w:t>
            </w:r>
          </w:p>
          <w:p w14:paraId="475D3DE0" w14:textId="77777777" w:rsidR="008F60E8" w:rsidRDefault="008F60E8" w:rsidP="008F60E8">
            <w:pPr>
              <w:rPr>
                <w:rFonts w:ascii="Times New Roman" w:eastAsia="Times New Roman" w:hAnsi="Times New Roman"/>
                <w:sz w:val="22"/>
                <w:szCs w:val="22"/>
                <w:lang w:val="sr-Cyrl-RS"/>
              </w:rPr>
            </w:pPr>
          </w:p>
          <w:p w14:paraId="331CCBA4" w14:textId="7ABF20E2" w:rsidR="008F60E8" w:rsidRPr="008F60E8" w:rsidRDefault="008F60E8" w:rsidP="008F60E8">
            <w:pPr>
              <w:rPr>
                <w:rFonts w:ascii="Times New Roman" w:eastAsia="Times New Roman" w:hAnsi="Times New Roman"/>
                <w:sz w:val="22"/>
                <w:szCs w:val="22"/>
                <w:lang w:val="sr-Cyrl-RS"/>
              </w:rPr>
            </w:pPr>
            <w:r w:rsidRPr="008F60E8">
              <w:rPr>
                <w:rFonts w:ascii="Times New Roman" w:eastAsia="Times New Roman" w:hAnsi="Times New Roman"/>
                <w:sz w:val="22"/>
                <w:szCs w:val="22"/>
                <w:lang w:val="sr-Cyrl-RS"/>
              </w:rPr>
              <w:t>Усвајање препоруке ће допринети поједностављењу административног</w:t>
            </w:r>
            <w:r>
              <w:rPr>
                <w:rFonts w:ascii="Times New Roman" w:eastAsia="Times New Roman" w:hAnsi="Times New Roman"/>
                <w:sz w:val="22"/>
                <w:szCs w:val="22"/>
                <w:lang w:val="sr-Cyrl-RS"/>
              </w:rPr>
              <w:t xml:space="preserve"> и истоветности поступања.</w:t>
            </w:r>
          </w:p>
        </w:tc>
      </w:tr>
    </w:tbl>
    <w:p w14:paraId="5CE5710A" w14:textId="1C5B3A41" w:rsidR="003E3C16" w:rsidRPr="00AF726E" w:rsidRDefault="003E3C16" w:rsidP="00E129A3">
      <w:pPr>
        <w:rPr>
          <w:rFonts w:ascii="Times New Roman" w:eastAsia="Times New Roman" w:hAnsi="Times New Roman"/>
          <w:sz w:val="24"/>
          <w:szCs w:val="24"/>
          <w:lang w:val="sr-Cyrl-RS"/>
        </w:rPr>
      </w:pPr>
    </w:p>
    <w:sectPr w:rsidR="003E3C16" w:rsidRPr="00AF726E" w:rsidSect="00C121EC">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28CF4" w14:textId="77777777" w:rsidR="005358AD" w:rsidRDefault="005358AD" w:rsidP="002A202F">
      <w:r>
        <w:separator/>
      </w:r>
    </w:p>
  </w:endnote>
  <w:endnote w:type="continuationSeparator" w:id="0">
    <w:p w14:paraId="55609374" w14:textId="77777777" w:rsidR="005358AD" w:rsidRDefault="005358AD"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4E74C75A" w14:textId="1E93F5A9" w:rsidR="00700E29" w:rsidRDefault="00700E29">
        <w:pPr>
          <w:pStyle w:val="Footer"/>
          <w:jc w:val="right"/>
        </w:pPr>
        <w:r>
          <w:fldChar w:fldCharType="begin"/>
        </w:r>
        <w:r>
          <w:instrText xml:space="preserve"> PAGE   \* MERGEFORMAT </w:instrText>
        </w:r>
        <w:r>
          <w:fldChar w:fldCharType="separate"/>
        </w:r>
        <w:r w:rsidR="000A4A53">
          <w:rPr>
            <w:noProof/>
          </w:rPr>
          <w:t>6</w:t>
        </w:r>
        <w:r>
          <w:rPr>
            <w:noProof/>
          </w:rPr>
          <w:fldChar w:fldCharType="end"/>
        </w:r>
      </w:p>
    </w:sdtContent>
  </w:sdt>
  <w:p w14:paraId="7110971E" w14:textId="77777777" w:rsidR="00700E29" w:rsidRDefault="00700E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92F9CD" w14:textId="77777777" w:rsidR="005358AD" w:rsidRDefault="005358AD" w:rsidP="002A202F">
      <w:r>
        <w:separator/>
      </w:r>
    </w:p>
  </w:footnote>
  <w:footnote w:type="continuationSeparator" w:id="0">
    <w:p w14:paraId="5EE2101B" w14:textId="77777777" w:rsidR="005358AD" w:rsidRDefault="005358AD" w:rsidP="002A2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E6153"/>
    <w:multiLevelType w:val="hybridMultilevel"/>
    <w:tmpl w:val="05E09A3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9BC1B9C"/>
    <w:multiLevelType w:val="hybridMultilevel"/>
    <w:tmpl w:val="DCF09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E8218B4"/>
    <w:multiLevelType w:val="multilevel"/>
    <w:tmpl w:val="FB3842EC"/>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3BCE0B0E"/>
    <w:multiLevelType w:val="hybridMultilevel"/>
    <w:tmpl w:val="66DEBFFC"/>
    <w:lvl w:ilvl="0" w:tplc="A3D24826">
      <w:start w:val="1"/>
      <w:numFmt w:val="decimal"/>
      <w:lvlText w:val="%1."/>
      <w:lvlJc w:val="left"/>
      <w:pPr>
        <w:ind w:left="720" w:hanging="360"/>
      </w:pPr>
      <w:rPr>
        <w:rFonts w:ascii="Times New Roman" w:eastAsia="Calibri" w:hAnsi="Times New Roman" w:cs="Times New Roman"/>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5" w15:restartNumberingAfterBreak="0">
    <w:nsid w:val="44345346"/>
    <w:multiLevelType w:val="hybridMultilevel"/>
    <w:tmpl w:val="C79C3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ADB540E"/>
    <w:multiLevelType w:val="multilevel"/>
    <w:tmpl w:val="484E6880"/>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6DBA5225"/>
    <w:multiLevelType w:val="hybridMultilevel"/>
    <w:tmpl w:val="D820F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3"/>
  </w:num>
  <w:num w:numId="5">
    <w:abstractNumId w:val="1"/>
  </w:num>
  <w:num w:numId="6">
    <w:abstractNumId w:val="4"/>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8"/>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3A81"/>
    <w:rsid w:val="000050B3"/>
    <w:rsid w:val="000142CA"/>
    <w:rsid w:val="0001445B"/>
    <w:rsid w:val="00023EF9"/>
    <w:rsid w:val="00026C2F"/>
    <w:rsid w:val="00027945"/>
    <w:rsid w:val="00034605"/>
    <w:rsid w:val="00036812"/>
    <w:rsid w:val="00044F35"/>
    <w:rsid w:val="00044F63"/>
    <w:rsid w:val="00050616"/>
    <w:rsid w:val="0005487A"/>
    <w:rsid w:val="00061070"/>
    <w:rsid w:val="000709CE"/>
    <w:rsid w:val="00083993"/>
    <w:rsid w:val="00092B84"/>
    <w:rsid w:val="00093158"/>
    <w:rsid w:val="0009542A"/>
    <w:rsid w:val="000A13ED"/>
    <w:rsid w:val="000A4A53"/>
    <w:rsid w:val="000A53F3"/>
    <w:rsid w:val="000A5CDC"/>
    <w:rsid w:val="000B54D7"/>
    <w:rsid w:val="000D5029"/>
    <w:rsid w:val="000E2036"/>
    <w:rsid w:val="000F00E4"/>
    <w:rsid w:val="000F2ABF"/>
    <w:rsid w:val="000F54C9"/>
    <w:rsid w:val="000F5E72"/>
    <w:rsid w:val="00110674"/>
    <w:rsid w:val="00113D90"/>
    <w:rsid w:val="001156BA"/>
    <w:rsid w:val="0015111C"/>
    <w:rsid w:val="0015182D"/>
    <w:rsid w:val="00161847"/>
    <w:rsid w:val="00163B1B"/>
    <w:rsid w:val="00166830"/>
    <w:rsid w:val="00170CA7"/>
    <w:rsid w:val="001711C5"/>
    <w:rsid w:val="00194AE9"/>
    <w:rsid w:val="001A023F"/>
    <w:rsid w:val="001A3FAC"/>
    <w:rsid w:val="001A50D0"/>
    <w:rsid w:val="001A6472"/>
    <w:rsid w:val="001B46B0"/>
    <w:rsid w:val="001B4F11"/>
    <w:rsid w:val="001C0685"/>
    <w:rsid w:val="001C5538"/>
    <w:rsid w:val="001C6733"/>
    <w:rsid w:val="001D0EDE"/>
    <w:rsid w:val="001D20E2"/>
    <w:rsid w:val="001E38DE"/>
    <w:rsid w:val="001E3FB6"/>
    <w:rsid w:val="001F2C24"/>
    <w:rsid w:val="001F7B31"/>
    <w:rsid w:val="0020601F"/>
    <w:rsid w:val="00212DA5"/>
    <w:rsid w:val="0021347C"/>
    <w:rsid w:val="00223820"/>
    <w:rsid w:val="002323AC"/>
    <w:rsid w:val="002475C5"/>
    <w:rsid w:val="00253E80"/>
    <w:rsid w:val="00255C2E"/>
    <w:rsid w:val="00261404"/>
    <w:rsid w:val="00261C2A"/>
    <w:rsid w:val="00263C95"/>
    <w:rsid w:val="002673B0"/>
    <w:rsid w:val="002755CD"/>
    <w:rsid w:val="00275E2A"/>
    <w:rsid w:val="00296938"/>
    <w:rsid w:val="002A159B"/>
    <w:rsid w:val="002A202F"/>
    <w:rsid w:val="002A7758"/>
    <w:rsid w:val="002B19B4"/>
    <w:rsid w:val="002B3531"/>
    <w:rsid w:val="002B3F27"/>
    <w:rsid w:val="002D19EB"/>
    <w:rsid w:val="002E00AE"/>
    <w:rsid w:val="002F1BEC"/>
    <w:rsid w:val="002F4757"/>
    <w:rsid w:val="0030733F"/>
    <w:rsid w:val="00322199"/>
    <w:rsid w:val="003223C7"/>
    <w:rsid w:val="003252B8"/>
    <w:rsid w:val="00326555"/>
    <w:rsid w:val="0034046F"/>
    <w:rsid w:val="003410E0"/>
    <w:rsid w:val="00350EAD"/>
    <w:rsid w:val="003651DB"/>
    <w:rsid w:val="00370174"/>
    <w:rsid w:val="003715A0"/>
    <w:rsid w:val="0037171F"/>
    <w:rsid w:val="00376FD1"/>
    <w:rsid w:val="0039002C"/>
    <w:rsid w:val="00396086"/>
    <w:rsid w:val="003B44DB"/>
    <w:rsid w:val="003B4BC9"/>
    <w:rsid w:val="003B5F90"/>
    <w:rsid w:val="003B6298"/>
    <w:rsid w:val="003C009D"/>
    <w:rsid w:val="003E2EB1"/>
    <w:rsid w:val="003E3C16"/>
    <w:rsid w:val="003E6C75"/>
    <w:rsid w:val="00407D96"/>
    <w:rsid w:val="004305A9"/>
    <w:rsid w:val="00432495"/>
    <w:rsid w:val="00444DA7"/>
    <w:rsid w:val="004550F6"/>
    <w:rsid w:val="00457595"/>
    <w:rsid w:val="00457882"/>
    <w:rsid w:val="00463CC7"/>
    <w:rsid w:val="00466053"/>
    <w:rsid w:val="004809C4"/>
    <w:rsid w:val="004826EE"/>
    <w:rsid w:val="0048433C"/>
    <w:rsid w:val="004847B1"/>
    <w:rsid w:val="00485E07"/>
    <w:rsid w:val="0049545B"/>
    <w:rsid w:val="00496A8B"/>
    <w:rsid w:val="004B0378"/>
    <w:rsid w:val="004B364D"/>
    <w:rsid w:val="004B4CD7"/>
    <w:rsid w:val="004D3410"/>
    <w:rsid w:val="004D3BD0"/>
    <w:rsid w:val="004D45B1"/>
    <w:rsid w:val="004D68A7"/>
    <w:rsid w:val="004E29D1"/>
    <w:rsid w:val="00500566"/>
    <w:rsid w:val="005073A3"/>
    <w:rsid w:val="0052067D"/>
    <w:rsid w:val="005217B7"/>
    <w:rsid w:val="00523608"/>
    <w:rsid w:val="00525C0A"/>
    <w:rsid w:val="0053374C"/>
    <w:rsid w:val="00535608"/>
    <w:rsid w:val="005358AD"/>
    <w:rsid w:val="00556688"/>
    <w:rsid w:val="0056162B"/>
    <w:rsid w:val="0056707B"/>
    <w:rsid w:val="0058169D"/>
    <w:rsid w:val="00581A9D"/>
    <w:rsid w:val="00590D30"/>
    <w:rsid w:val="005A2503"/>
    <w:rsid w:val="005A4AF9"/>
    <w:rsid w:val="005B1E08"/>
    <w:rsid w:val="005B4F04"/>
    <w:rsid w:val="005B7CB9"/>
    <w:rsid w:val="005C1248"/>
    <w:rsid w:val="005C779B"/>
    <w:rsid w:val="005D0023"/>
    <w:rsid w:val="005D4349"/>
    <w:rsid w:val="005E21C4"/>
    <w:rsid w:val="005F4D59"/>
    <w:rsid w:val="0060001C"/>
    <w:rsid w:val="00600D31"/>
    <w:rsid w:val="0060786A"/>
    <w:rsid w:val="00620674"/>
    <w:rsid w:val="006237FE"/>
    <w:rsid w:val="00627AF7"/>
    <w:rsid w:val="00632540"/>
    <w:rsid w:val="00633F73"/>
    <w:rsid w:val="0063601A"/>
    <w:rsid w:val="00643667"/>
    <w:rsid w:val="0064513E"/>
    <w:rsid w:val="00645199"/>
    <w:rsid w:val="00645850"/>
    <w:rsid w:val="00652CA7"/>
    <w:rsid w:val="00661ECF"/>
    <w:rsid w:val="006767D7"/>
    <w:rsid w:val="00692071"/>
    <w:rsid w:val="00694B28"/>
    <w:rsid w:val="006A71C3"/>
    <w:rsid w:val="006C5349"/>
    <w:rsid w:val="006C5F2A"/>
    <w:rsid w:val="006C662C"/>
    <w:rsid w:val="006E0617"/>
    <w:rsid w:val="006E4D26"/>
    <w:rsid w:val="006F2AB4"/>
    <w:rsid w:val="006F4A5C"/>
    <w:rsid w:val="006F722E"/>
    <w:rsid w:val="00700E29"/>
    <w:rsid w:val="007102E8"/>
    <w:rsid w:val="00715F5C"/>
    <w:rsid w:val="007278C1"/>
    <w:rsid w:val="00733493"/>
    <w:rsid w:val="00737F1D"/>
    <w:rsid w:val="00742F41"/>
    <w:rsid w:val="0075375B"/>
    <w:rsid w:val="00765ACF"/>
    <w:rsid w:val="00782816"/>
    <w:rsid w:val="00785A46"/>
    <w:rsid w:val="007861E3"/>
    <w:rsid w:val="007940D6"/>
    <w:rsid w:val="00794AAF"/>
    <w:rsid w:val="007B1740"/>
    <w:rsid w:val="007C3ABC"/>
    <w:rsid w:val="007C61B5"/>
    <w:rsid w:val="007C7EDC"/>
    <w:rsid w:val="007D0A56"/>
    <w:rsid w:val="007D15F9"/>
    <w:rsid w:val="007D3889"/>
    <w:rsid w:val="007D39E4"/>
    <w:rsid w:val="007D43A7"/>
    <w:rsid w:val="007E12B9"/>
    <w:rsid w:val="007E1695"/>
    <w:rsid w:val="007F204C"/>
    <w:rsid w:val="007F4FA6"/>
    <w:rsid w:val="00804060"/>
    <w:rsid w:val="008166C9"/>
    <w:rsid w:val="008225FE"/>
    <w:rsid w:val="00824E43"/>
    <w:rsid w:val="00833D8C"/>
    <w:rsid w:val="00834C9A"/>
    <w:rsid w:val="00841E27"/>
    <w:rsid w:val="008420C5"/>
    <w:rsid w:val="0084708C"/>
    <w:rsid w:val="00850AD5"/>
    <w:rsid w:val="00852739"/>
    <w:rsid w:val="008629CC"/>
    <w:rsid w:val="00865B2C"/>
    <w:rsid w:val="00865EBB"/>
    <w:rsid w:val="00866E50"/>
    <w:rsid w:val="00871AB3"/>
    <w:rsid w:val="008748D7"/>
    <w:rsid w:val="00886C36"/>
    <w:rsid w:val="008A6AC8"/>
    <w:rsid w:val="008C4631"/>
    <w:rsid w:val="008C5591"/>
    <w:rsid w:val="008D04A6"/>
    <w:rsid w:val="008D4C1A"/>
    <w:rsid w:val="008F0867"/>
    <w:rsid w:val="008F167E"/>
    <w:rsid w:val="008F172F"/>
    <w:rsid w:val="008F2044"/>
    <w:rsid w:val="008F2BE1"/>
    <w:rsid w:val="008F4DD1"/>
    <w:rsid w:val="008F60E8"/>
    <w:rsid w:val="009050A3"/>
    <w:rsid w:val="009056DB"/>
    <w:rsid w:val="009201D2"/>
    <w:rsid w:val="00922014"/>
    <w:rsid w:val="009462AF"/>
    <w:rsid w:val="0094636C"/>
    <w:rsid w:val="00947592"/>
    <w:rsid w:val="00950280"/>
    <w:rsid w:val="00950A77"/>
    <w:rsid w:val="009535B1"/>
    <w:rsid w:val="00991693"/>
    <w:rsid w:val="00991A18"/>
    <w:rsid w:val="00994A16"/>
    <w:rsid w:val="00995857"/>
    <w:rsid w:val="00996CC9"/>
    <w:rsid w:val="009A30D3"/>
    <w:rsid w:val="009B2105"/>
    <w:rsid w:val="009D03A7"/>
    <w:rsid w:val="009E0479"/>
    <w:rsid w:val="009E28B7"/>
    <w:rsid w:val="009E2C70"/>
    <w:rsid w:val="009F05FE"/>
    <w:rsid w:val="009F4491"/>
    <w:rsid w:val="00A0102E"/>
    <w:rsid w:val="00A05607"/>
    <w:rsid w:val="00A05C6D"/>
    <w:rsid w:val="00A12960"/>
    <w:rsid w:val="00A1570D"/>
    <w:rsid w:val="00A22386"/>
    <w:rsid w:val="00A56B75"/>
    <w:rsid w:val="00A71C04"/>
    <w:rsid w:val="00AA0017"/>
    <w:rsid w:val="00AA17E9"/>
    <w:rsid w:val="00AA4BC5"/>
    <w:rsid w:val="00AB09B3"/>
    <w:rsid w:val="00AC02D1"/>
    <w:rsid w:val="00AF726E"/>
    <w:rsid w:val="00B047C9"/>
    <w:rsid w:val="00B06019"/>
    <w:rsid w:val="00B07409"/>
    <w:rsid w:val="00B1006E"/>
    <w:rsid w:val="00B1539A"/>
    <w:rsid w:val="00B178FB"/>
    <w:rsid w:val="00B5252A"/>
    <w:rsid w:val="00B63DB1"/>
    <w:rsid w:val="00B67138"/>
    <w:rsid w:val="00B6715C"/>
    <w:rsid w:val="00B81CFE"/>
    <w:rsid w:val="00B903AE"/>
    <w:rsid w:val="00B9157F"/>
    <w:rsid w:val="00B93B65"/>
    <w:rsid w:val="00B95225"/>
    <w:rsid w:val="00BA047A"/>
    <w:rsid w:val="00BA231E"/>
    <w:rsid w:val="00BA55D3"/>
    <w:rsid w:val="00BA6759"/>
    <w:rsid w:val="00BA7204"/>
    <w:rsid w:val="00BB0927"/>
    <w:rsid w:val="00BB2C8C"/>
    <w:rsid w:val="00BB62B5"/>
    <w:rsid w:val="00BC6826"/>
    <w:rsid w:val="00BD224D"/>
    <w:rsid w:val="00BF1421"/>
    <w:rsid w:val="00C01EA5"/>
    <w:rsid w:val="00C0295C"/>
    <w:rsid w:val="00C03C06"/>
    <w:rsid w:val="00C05C82"/>
    <w:rsid w:val="00C072AE"/>
    <w:rsid w:val="00C121EC"/>
    <w:rsid w:val="00C12C65"/>
    <w:rsid w:val="00C36E0A"/>
    <w:rsid w:val="00C445E2"/>
    <w:rsid w:val="00C47803"/>
    <w:rsid w:val="00C50383"/>
    <w:rsid w:val="00C515ED"/>
    <w:rsid w:val="00C525A5"/>
    <w:rsid w:val="00C556A2"/>
    <w:rsid w:val="00C5608D"/>
    <w:rsid w:val="00C57CB3"/>
    <w:rsid w:val="00C619B3"/>
    <w:rsid w:val="00C70F1B"/>
    <w:rsid w:val="00C7129D"/>
    <w:rsid w:val="00C748D1"/>
    <w:rsid w:val="00C831F5"/>
    <w:rsid w:val="00C85C79"/>
    <w:rsid w:val="00C91014"/>
    <w:rsid w:val="00C92BB8"/>
    <w:rsid w:val="00C95514"/>
    <w:rsid w:val="00CA15B7"/>
    <w:rsid w:val="00CA1CE9"/>
    <w:rsid w:val="00CB1A4E"/>
    <w:rsid w:val="00CC29F6"/>
    <w:rsid w:val="00CC72B8"/>
    <w:rsid w:val="00CD095E"/>
    <w:rsid w:val="00CD2287"/>
    <w:rsid w:val="00CD5BBB"/>
    <w:rsid w:val="00CE0685"/>
    <w:rsid w:val="00CF114C"/>
    <w:rsid w:val="00D061D1"/>
    <w:rsid w:val="00D33E71"/>
    <w:rsid w:val="00D37EA5"/>
    <w:rsid w:val="00D44943"/>
    <w:rsid w:val="00D46549"/>
    <w:rsid w:val="00D714F1"/>
    <w:rsid w:val="00D73628"/>
    <w:rsid w:val="00D73918"/>
    <w:rsid w:val="00D8485F"/>
    <w:rsid w:val="00D967D7"/>
    <w:rsid w:val="00DA125D"/>
    <w:rsid w:val="00DA1CA3"/>
    <w:rsid w:val="00DA3D1D"/>
    <w:rsid w:val="00DB19B9"/>
    <w:rsid w:val="00DB517B"/>
    <w:rsid w:val="00DC4BC2"/>
    <w:rsid w:val="00DC512B"/>
    <w:rsid w:val="00DD0BBB"/>
    <w:rsid w:val="00DE057D"/>
    <w:rsid w:val="00DE2F55"/>
    <w:rsid w:val="00DE4708"/>
    <w:rsid w:val="00E0020F"/>
    <w:rsid w:val="00E118C7"/>
    <w:rsid w:val="00E129A3"/>
    <w:rsid w:val="00E1356F"/>
    <w:rsid w:val="00E1427B"/>
    <w:rsid w:val="00E14E0D"/>
    <w:rsid w:val="00E2143C"/>
    <w:rsid w:val="00E22B8B"/>
    <w:rsid w:val="00E317D1"/>
    <w:rsid w:val="00E371F7"/>
    <w:rsid w:val="00E40DF0"/>
    <w:rsid w:val="00E4267B"/>
    <w:rsid w:val="00E4758C"/>
    <w:rsid w:val="00E47DAC"/>
    <w:rsid w:val="00E54452"/>
    <w:rsid w:val="00E63C8A"/>
    <w:rsid w:val="00E70BF6"/>
    <w:rsid w:val="00E711F3"/>
    <w:rsid w:val="00E80760"/>
    <w:rsid w:val="00E81626"/>
    <w:rsid w:val="00EA4296"/>
    <w:rsid w:val="00EA633A"/>
    <w:rsid w:val="00EB48D5"/>
    <w:rsid w:val="00EF571D"/>
    <w:rsid w:val="00F11C98"/>
    <w:rsid w:val="00F12E47"/>
    <w:rsid w:val="00F223B2"/>
    <w:rsid w:val="00F53241"/>
    <w:rsid w:val="00F53BBD"/>
    <w:rsid w:val="00F6622C"/>
    <w:rsid w:val="00F67790"/>
    <w:rsid w:val="00F90F68"/>
    <w:rsid w:val="00F913AD"/>
    <w:rsid w:val="00FA63AB"/>
    <w:rsid w:val="00FB1A1B"/>
    <w:rsid w:val="00FB2E63"/>
    <w:rsid w:val="00FB645B"/>
    <w:rsid w:val="00FC09D6"/>
    <w:rsid w:val="00FC34EC"/>
    <w:rsid w:val="00FC3F69"/>
    <w:rsid w:val="00FC5064"/>
    <w:rsid w:val="00FC5312"/>
    <w:rsid w:val="00FD3964"/>
    <w:rsid w:val="00FD515A"/>
    <w:rsid w:val="00FD5668"/>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1337D"/>
  <w15:docId w15:val="{E6AD5A47-8BE9-49DD-912D-4D4B1D8E6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036"/>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semiHidden/>
    <w:unhideWhenUsed/>
    <w:rsid w:val="00296938"/>
    <w:rPr>
      <w:sz w:val="20"/>
      <w:szCs w:val="20"/>
    </w:rPr>
  </w:style>
  <w:style w:type="character" w:customStyle="1" w:styleId="CommentTextChar">
    <w:name w:val="Comment Text Char"/>
    <w:basedOn w:val="DefaultParagraphFont"/>
    <w:link w:val="CommentText"/>
    <w:uiPriority w:val="99"/>
    <w:semiHidden/>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semiHidden/>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uiPriority w:val="99"/>
    <w:rsid w:val="001A50D0"/>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DC512B"/>
    <w:rPr>
      <w:sz w:val="20"/>
      <w:szCs w:val="20"/>
    </w:rPr>
  </w:style>
  <w:style w:type="character" w:customStyle="1" w:styleId="FootnoteTextChar">
    <w:name w:val="Footnote Text Char"/>
    <w:basedOn w:val="DefaultParagraphFont"/>
    <w:link w:val="FootnoteText"/>
    <w:uiPriority w:val="99"/>
    <w:semiHidden/>
    <w:rsid w:val="00DC512B"/>
    <w:rPr>
      <w:rFonts w:ascii="Calibri" w:eastAsia="Calibri" w:hAnsi="Calibri" w:cs="Times New Roman"/>
      <w:sz w:val="20"/>
      <w:szCs w:val="20"/>
      <w:lang w:val="en-US"/>
    </w:rPr>
  </w:style>
  <w:style w:type="character" w:styleId="FootnoteReference">
    <w:name w:val="footnote reference"/>
    <w:basedOn w:val="DefaultParagraphFont"/>
    <w:uiPriority w:val="99"/>
    <w:semiHidden/>
    <w:unhideWhenUsed/>
    <w:rsid w:val="00DC512B"/>
    <w:rPr>
      <w:vertAlign w:val="superscript"/>
    </w:rPr>
  </w:style>
  <w:style w:type="paragraph" w:customStyle="1" w:styleId="wyq110---naslov-clana">
    <w:name w:val="wyq110---naslov-clana"/>
    <w:basedOn w:val="Normal"/>
    <w:rsid w:val="00700E29"/>
    <w:pPr>
      <w:spacing w:before="100" w:beforeAutospacing="1" w:after="100" w:afterAutospacing="1"/>
      <w:jc w:val="left"/>
    </w:pPr>
    <w:rPr>
      <w:rFonts w:ascii="Times New Roman" w:eastAsia="Times New Roman" w:hAnsi="Times New Roman"/>
      <w:sz w:val="24"/>
      <w:szCs w:val="24"/>
    </w:rPr>
  </w:style>
  <w:style w:type="paragraph" w:customStyle="1" w:styleId="clan">
    <w:name w:val="clan"/>
    <w:basedOn w:val="Normal"/>
    <w:rsid w:val="00700E29"/>
    <w:pPr>
      <w:spacing w:before="100" w:beforeAutospacing="1" w:after="100" w:afterAutospacing="1"/>
      <w:jc w:val="left"/>
    </w:pPr>
    <w:rPr>
      <w:rFonts w:ascii="Times New Roman" w:eastAsia="Times New Roman" w:hAnsi="Times New Roman"/>
      <w:sz w:val="24"/>
      <w:szCs w:val="24"/>
    </w:rPr>
  </w:style>
  <w:style w:type="paragraph" w:customStyle="1" w:styleId="Normal1">
    <w:name w:val="Normal1"/>
    <w:basedOn w:val="Normal"/>
    <w:rsid w:val="00700E29"/>
    <w:pPr>
      <w:spacing w:before="100" w:beforeAutospacing="1" w:after="100" w:afterAutospacing="1"/>
      <w:jc w:val="left"/>
    </w:pPr>
    <w:rPr>
      <w:rFonts w:ascii="Times New Roman" w:eastAsia="Times New Roman" w:hAnsi="Times New Roman"/>
      <w:sz w:val="24"/>
      <w:szCs w:val="24"/>
    </w:rPr>
  </w:style>
  <w:style w:type="paragraph" w:customStyle="1" w:styleId="m-6717935112932934964m-5891534946457622112msonormal">
    <w:name w:val="m_-6717935112932934964m_-5891534946457622112msonormal"/>
    <w:basedOn w:val="Normal"/>
    <w:rsid w:val="00EF571D"/>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99856">
      <w:bodyDiv w:val="1"/>
      <w:marLeft w:val="0"/>
      <w:marRight w:val="0"/>
      <w:marTop w:val="0"/>
      <w:marBottom w:val="0"/>
      <w:divBdr>
        <w:top w:val="none" w:sz="0" w:space="0" w:color="auto"/>
        <w:left w:val="none" w:sz="0" w:space="0" w:color="auto"/>
        <w:bottom w:val="none" w:sz="0" w:space="0" w:color="auto"/>
        <w:right w:val="none" w:sz="0" w:space="0" w:color="auto"/>
      </w:divBdr>
    </w:div>
    <w:div w:id="96220417">
      <w:bodyDiv w:val="1"/>
      <w:marLeft w:val="0"/>
      <w:marRight w:val="0"/>
      <w:marTop w:val="0"/>
      <w:marBottom w:val="0"/>
      <w:divBdr>
        <w:top w:val="none" w:sz="0" w:space="0" w:color="auto"/>
        <w:left w:val="none" w:sz="0" w:space="0" w:color="auto"/>
        <w:bottom w:val="none" w:sz="0" w:space="0" w:color="auto"/>
        <w:right w:val="none" w:sz="0" w:space="0" w:color="auto"/>
      </w:divBdr>
    </w:div>
    <w:div w:id="151141739">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175965267">
      <w:bodyDiv w:val="1"/>
      <w:marLeft w:val="0"/>
      <w:marRight w:val="0"/>
      <w:marTop w:val="0"/>
      <w:marBottom w:val="0"/>
      <w:divBdr>
        <w:top w:val="none" w:sz="0" w:space="0" w:color="auto"/>
        <w:left w:val="none" w:sz="0" w:space="0" w:color="auto"/>
        <w:bottom w:val="none" w:sz="0" w:space="0" w:color="auto"/>
        <w:right w:val="none" w:sz="0" w:space="0" w:color="auto"/>
      </w:divBdr>
    </w:div>
    <w:div w:id="308215998">
      <w:bodyDiv w:val="1"/>
      <w:marLeft w:val="0"/>
      <w:marRight w:val="0"/>
      <w:marTop w:val="0"/>
      <w:marBottom w:val="0"/>
      <w:divBdr>
        <w:top w:val="none" w:sz="0" w:space="0" w:color="auto"/>
        <w:left w:val="none" w:sz="0" w:space="0" w:color="auto"/>
        <w:bottom w:val="none" w:sz="0" w:space="0" w:color="auto"/>
        <w:right w:val="none" w:sz="0" w:space="0" w:color="auto"/>
      </w:divBdr>
    </w:div>
    <w:div w:id="384257876">
      <w:bodyDiv w:val="1"/>
      <w:marLeft w:val="0"/>
      <w:marRight w:val="0"/>
      <w:marTop w:val="0"/>
      <w:marBottom w:val="0"/>
      <w:divBdr>
        <w:top w:val="none" w:sz="0" w:space="0" w:color="auto"/>
        <w:left w:val="none" w:sz="0" w:space="0" w:color="auto"/>
        <w:bottom w:val="none" w:sz="0" w:space="0" w:color="auto"/>
        <w:right w:val="none" w:sz="0" w:space="0" w:color="auto"/>
      </w:divBdr>
    </w:div>
    <w:div w:id="384841782">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494029788">
      <w:bodyDiv w:val="1"/>
      <w:marLeft w:val="0"/>
      <w:marRight w:val="0"/>
      <w:marTop w:val="0"/>
      <w:marBottom w:val="0"/>
      <w:divBdr>
        <w:top w:val="none" w:sz="0" w:space="0" w:color="auto"/>
        <w:left w:val="none" w:sz="0" w:space="0" w:color="auto"/>
        <w:bottom w:val="none" w:sz="0" w:space="0" w:color="auto"/>
        <w:right w:val="none" w:sz="0" w:space="0" w:color="auto"/>
      </w:divBdr>
    </w:div>
    <w:div w:id="496961057">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28297784">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554435135">
      <w:bodyDiv w:val="1"/>
      <w:marLeft w:val="0"/>
      <w:marRight w:val="0"/>
      <w:marTop w:val="0"/>
      <w:marBottom w:val="0"/>
      <w:divBdr>
        <w:top w:val="none" w:sz="0" w:space="0" w:color="auto"/>
        <w:left w:val="none" w:sz="0" w:space="0" w:color="auto"/>
        <w:bottom w:val="none" w:sz="0" w:space="0" w:color="auto"/>
        <w:right w:val="none" w:sz="0" w:space="0" w:color="auto"/>
      </w:divBdr>
    </w:div>
    <w:div w:id="701513982">
      <w:bodyDiv w:val="1"/>
      <w:marLeft w:val="0"/>
      <w:marRight w:val="0"/>
      <w:marTop w:val="0"/>
      <w:marBottom w:val="0"/>
      <w:divBdr>
        <w:top w:val="none" w:sz="0" w:space="0" w:color="auto"/>
        <w:left w:val="none" w:sz="0" w:space="0" w:color="auto"/>
        <w:bottom w:val="none" w:sz="0" w:space="0" w:color="auto"/>
        <w:right w:val="none" w:sz="0" w:space="0" w:color="auto"/>
      </w:divBdr>
    </w:div>
    <w:div w:id="703288051">
      <w:bodyDiv w:val="1"/>
      <w:marLeft w:val="0"/>
      <w:marRight w:val="0"/>
      <w:marTop w:val="0"/>
      <w:marBottom w:val="0"/>
      <w:divBdr>
        <w:top w:val="none" w:sz="0" w:space="0" w:color="auto"/>
        <w:left w:val="none" w:sz="0" w:space="0" w:color="auto"/>
        <w:bottom w:val="none" w:sz="0" w:space="0" w:color="auto"/>
        <w:right w:val="none" w:sz="0" w:space="0" w:color="auto"/>
      </w:divBdr>
    </w:div>
    <w:div w:id="704448716">
      <w:bodyDiv w:val="1"/>
      <w:marLeft w:val="0"/>
      <w:marRight w:val="0"/>
      <w:marTop w:val="0"/>
      <w:marBottom w:val="0"/>
      <w:divBdr>
        <w:top w:val="none" w:sz="0" w:space="0" w:color="auto"/>
        <w:left w:val="none" w:sz="0" w:space="0" w:color="auto"/>
        <w:bottom w:val="none" w:sz="0" w:space="0" w:color="auto"/>
        <w:right w:val="none" w:sz="0" w:space="0" w:color="auto"/>
      </w:divBdr>
    </w:div>
    <w:div w:id="725642796">
      <w:bodyDiv w:val="1"/>
      <w:marLeft w:val="0"/>
      <w:marRight w:val="0"/>
      <w:marTop w:val="0"/>
      <w:marBottom w:val="0"/>
      <w:divBdr>
        <w:top w:val="none" w:sz="0" w:space="0" w:color="auto"/>
        <w:left w:val="none" w:sz="0" w:space="0" w:color="auto"/>
        <w:bottom w:val="none" w:sz="0" w:space="0" w:color="auto"/>
        <w:right w:val="none" w:sz="0" w:space="0" w:color="auto"/>
      </w:divBdr>
    </w:div>
    <w:div w:id="762653877">
      <w:bodyDiv w:val="1"/>
      <w:marLeft w:val="0"/>
      <w:marRight w:val="0"/>
      <w:marTop w:val="0"/>
      <w:marBottom w:val="0"/>
      <w:divBdr>
        <w:top w:val="none" w:sz="0" w:space="0" w:color="auto"/>
        <w:left w:val="none" w:sz="0" w:space="0" w:color="auto"/>
        <w:bottom w:val="none" w:sz="0" w:space="0" w:color="auto"/>
        <w:right w:val="none" w:sz="0" w:space="0" w:color="auto"/>
      </w:divBdr>
    </w:div>
    <w:div w:id="764883922">
      <w:bodyDiv w:val="1"/>
      <w:marLeft w:val="0"/>
      <w:marRight w:val="0"/>
      <w:marTop w:val="0"/>
      <w:marBottom w:val="0"/>
      <w:divBdr>
        <w:top w:val="none" w:sz="0" w:space="0" w:color="auto"/>
        <w:left w:val="none" w:sz="0" w:space="0" w:color="auto"/>
        <w:bottom w:val="none" w:sz="0" w:space="0" w:color="auto"/>
        <w:right w:val="none" w:sz="0" w:space="0" w:color="auto"/>
      </w:divBdr>
    </w:div>
    <w:div w:id="924799068">
      <w:bodyDiv w:val="1"/>
      <w:marLeft w:val="0"/>
      <w:marRight w:val="0"/>
      <w:marTop w:val="0"/>
      <w:marBottom w:val="0"/>
      <w:divBdr>
        <w:top w:val="none" w:sz="0" w:space="0" w:color="auto"/>
        <w:left w:val="none" w:sz="0" w:space="0" w:color="auto"/>
        <w:bottom w:val="none" w:sz="0" w:space="0" w:color="auto"/>
        <w:right w:val="none" w:sz="0" w:space="0" w:color="auto"/>
      </w:divBdr>
    </w:div>
    <w:div w:id="927275693">
      <w:bodyDiv w:val="1"/>
      <w:marLeft w:val="0"/>
      <w:marRight w:val="0"/>
      <w:marTop w:val="0"/>
      <w:marBottom w:val="0"/>
      <w:divBdr>
        <w:top w:val="none" w:sz="0" w:space="0" w:color="auto"/>
        <w:left w:val="none" w:sz="0" w:space="0" w:color="auto"/>
        <w:bottom w:val="none" w:sz="0" w:space="0" w:color="auto"/>
        <w:right w:val="none" w:sz="0" w:space="0" w:color="auto"/>
      </w:divBdr>
    </w:div>
    <w:div w:id="1075930396">
      <w:bodyDiv w:val="1"/>
      <w:marLeft w:val="0"/>
      <w:marRight w:val="0"/>
      <w:marTop w:val="0"/>
      <w:marBottom w:val="0"/>
      <w:divBdr>
        <w:top w:val="none" w:sz="0" w:space="0" w:color="auto"/>
        <w:left w:val="none" w:sz="0" w:space="0" w:color="auto"/>
        <w:bottom w:val="none" w:sz="0" w:space="0" w:color="auto"/>
        <w:right w:val="none" w:sz="0" w:space="0" w:color="auto"/>
      </w:divBdr>
    </w:div>
    <w:div w:id="1140999595">
      <w:bodyDiv w:val="1"/>
      <w:marLeft w:val="0"/>
      <w:marRight w:val="0"/>
      <w:marTop w:val="0"/>
      <w:marBottom w:val="0"/>
      <w:divBdr>
        <w:top w:val="none" w:sz="0" w:space="0" w:color="auto"/>
        <w:left w:val="none" w:sz="0" w:space="0" w:color="auto"/>
        <w:bottom w:val="none" w:sz="0" w:space="0" w:color="auto"/>
        <w:right w:val="none" w:sz="0" w:space="0" w:color="auto"/>
      </w:divBdr>
    </w:div>
    <w:div w:id="1248345837">
      <w:bodyDiv w:val="1"/>
      <w:marLeft w:val="0"/>
      <w:marRight w:val="0"/>
      <w:marTop w:val="0"/>
      <w:marBottom w:val="0"/>
      <w:divBdr>
        <w:top w:val="none" w:sz="0" w:space="0" w:color="auto"/>
        <w:left w:val="none" w:sz="0" w:space="0" w:color="auto"/>
        <w:bottom w:val="none" w:sz="0" w:space="0" w:color="auto"/>
        <w:right w:val="none" w:sz="0" w:space="0" w:color="auto"/>
      </w:divBdr>
    </w:div>
    <w:div w:id="127887739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95100494">
      <w:bodyDiv w:val="1"/>
      <w:marLeft w:val="0"/>
      <w:marRight w:val="0"/>
      <w:marTop w:val="0"/>
      <w:marBottom w:val="0"/>
      <w:divBdr>
        <w:top w:val="none" w:sz="0" w:space="0" w:color="auto"/>
        <w:left w:val="none" w:sz="0" w:space="0" w:color="auto"/>
        <w:bottom w:val="none" w:sz="0" w:space="0" w:color="auto"/>
        <w:right w:val="none" w:sz="0" w:space="0" w:color="auto"/>
      </w:divBdr>
    </w:div>
    <w:div w:id="1567376212">
      <w:bodyDiv w:val="1"/>
      <w:marLeft w:val="0"/>
      <w:marRight w:val="0"/>
      <w:marTop w:val="0"/>
      <w:marBottom w:val="0"/>
      <w:divBdr>
        <w:top w:val="none" w:sz="0" w:space="0" w:color="auto"/>
        <w:left w:val="none" w:sz="0" w:space="0" w:color="auto"/>
        <w:bottom w:val="none" w:sz="0" w:space="0" w:color="auto"/>
        <w:right w:val="none" w:sz="0" w:space="0" w:color="auto"/>
      </w:divBdr>
    </w:div>
    <w:div w:id="1851723809">
      <w:bodyDiv w:val="1"/>
      <w:marLeft w:val="0"/>
      <w:marRight w:val="0"/>
      <w:marTop w:val="0"/>
      <w:marBottom w:val="0"/>
      <w:divBdr>
        <w:top w:val="none" w:sz="0" w:space="0" w:color="auto"/>
        <w:left w:val="none" w:sz="0" w:space="0" w:color="auto"/>
        <w:bottom w:val="none" w:sz="0" w:space="0" w:color="auto"/>
        <w:right w:val="none" w:sz="0" w:space="0" w:color="auto"/>
      </w:divBdr>
    </w:div>
    <w:div w:id="2016220828">
      <w:bodyDiv w:val="1"/>
      <w:marLeft w:val="0"/>
      <w:marRight w:val="0"/>
      <w:marTop w:val="0"/>
      <w:marBottom w:val="0"/>
      <w:divBdr>
        <w:top w:val="none" w:sz="0" w:space="0" w:color="auto"/>
        <w:left w:val="none" w:sz="0" w:space="0" w:color="auto"/>
        <w:bottom w:val="none" w:sz="0" w:space="0" w:color="auto"/>
        <w:right w:val="none" w:sz="0" w:space="0" w:color="auto"/>
      </w:divBdr>
    </w:div>
    <w:div w:id="2075354536">
      <w:bodyDiv w:val="1"/>
      <w:marLeft w:val="0"/>
      <w:marRight w:val="0"/>
      <w:marTop w:val="0"/>
      <w:marBottom w:val="0"/>
      <w:divBdr>
        <w:top w:val="none" w:sz="0" w:space="0" w:color="auto"/>
        <w:left w:val="none" w:sz="0" w:space="0" w:color="auto"/>
        <w:bottom w:val="none" w:sz="0" w:space="0" w:color="auto"/>
        <w:right w:val="none" w:sz="0" w:space="0" w:color="auto"/>
      </w:divBdr>
    </w:div>
    <w:div w:id="210600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48B37-D85E-4AB8-8621-1C403387E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1978</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Aleksandra Đurđevic</cp:lastModifiedBy>
  <cp:revision>5</cp:revision>
  <cp:lastPrinted>2018-09-05T12:48:00Z</cp:lastPrinted>
  <dcterms:created xsi:type="dcterms:W3CDTF">2019-05-23T09:24:00Z</dcterms:created>
  <dcterms:modified xsi:type="dcterms:W3CDTF">2019-07-16T12:29:00Z</dcterms:modified>
</cp:coreProperties>
</file>