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FEDC8" w14:textId="77777777" w:rsidR="0002288F" w:rsidRPr="006A0D4B" w:rsidRDefault="0002288F" w:rsidP="0021261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</w:rPr>
      </w:pPr>
    </w:p>
    <w:p w14:paraId="04CEF0C6" w14:textId="4AE967A7" w:rsidR="000E2036" w:rsidRPr="006A0D4B" w:rsidRDefault="00D23211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6A0D4B">
        <w:rPr>
          <w:b/>
          <w:sz w:val="22"/>
          <w:szCs w:val="22"/>
          <w:lang w:val="sr-Cyrl-RS"/>
        </w:rPr>
        <w:t>ПОЈЕДНОСТАВЉЕЊЕ ПОСТУПКА ИЗДАВАЊА ОДОБРЕЊА ЗА ИЗВОЂЕЊЕ ПОСЕБНЕ ОБУКЕ ЗА ЛИЦА КОЈА РАДЕ НА ПОСЛОВИМА ЗАШТИТЕ ОД ПОЖАРА</w:t>
      </w:r>
    </w:p>
    <w:p w14:paraId="2986C640" w14:textId="77777777" w:rsidR="0021261F" w:rsidRPr="006A0D4B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6A0D4B" w14:paraId="1976FB87" w14:textId="77777777" w:rsidTr="00BA0E05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6A0D4B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7EC5DF68" w:rsidR="000E2036" w:rsidRPr="006A0D4B" w:rsidRDefault="00BA0E05" w:rsidP="00BA0E05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Одобрење за извођење посебне обуке за лица која раде на пословима заштите од пожара</w:t>
            </w:r>
          </w:p>
        </w:tc>
      </w:tr>
      <w:tr w:rsidR="000E2036" w:rsidRPr="006A0D4B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6A0D4B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359DE689" w:rsidR="000E2036" w:rsidRPr="006A0D4B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BA0E05" w:rsidRPr="006A0D4B">
              <w:rPr>
                <w:bCs/>
                <w:color w:val="000000" w:themeColor="text1"/>
                <w:sz w:val="22"/>
                <w:szCs w:val="22"/>
                <w:lang w:val="sr-Cyrl-RS"/>
              </w:rPr>
              <w:t>87</w:t>
            </w:r>
          </w:p>
        </w:tc>
      </w:tr>
      <w:tr w:rsidR="00275E2A" w:rsidRPr="006A0D4B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6A0D4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A0D4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6A0D4B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6A0D4B" w14:paraId="10DA1CD3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6A0D4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A0D4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A0D4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</w:tcPr>
          <w:p w14:paraId="1516765A" w14:textId="60442272" w:rsidR="00BA0E05" w:rsidRPr="006A0D4B" w:rsidRDefault="00DA68A8" w:rsidP="00BA0E0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од пожара </w:t>
            </w:r>
            <w:r w:rsidR="0094340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111/2009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94340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20/2015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7D6428ED" w14:textId="76BF104D" w:rsidR="00645199" w:rsidRPr="006A0D4B" w:rsidRDefault="00BA0E05" w:rsidP="00BA0E0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које морају испуњавати правна лица регистрована за извођење посебне обуке за лица која раде на пословима заштите од пожара </w:t>
            </w:r>
            <w:r w:rsidR="0094340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 92/2010, 86/2011</w:t>
            </w:r>
            <w:r w:rsidRPr="006A0D4B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CCB5DCC" w14:textId="0111B102" w:rsidR="00BA0E05" w:rsidRPr="006A0D4B" w:rsidRDefault="00BA0E05" w:rsidP="00BA0E0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посебној обуци и полагању стручног испита из области заштите од пожара </w:t>
            </w:r>
            <w:r w:rsidR="0094340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бр. 92/2010, 11/2011)</w:t>
            </w:r>
          </w:p>
        </w:tc>
      </w:tr>
      <w:tr w:rsidR="00D73918" w:rsidRPr="006A0D4B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6A0D4B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A0D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A0D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A0D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A0D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A0D4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D516611" w:rsidR="00D73918" w:rsidRPr="006A0D4B" w:rsidRDefault="0011271F" w:rsidP="00943408">
            <w:pPr>
              <w:pStyle w:val="ListParagraph"/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условима које морају испуњавати правна лица регистрована за извођење посебне обуке за лица која раде на пословима заштите од пожара </w:t>
            </w:r>
            <w:r w:rsidR="0094340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 92/2010, 86/2011</w:t>
            </w:r>
            <w:r w:rsidRPr="006A0D4B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</w:tr>
      <w:tr w:rsidR="00275E2A" w:rsidRPr="006A0D4B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6A0D4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A0D4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7ABEFCBD" w:rsidR="00F74844" w:rsidRPr="006A0D4B" w:rsidRDefault="00D266B3" w:rsidP="00D266B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C12CF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6A0D4B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A0D4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A0D4B" w14:paraId="4635A4BE" w14:textId="77777777" w:rsidTr="00275E2A">
        <w:tc>
          <w:tcPr>
            <w:tcW w:w="9062" w:type="dxa"/>
            <w:gridSpan w:val="2"/>
          </w:tcPr>
          <w:p w14:paraId="724839A9" w14:textId="514EFEA6" w:rsidR="0009542A" w:rsidRPr="006A0D4B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непотребно бројна документација</w:t>
            </w:r>
            <w:r w:rsidRPr="006A0D4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дужности. </w:t>
            </w:r>
            <w:r w:rsidR="000B60B4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поступку се примењује рок </w:t>
            </w:r>
            <w:r w:rsidR="004A1A6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решавање </w:t>
            </w:r>
            <w:r w:rsidR="000B60B4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прописан општим прописом</w:t>
            </w:r>
            <w:r w:rsidR="004A1A6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, који је дужи од реално потребних рокова.</w:t>
            </w:r>
            <w:r w:rsidR="00E65C93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5CDFA739" w14:textId="77777777" w:rsidR="00A25EC8" w:rsidRPr="006A0D4B" w:rsidRDefault="00A25EC8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Поступак, начин утврђивања испуњености услова и документација која се доставља, нису прописани довољно јасно и прецизно.</w:t>
            </w:r>
          </w:p>
          <w:p w14:paraId="4BCB02C2" w14:textId="475682AB" w:rsidR="00DA68A8" w:rsidRPr="006A0D4B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E65C93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6A0D4B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6A0D4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6A0D4B" w14:paraId="7C9122B7" w14:textId="77777777" w:rsidTr="0099243A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6A0D4B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6A0D4B" w14:paraId="158799B9" w14:textId="77777777" w:rsidTr="00B252C9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6A0D4B" w14:paraId="7D283877" w14:textId="77777777" w:rsidTr="00B252C9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6A0D4B" w14:paraId="02758F13" w14:textId="77777777" w:rsidTr="00B252C9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6A0D4B" w14:paraId="68A83625" w14:textId="77777777" w:rsidTr="00B252C9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5C893" w14:textId="77777777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Утврђивање правног  основа и потребне документације </w:t>
                  </w:r>
                  <w:r w:rsidRPr="006A0D4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8C7D1A" w14:textId="77777777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6A0D4B" w14:paraId="7B233646" w14:textId="77777777" w:rsidTr="00B252C9">
              <w:trPr>
                <w:trHeight w:val="552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C345C" w14:textId="77777777" w:rsidR="00DA68A8" w:rsidRPr="006A0D4B" w:rsidRDefault="00DA68A8" w:rsidP="00DA68A8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6A0D4B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Прописивање начина провере испуњености услова и потребне документације</w:t>
                  </w:r>
                </w:p>
                <w:p w14:paraId="18321245" w14:textId="54748416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F398F6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0028A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E3490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1</w:t>
                  </w:r>
                </w:p>
              </w:tc>
            </w:tr>
            <w:tr w:rsidR="00CD47EC" w:rsidRPr="006A0D4B" w14:paraId="155282AD" w14:textId="77777777" w:rsidTr="00B252C9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6A0D4B" w14:paraId="044CEA79" w14:textId="77777777" w:rsidTr="00B252C9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77777777" w:rsidR="00CD47EC" w:rsidRPr="006A0D4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6A0D4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524A51" w:rsidRPr="006A0D4B" w14:paraId="71D16043" w14:textId="77777777" w:rsidTr="00524A51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74594F" w14:textId="0866E4DA" w:rsidR="00524A51" w:rsidRPr="006A0D4B" w:rsidRDefault="00524A51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55CE20" w14:textId="77777777" w:rsidR="00524A51" w:rsidRPr="006A0D4B" w:rsidRDefault="00524A51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0916D2" w:rsidRPr="006A0D4B" w14:paraId="3328F72C" w14:textId="77777777" w:rsidTr="00B252C9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D9C779" w14:textId="0BF2DA5F" w:rsidR="000916D2" w:rsidRPr="006A0D4B" w:rsidRDefault="000916D2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</w:t>
                  </w:r>
                  <w:r w:rsidR="001C3429" w:rsidRPr="006A0D4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C65C14" w14:textId="77777777" w:rsidR="000916D2" w:rsidRPr="006A0D4B" w:rsidRDefault="000916D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C72D0E" w14:textId="1D0F9C5A" w:rsidR="000916D2" w:rsidRPr="006A0D4B" w:rsidRDefault="000916D2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1837FE" w14:textId="77777777" w:rsidR="000916D2" w:rsidRPr="006A0D4B" w:rsidRDefault="000916D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524A51" w:rsidRPr="006A0D4B" w14:paraId="74A258BB" w14:textId="77777777" w:rsidTr="00B252C9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28E1E6" w14:textId="7ECA0819" w:rsidR="00524A51" w:rsidRPr="006A0D4B" w:rsidRDefault="00524A51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1C3429" w:rsidRPr="006A0D4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6F1F2D" w14:textId="77777777" w:rsidR="00524A51" w:rsidRPr="006A0D4B" w:rsidRDefault="00524A51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0BED65" w14:textId="2577A009" w:rsidR="00524A51" w:rsidRPr="006A0D4B" w:rsidRDefault="00524A51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9F12D5" w14:textId="77777777" w:rsidR="00524A51" w:rsidRPr="006A0D4B" w:rsidRDefault="00524A51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252C9" w:rsidRPr="006A0D4B" w14:paraId="346A96EA" w14:textId="77777777" w:rsidTr="00B252C9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CBD2B7" w14:textId="078ABD7C" w:rsidR="00B252C9" w:rsidRPr="006A0D4B" w:rsidRDefault="00B252C9" w:rsidP="00B252C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5F7725" w14:textId="7093E635" w:rsidR="00B252C9" w:rsidRPr="006A0D4B" w:rsidRDefault="00B252C9" w:rsidP="00B252C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B252C9" w:rsidRPr="006A0D4B" w14:paraId="10C88C5C" w14:textId="77777777" w:rsidTr="00B252C9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82C6BFE" w14:textId="7D94C952" w:rsidR="00B252C9" w:rsidRPr="006A0D4B" w:rsidRDefault="00B252C9" w:rsidP="00B252C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Прописивање рока посебним прописом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37D912" w14:textId="38BEA7AC" w:rsidR="00B252C9" w:rsidRPr="006A0D4B" w:rsidRDefault="00B252C9" w:rsidP="00B252C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8F73AA" w14:textId="0533348D" w:rsidR="00B252C9" w:rsidRPr="006A0D4B" w:rsidRDefault="00B252C9" w:rsidP="00B252C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4F85C" w14:textId="1873A824" w:rsidR="00B252C9" w:rsidRPr="006A0D4B" w:rsidRDefault="00B252C9" w:rsidP="00B252C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1 </w:t>
                  </w:r>
                </w:p>
              </w:tc>
            </w:tr>
            <w:tr w:rsidR="00B252C9" w:rsidRPr="006A0D4B" w14:paraId="1DF823A6" w14:textId="77777777" w:rsidTr="000916D2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953C94" w14:textId="1634698D" w:rsidR="00B252C9" w:rsidRPr="006A0D4B" w:rsidRDefault="00480538" w:rsidP="00480538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6A0D4B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41ECC7" w14:textId="199E56AB" w:rsidR="00B252C9" w:rsidRPr="006A0D4B" w:rsidRDefault="00B252C9" w:rsidP="00B252C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25879B" w14:textId="4018E5CB" w:rsidR="00B252C9" w:rsidRPr="006A0D4B" w:rsidRDefault="00480538" w:rsidP="00B252C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6A0D4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CFFBB5" w14:textId="37DAB381" w:rsidR="00B252C9" w:rsidRPr="006A0D4B" w:rsidRDefault="00B252C9" w:rsidP="00B252C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</w:p>
              </w:tc>
            </w:tr>
          </w:tbl>
          <w:p w14:paraId="3F18BA1A" w14:textId="77777777" w:rsidR="007D39E4" w:rsidRPr="006A0D4B" w:rsidRDefault="007D39E4" w:rsidP="00B67138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2A845F9" w14:textId="48C65F53" w:rsidR="007D39E4" w:rsidRPr="006A0D4B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6A0D4B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6A0D4B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6A0D4B" w14:paraId="72ECB386" w14:textId="77777777" w:rsidTr="0099243A">
        <w:tc>
          <w:tcPr>
            <w:tcW w:w="9062" w:type="dxa"/>
          </w:tcPr>
          <w:p w14:paraId="6EA563D4" w14:textId="723687CD" w:rsidR="00F74844" w:rsidRPr="006A0D4B" w:rsidRDefault="00F74844" w:rsidP="00F7484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3D1F8B05" w14:textId="042FD86D" w:rsidR="00833F48" w:rsidRPr="006A0D4B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6A0D4B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979780F" w14:textId="43E65D1F" w:rsidR="000476F6" w:rsidRPr="006A0D4B" w:rsidRDefault="000476F6" w:rsidP="000476F6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Документ 4: Доказ о праву на коришћење пословног простора (Власнички лист, Уговор о купопродаји или Уговор о закупу)</w:t>
            </w:r>
          </w:p>
          <w:p w14:paraId="778F586F" w14:textId="50E0A9EE" w:rsidR="00B863B9" w:rsidRPr="006A0D4B" w:rsidRDefault="00B863B9" w:rsidP="00B863B9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Документ 5: Докази о власништву или у закупу полигона, односно у трајном коришћењу обезбеђеном по другом основу који је, у зависности од врсте обуке за коју се користи, опремљен за извођење практичне наставе</w:t>
            </w:r>
          </w:p>
          <w:p w14:paraId="73FFC810" w14:textId="3FDE3CE1" w:rsidR="000476F6" w:rsidRPr="006A0D4B" w:rsidRDefault="000476F6" w:rsidP="000476F6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Предлаже се да</w:t>
            </w:r>
            <w:r w:rsidR="00B863B9"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, у случају књижног власништва,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надлежан орган прибави потребне податке путем информационог система еЗУП на порталу е-Управа, из регистра непокретности Републичког геодетског завода</w:t>
            </w:r>
            <w:r w:rsidR="00B863B9" w:rsidRPr="006A0D4B">
              <w:rPr>
                <w:rStyle w:val="FootnoteReference"/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footnoteReference w:id="1"/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36AB0E3E" w14:textId="7505AF9B" w:rsidR="000476F6" w:rsidRPr="006A0D4B" w:rsidRDefault="000476F6" w:rsidP="000476F6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Како би се ово омогућило, у обрасцу захтева је потребно од подносиоца захтева затражити неопходне информације о власнику </w:t>
            </w:r>
            <w:r w:rsidR="00B863B9"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укњиженог 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простора</w:t>
            </w:r>
            <w:r w:rsidR="00B863B9"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/полигона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бр. катастарске парцеле и катастарској општини. </w:t>
            </w:r>
          </w:p>
          <w:p w14:paraId="416678B4" w14:textId="2800A685" w:rsidR="00B863B9" w:rsidRPr="006A0D4B" w:rsidRDefault="00B863B9" w:rsidP="00B863B9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Документ 7: Докази о потребном броју наставног и стручног особља одговарајућег нивоа из одговарајућег образовно-научног поља и одговарајуће стручне области – неопходних за извођење теоретске и практичне наставе (дипломе и Уверења о положеним стручним испитима)</w:t>
            </w:r>
          </w:p>
          <w:p w14:paraId="0CED5A0C" w14:textId="3DCC4B96" w:rsidR="00B863B9" w:rsidRPr="006A0D4B" w:rsidRDefault="00B863B9" w:rsidP="00B863B9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обзиром да Уверење о положеном стручном испиту издаје Министарство унутрашњих послова, потребно је обавити увид у интерне евиденције Министарства/прибавити податак од Сектора за ванредне ситуације. </w:t>
            </w:r>
          </w:p>
          <w:p w14:paraId="08A44159" w14:textId="591B3AA0" w:rsidR="00B863B9" w:rsidRPr="006A0D4B" w:rsidRDefault="00B863B9" w:rsidP="00B863B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од подносиоца неопходне информације о лицима, за које је потребно утврдити ову чињеницу (име и презиме</w:t>
            </w:r>
            <w:r w:rsidR="007B60C1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лица са положеним стручним испитом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, број уверења).</w:t>
            </w:r>
          </w:p>
          <w:p w14:paraId="5B4E20E3" w14:textId="28AA9A32" w:rsidR="000476F6" w:rsidRPr="006A0D4B" w:rsidRDefault="00804079" w:rsidP="000476F6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6A0D4B">
              <w:rPr>
                <w:rFonts w:eastAsia="Calibri"/>
                <w:b/>
                <w:sz w:val="22"/>
                <w:szCs w:val="22"/>
                <w:lang w:val="sr-Cyrl-RS"/>
              </w:rPr>
              <w:t>З</w:t>
            </w:r>
            <w:r w:rsidR="000476F6" w:rsidRPr="006A0D4B">
              <w:rPr>
                <w:rFonts w:eastAsia="Calibri"/>
                <w:b/>
                <w:sz w:val="22"/>
                <w:szCs w:val="22"/>
                <w:lang w:val="sr-Cyrl-RS"/>
              </w:rPr>
              <w:t xml:space="preserve">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="000476F6" w:rsidRPr="006A0D4B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04103B50" w14:textId="77777777" w:rsidR="001C3429" w:rsidRPr="006A0D4B" w:rsidRDefault="001C3429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A0D4B">
              <w:rPr>
                <w:b/>
                <w:bCs/>
                <w:color w:val="000000"/>
                <w:sz w:val="22"/>
                <w:szCs w:val="22"/>
                <w:u w:val="single"/>
                <w:lang w:val="sr-Cyrl-RS" w:eastAsia="en-GB"/>
              </w:rPr>
              <w:t xml:space="preserve">Утврђивање правног  основа и потребне документације </w:t>
            </w:r>
            <w:r w:rsidRPr="006A0D4B">
              <w:rPr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 xml:space="preserve"> </w:t>
            </w:r>
          </w:p>
          <w:p w14:paraId="65571C04" w14:textId="77777777" w:rsidR="001C3429" w:rsidRPr="006A0D4B" w:rsidRDefault="001C3429" w:rsidP="001C3429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5999380A" w14:textId="7DC01B44" w:rsidR="00833F48" w:rsidRPr="006A0D4B" w:rsidRDefault="00833F48" w:rsidP="001C3429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Прописивање </w:t>
            </w:r>
            <w:r w:rsidR="00DA68A8"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начина провере испуњености услова и</w:t>
            </w:r>
            <w:r w:rsidR="00DA68A8" w:rsidRPr="006A0D4B"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потребне документације</w:t>
            </w:r>
          </w:p>
          <w:p w14:paraId="528BE578" w14:textId="2B034CD7" w:rsidR="00833F48" w:rsidRPr="006A0D4B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предлаже се прописавање начина провере испуњености услова и потребне документације, која се доставља приликом подношења захтева.</w:t>
            </w:r>
          </w:p>
          <w:p w14:paraId="7E4F058A" w14:textId="77777777" w:rsidR="00833F48" w:rsidRPr="006A0D4B" w:rsidRDefault="00833F48" w:rsidP="00CC48FF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Потребно је подзаконским актом прецизирати да:</w:t>
            </w:r>
          </w:p>
          <w:p w14:paraId="45A78BFB" w14:textId="1C1289A1" w:rsidR="0081674E" w:rsidRPr="006A0D4B" w:rsidRDefault="00833F48" w:rsidP="0081674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7B60C1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права коришћења простора и полигона, када </w:t>
            </w:r>
            <w:r w:rsidR="0011271F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су</w:t>
            </w:r>
            <w:r w:rsidR="007B60C1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у питању </w:t>
            </w:r>
            <w:r w:rsidR="0011271F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</w:t>
            </w:r>
            <w:r w:rsidR="007B60C1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књиж</w:t>
            </w:r>
            <w:r w:rsidR="0011271F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ени објекти</w:t>
            </w:r>
            <w:r w:rsidR="007B60C1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као и </w:t>
            </w: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поседовања уверења о положеном стручном испиту проверава надлежни орган, по службеној дужности.</w:t>
            </w:r>
          </w:p>
          <w:p w14:paraId="35F10074" w14:textId="37C32A45" w:rsidR="00833F48" w:rsidRPr="006A0D4B" w:rsidRDefault="00833F48" w:rsidP="0081674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81674E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објеката, простора и просторија, полигона, одговарајућих средстава, наставних учила, средстава и помагала</w:t>
            </w: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81674E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проверава надлежни орган </w:t>
            </w: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 пословном простору подносиоца захтева.</w:t>
            </w:r>
          </w:p>
          <w:p w14:paraId="36F85713" w14:textId="55396232" w:rsidR="00833F48" w:rsidRPr="006A0D4B" w:rsidRDefault="00833F48" w:rsidP="00CC48FF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Такође, подзаконским актом је потребно прецизирати да се уз захтев подноси искључиво следећа документација:</w:t>
            </w:r>
          </w:p>
          <w:p w14:paraId="4B749096" w14:textId="1EB72469" w:rsidR="0081674E" w:rsidRPr="006A0D4B" w:rsidRDefault="0081674E" w:rsidP="0011271F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Правилник о организацији и условима рада</w:t>
            </w:r>
            <w:r w:rsidR="0011271F" w:rsidRPr="006A0D4B">
              <w:rPr>
                <w:sz w:val="22"/>
                <w:szCs w:val="22"/>
                <w:lang w:val="sr-Cyrl-RS"/>
              </w:rPr>
              <w:t xml:space="preserve"> – копија; </w:t>
            </w:r>
            <w:r w:rsidRPr="006A0D4B">
              <w:rPr>
                <w:sz w:val="22"/>
                <w:szCs w:val="22"/>
                <w:lang w:val="sr-Cyrl-RS"/>
              </w:rPr>
              <w:t xml:space="preserve"> </w:t>
            </w:r>
          </w:p>
          <w:p w14:paraId="5AE173EB" w14:textId="72FC93BA" w:rsidR="0081674E" w:rsidRPr="006A0D4B" w:rsidRDefault="0081674E" w:rsidP="0011271F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Наставни план који је усаглашен са правилником којим се уређује посебна обука и полагање стручног испита из области заштите од пожара</w:t>
            </w:r>
            <w:r w:rsidR="0011271F" w:rsidRPr="006A0D4B">
              <w:rPr>
                <w:sz w:val="22"/>
                <w:szCs w:val="22"/>
                <w:lang w:val="sr-Cyrl-RS"/>
              </w:rPr>
              <w:t xml:space="preserve"> – копија;</w:t>
            </w:r>
            <w:r w:rsidRPr="006A0D4B">
              <w:rPr>
                <w:sz w:val="22"/>
                <w:szCs w:val="22"/>
                <w:lang w:val="sr-Cyrl-RS"/>
              </w:rPr>
              <w:t xml:space="preserve"> </w:t>
            </w:r>
          </w:p>
          <w:p w14:paraId="6798AE2D" w14:textId="5EBC40A1" w:rsidR="0081674E" w:rsidRPr="006A0D4B" w:rsidRDefault="0081674E" w:rsidP="0081674E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 о праву коришћења пословног простора, када није у питању укњижен објекат (Уговор о купопродаји, Уговор о закупу и сл.)</w:t>
            </w:r>
            <w:r w:rsidR="0011271F" w:rsidRPr="006A0D4B">
              <w:rPr>
                <w:sz w:val="22"/>
                <w:szCs w:val="22"/>
                <w:lang w:val="sr-Cyrl-RS"/>
              </w:rPr>
              <w:t xml:space="preserve"> – копија;</w:t>
            </w:r>
          </w:p>
          <w:p w14:paraId="0D7624EF" w14:textId="77083647" w:rsidR="0011271F" w:rsidRPr="006A0D4B" w:rsidRDefault="0081674E" w:rsidP="0011271F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 о праву коришћења полигона, када није у питању укњижен објекат (Уговор о купопродаји, Уговор о закупу и сл.)</w:t>
            </w:r>
            <w:r w:rsidR="0011271F" w:rsidRPr="006A0D4B">
              <w:rPr>
                <w:sz w:val="22"/>
                <w:szCs w:val="22"/>
                <w:lang w:val="sr-Cyrl-RS"/>
              </w:rPr>
              <w:t xml:space="preserve"> – копија;</w:t>
            </w:r>
          </w:p>
          <w:p w14:paraId="65D2EB45" w14:textId="1117412D" w:rsidR="0081674E" w:rsidRPr="006A0D4B" w:rsidRDefault="0011271F" w:rsidP="0099243A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lastRenderedPageBreak/>
              <w:t>Докази о одговарајућим средствима (уређаји, справе, техничка и друга опрема) за одржавање теоретског и практичног дела наставе – у власништву, закупу, односно у трајном коришћењу обезбеђеном по другом основу – копија;</w:t>
            </w:r>
          </w:p>
          <w:p w14:paraId="0C645ED4" w14:textId="442C06BB" w:rsidR="0011271F" w:rsidRPr="006A0D4B" w:rsidRDefault="0011271F" w:rsidP="0011271F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Докази о броју наставног и стручног особља за извођење теоретске и практичне наставе, одговарајућег нивоа из одговарајућег образовно-научног поља и одговарајуће стручне области – копија; </w:t>
            </w:r>
          </w:p>
          <w:p w14:paraId="2E2447D6" w14:textId="762B6A10" w:rsidR="00833F48" w:rsidRPr="006A0D4B" w:rsidRDefault="00833F48" w:rsidP="0011271F">
            <w:pPr>
              <w:pStyle w:val="NormalWeb"/>
              <w:numPr>
                <w:ilvl w:val="0"/>
                <w:numId w:val="37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</w:t>
            </w:r>
            <w:r w:rsidR="0011271F" w:rsidRPr="006A0D4B">
              <w:rPr>
                <w:sz w:val="22"/>
                <w:szCs w:val="22"/>
                <w:lang w:val="sr-Cyrl-RS"/>
              </w:rPr>
              <w:t>/и</w:t>
            </w:r>
            <w:r w:rsidRPr="006A0D4B">
              <w:rPr>
                <w:sz w:val="22"/>
                <w:szCs w:val="22"/>
                <w:lang w:val="sr-Cyrl-RS"/>
              </w:rPr>
              <w:t xml:space="preserve"> о уплати таксе/и.  </w:t>
            </w:r>
          </w:p>
          <w:p w14:paraId="627C6324" w14:textId="76A837EB" w:rsidR="0011271F" w:rsidRPr="006A0D4B" w:rsidRDefault="00833F48" w:rsidP="0011271F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11271F"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 условима које морају испуњавати правна лица регистрована за извођење посебне обуке за лица која раде на пословима заштите од пожара ("Сл. гласник РС", бр.  92/2010-19, 86/2011-29</w:t>
            </w:r>
            <w:r w:rsidR="0011271F" w:rsidRPr="006A0D4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)</w:t>
            </w:r>
            <w:r w:rsidR="0011271F"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28AAD2A4" w14:textId="77777777" w:rsidR="00804079" w:rsidRPr="006A0D4B" w:rsidRDefault="00804079" w:rsidP="00804079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59DA9FE4" w14:textId="77777777" w:rsidR="001C3429" w:rsidRPr="006A0D4B" w:rsidRDefault="001C3429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A0D4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административног захтева </w:t>
            </w:r>
          </w:p>
          <w:p w14:paraId="0C3E4CE4" w14:textId="77777777" w:rsidR="001C3429" w:rsidRPr="006A0D4B" w:rsidRDefault="001C3429" w:rsidP="001C3429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9DE7EA1" w14:textId="6D710036" w:rsidR="00DA68A8" w:rsidRPr="006A0D4B" w:rsidRDefault="00833F48" w:rsidP="001C3429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6A0D4B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6A0D4B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6A0D4B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A7E0836" w14:textId="77777777" w:rsidR="006A0D4B" w:rsidRPr="006A0D4B" w:rsidRDefault="006A0D4B" w:rsidP="006A0D4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00DB410" w14:textId="77777777" w:rsidR="006A0D4B" w:rsidRPr="006A0D4B" w:rsidRDefault="006A0D4B" w:rsidP="006A0D4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8C1CFB5" w14:textId="77777777" w:rsidR="006A0D4B" w:rsidRPr="006A0D4B" w:rsidRDefault="006A0D4B" w:rsidP="006A0D4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E4A4360" w14:textId="77777777" w:rsidR="006A0D4B" w:rsidRPr="006A0D4B" w:rsidRDefault="006A0D4B" w:rsidP="006A0D4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22076D94" w14:textId="77777777" w:rsidR="006A0D4B" w:rsidRPr="006A0D4B" w:rsidRDefault="006A0D4B" w:rsidP="006A0D4B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(име и презиме власника укњиженог простора/полигона, бр. катастарске парцеле и катастарској општини, име и презиме лица са положеним стручним испитом, број уверења)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20386FB" w14:textId="77777777" w:rsidR="006A0D4B" w:rsidRPr="006A0D4B" w:rsidRDefault="006A0D4B" w:rsidP="006A0D4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C5E1836" w14:textId="77777777" w:rsidR="006A0D4B" w:rsidRPr="006A0D4B" w:rsidRDefault="006A0D4B" w:rsidP="006A0D4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30D39EF8" w14:textId="77777777" w:rsidR="006A0D4B" w:rsidRPr="006A0D4B" w:rsidRDefault="006A0D4B" w:rsidP="006A0D4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1865148" w14:textId="77777777" w:rsidR="006A0D4B" w:rsidRPr="006A0D4B" w:rsidRDefault="006A0D4B" w:rsidP="006A0D4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8E9120B" w14:textId="77777777" w:rsidR="006A0D4B" w:rsidRPr="006A0D4B" w:rsidRDefault="006A0D4B" w:rsidP="006A0D4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0661681" w14:textId="77777777" w:rsidR="006A0D4B" w:rsidRPr="006A0D4B" w:rsidRDefault="006A0D4B" w:rsidP="006A0D4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779F28E" w14:textId="77777777" w:rsidR="006A0D4B" w:rsidRPr="006A0D4B" w:rsidRDefault="006A0D4B" w:rsidP="006A0D4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C5B2B6C" w14:textId="77777777" w:rsidR="006A0D4B" w:rsidRPr="006A0D4B" w:rsidRDefault="006A0D4B" w:rsidP="006A0D4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609D9D6F" w14:textId="77777777" w:rsidR="006A0D4B" w:rsidRPr="006A0D4B" w:rsidRDefault="006A0D4B" w:rsidP="006A0D4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9AD84F1" w14:textId="77777777" w:rsidR="006A0D4B" w:rsidRPr="006A0D4B" w:rsidRDefault="006A0D4B" w:rsidP="006A0D4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0D1CE52" w14:textId="77777777" w:rsidR="006A0D4B" w:rsidRPr="006A0D4B" w:rsidRDefault="006A0D4B" w:rsidP="006A0D4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BE4DF2D" w14:textId="77777777" w:rsidR="006A0D4B" w:rsidRPr="006A0D4B" w:rsidRDefault="006A0D4B" w:rsidP="006A0D4B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652B4D1" w14:textId="77777777" w:rsidR="006A0D4B" w:rsidRPr="006A0D4B" w:rsidRDefault="006A0D4B" w:rsidP="006A0D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272C09" w14:textId="77777777" w:rsidR="006A0D4B" w:rsidRPr="006A0D4B" w:rsidRDefault="006A0D4B" w:rsidP="006A0D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_GoBack"/>
            <w:bookmarkEnd w:id="1"/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4DD152C6" w14:textId="77777777" w:rsidR="006A0D4B" w:rsidRPr="006A0D4B" w:rsidRDefault="006A0D4B" w:rsidP="006A0D4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2615948" w14:textId="77777777" w:rsidR="006A0D4B" w:rsidRPr="006A0D4B" w:rsidRDefault="006A0D4B" w:rsidP="006A0D4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BAB19D1" w14:textId="77777777" w:rsidR="006A0D4B" w:rsidRPr="006A0D4B" w:rsidRDefault="006A0D4B" w:rsidP="006A0D4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E0A27BE" w14:textId="77777777" w:rsidR="006A0D4B" w:rsidRPr="006A0D4B" w:rsidRDefault="006A0D4B" w:rsidP="006A0D4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6A35C12" w14:textId="77777777" w:rsidR="006A0D4B" w:rsidRPr="006A0D4B" w:rsidRDefault="006A0D4B" w:rsidP="006A0D4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40FF349" w14:textId="77777777" w:rsidR="006A0D4B" w:rsidRPr="006A0D4B" w:rsidRDefault="006A0D4B" w:rsidP="006A0D4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2F4FBB4" w14:textId="77777777" w:rsidR="006A0D4B" w:rsidRPr="006A0D4B" w:rsidRDefault="006A0D4B" w:rsidP="006A0D4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B690D77" w14:textId="77777777" w:rsidR="006A0D4B" w:rsidRPr="006A0D4B" w:rsidRDefault="006A0D4B" w:rsidP="006A0D4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3C3FFA5" w14:textId="77777777" w:rsidR="00CC48FF" w:rsidRPr="006A0D4B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6A0D4B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6A0D4B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6A0D4B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6A0D4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6A0D4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37633F8F" w14:textId="77777777" w:rsidR="00A95A45" w:rsidRPr="006A0D4B" w:rsidRDefault="00A95A45" w:rsidP="00A95A45">
            <w:pPr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586F6C44" w14:textId="77777777" w:rsidR="000916D2" w:rsidRPr="006A0D4B" w:rsidRDefault="000916D2" w:rsidP="000916D2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6A0D4B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459956CD" w14:textId="77777777" w:rsidR="000916D2" w:rsidRPr="006A0D4B" w:rsidRDefault="000916D2" w:rsidP="000916D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6A3D81B" w14:textId="77777777" w:rsidR="000916D2" w:rsidRPr="006A0D4B" w:rsidRDefault="000916D2" w:rsidP="000916D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6A0D4B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76A65148" w14:textId="77777777" w:rsidR="000916D2" w:rsidRPr="006A0D4B" w:rsidRDefault="000916D2" w:rsidP="000916D2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65893050" w14:textId="0FAAEB37" w:rsidR="000916D2" w:rsidRPr="006A0D4B" w:rsidRDefault="000916D2" w:rsidP="000916D2">
            <w:pPr>
              <w:pStyle w:val="NormalWeb"/>
              <w:numPr>
                <w:ilvl w:val="0"/>
                <w:numId w:val="3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 xml:space="preserve">Документ 1: Захтев </w:t>
            </w:r>
          </w:p>
          <w:p w14:paraId="5B0F6253" w14:textId="77777777" w:rsidR="000916D2" w:rsidRPr="006A0D4B" w:rsidRDefault="000916D2" w:rsidP="000916D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који у слободној форми сачињава подносилац. </w:t>
            </w:r>
          </w:p>
          <w:p w14:paraId="783BEE41" w14:textId="23220623" w:rsidR="000916D2" w:rsidRPr="006A0D4B" w:rsidRDefault="000916D2" w:rsidP="000916D2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6A0D4B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6A0D4B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6A0D4B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6B52438E" w14:textId="77777777" w:rsidR="000D7847" w:rsidRPr="006A0D4B" w:rsidRDefault="000D7847" w:rsidP="000916D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9266B09" w14:textId="5EBBD687" w:rsidR="00524A51" w:rsidRPr="006A0D4B" w:rsidRDefault="00524A51" w:rsidP="00524A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1C3429"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21E4E754" w14:textId="434E06E3" w:rsidR="00524A51" w:rsidRPr="006A0D4B" w:rsidRDefault="00524A51" w:rsidP="00524A51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•</w:t>
            </w:r>
            <w:r w:rsidRPr="006A0D4B">
              <w:rPr>
                <w:b/>
                <w:sz w:val="22"/>
                <w:szCs w:val="22"/>
                <w:lang w:val="sr-Cyrl-RS"/>
              </w:rPr>
              <w:tab/>
              <w:t>Документ 8 и 9: Доказ о уплати републичкe административнe таксe за захтев и решења за вршење организоване стручне наставе за полагање стручних испита у области заштите од пожара</w:t>
            </w:r>
          </w:p>
          <w:p w14:paraId="7D7CFBEA" w14:textId="59675599" w:rsidR="00AA4952" w:rsidRPr="006A0D4B" w:rsidRDefault="00AA4952" w:rsidP="00AA4952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6B760A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3ED92F47" w14:textId="45EAD094" w:rsidR="00AA4952" w:rsidRPr="006A0D4B" w:rsidRDefault="00AA4952" w:rsidP="00AA4952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6A0D4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</w:t>
            </w:r>
            <w:r w:rsidR="003145F9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, валидан доказ о уплати таксе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CF78698" w14:textId="77777777" w:rsidR="00AA4952" w:rsidRPr="006A0D4B" w:rsidRDefault="00AA4952" w:rsidP="00AA49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</w:rPr>
              <w:t>K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6A0D4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6A0D4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2EF339DB" w14:textId="77777777" w:rsidR="00AA4952" w:rsidRPr="006A0D4B" w:rsidRDefault="00AA4952" w:rsidP="00AA4952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3FF48B8" w14:textId="77777777" w:rsidR="00AA4952" w:rsidRPr="006A0D4B" w:rsidRDefault="00AA4952" w:rsidP="00AA49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3395A398" w14:textId="77777777" w:rsidR="00AA4952" w:rsidRPr="006A0D4B" w:rsidRDefault="00AA4952" w:rsidP="00AA4952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B1D583" w14:textId="77777777" w:rsidR="00AA4952" w:rsidRPr="006A0D4B" w:rsidRDefault="00AA4952" w:rsidP="00AA4952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758CD84" w14:textId="77777777" w:rsidR="00AA4952" w:rsidRPr="006A0D4B" w:rsidRDefault="00AA4952" w:rsidP="00AA4952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0919AAB" w14:textId="77777777" w:rsidR="003145F9" w:rsidRPr="006A0D4B" w:rsidRDefault="00AA4952" w:rsidP="00AA4952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6602E414" w14:textId="77777777" w:rsidR="003145F9" w:rsidRPr="006A0D4B" w:rsidRDefault="003145F9" w:rsidP="003145F9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014F720" w14:textId="10E4966A" w:rsidR="003145F9" w:rsidRPr="006A0D4B" w:rsidRDefault="003145F9" w:rsidP="003145F9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6B760A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20A1BA34" w14:textId="77777777" w:rsidR="003145F9" w:rsidRPr="006A0D4B" w:rsidRDefault="003145F9" w:rsidP="00AA49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D772166" w14:textId="77777777" w:rsidR="00AA4952" w:rsidRPr="006A0D4B" w:rsidRDefault="00AA4952" w:rsidP="00AA49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1E491C13" w14:textId="77777777" w:rsidR="00AA4952" w:rsidRPr="006A0D4B" w:rsidRDefault="00AA4952" w:rsidP="00524A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8E4414B" w14:textId="77777777" w:rsidR="00524A51" w:rsidRPr="006A0D4B" w:rsidRDefault="00524A51" w:rsidP="00524A5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5227E714" w14:textId="77777777" w:rsidR="00A95A45" w:rsidRPr="006A0D4B" w:rsidRDefault="00A95A45" w:rsidP="00A95A45">
            <w:pPr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2CE898B1" w14:textId="77777777" w:rsidR="001C3429" w:rsidRPr="006A0D4B" w:rsidRDefault="001C3429" w:rsidP="00B252C9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A0D4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3104CAF2" w14:textId="77777777" w:rsidR="001C3429" w:rsidRPr="006A0D4B" w:rsidRDefault="001C3429" w:rsidP="001C3429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3601E4E" w14:textId="299084A6" w:rsidR="00833F48" w:rsidRPr="006A0D4B" w:rsidRDefault="00A06736" w:rsidP="001C3429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Прописивање рок</w:t>
            </w:r>
            <w:r w:rsidR="00B252C9"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6A0D4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посебним прописом</w:t>
            </w:r>
          </w:p>
          <w:p w14:paraId="69775966" w14:textId="77777777" w:rsidR="00833F48" w:rsidRPr="006A0D4B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A0E5346" w14:textId="06053D1A" w:rsidR="00833F48" w:rsidRPr="006A0D4B" w:rsidRDefault="00833F48" w:rsidP="00B252C9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Посебним прописом није прописан рок за решавање уредног захтева, тако да се у оквиру овог поступка примењују рок</w:t>
            </w:r>
            <w:r w:rsidR="00B252C9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од </w:t>
            </w:r>
            <w:r w:rsidR="00B252C9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60 дана</w:t>
            </w: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прописан чланом 145. Закона о општем управном поступку ("Службени гласник РС" број 18 од 1. марта 2016.)</w:t>
            </w:r>
            <w:r w:rsidR="00B252C9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29D6C96" w14:textId="77777777" w:rsidR="00833F48" w:rsidRPr="006A0D4B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C5B8D42" w14:textId="07F6627F" w:rsidR="00833F48" w:rsidRPr="006A0D4B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Како је у обрасцу е-пописа наведено да је просечан рок за решавање уредног захтева </w:t>
            </w:r>
            <w:r w:rsidR="00B252C9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30</w:t>
            </w: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дана, закључује се да просечно време решавања по захтеву није у корелацији са роковима, прописаним ЗОУП-ом. </w:t>
            </w:r>
          </w:p>
          <w:p w14:paraId="3F4703DA" w14:textId="77777777" w:rsidR="00833F48" w:rsidRPr="006A0D4B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2844888" w14:textId="3D79CC16" w:rsidR="00833F48" w:rsidRPr="006A0D4B" w:rsidRDefault="00833F48" w:rsidP="00B252C9">
            <w:pPr>
              <w:pStyle w:val="ListParagraph"/>
              <w:spacing w:before="120" w:after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Руководећи се начелом делотворности и економичности (члан 9. ЗОУП-а), предлаже се прописивање рок</w:t>
            </w:r>
            <w:r w:rsidR="00B252C9" w:rsidRPr="006A0D4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 од 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30 дана за прикупљање података службеним путем и решавање захтева</w:t>
            </w:r>
          </w:p>
          <w:p w14:paraId="17DF6A4B" w14:textId="77777777" w:rsidR="00833F48" w:rsidRPr="006A0D4B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55F2981" w14:textId="77777777" w:rsidR="007D39E4" w:rsidRPr="006A0D4B" w:rsidRDefault="00833F48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потребна је допуна </w:t>
            </w:r>
            <w:r w:rsidR="00B252C9"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условима које морају испуњавати правна лица регистрована за извођење посебне обуке за лица која раде на пословима заштите од пожара ("Сл. гласник РС", бр.  92/2010-19, 86/2011-29</w:t>
            </w:r>
            <w:r w:rsidR="00B252C9" w:rsidRPr="006A0D4B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)</w:t>
            </w:r>
            <w:r w:rsidR="00B252C9"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1418C2FD" w14:textId="77777777" w:rsidR="00B252C9" w:rsidRPr="006A0D4B" w:rsidRDefault="00B252C9" w:rsidP="00B252C9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9611EE6" w14:textId="0D125A24" w:rsidR="00B252C9" w:rsidRPr="006A0D4B" w:rsidRDefault="00B252C9" w:rsidP="00B252C9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A0D4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DEB1574" w14:textId="77777777" w:rsidR="00B252C9" w:rsidRPr="006A0D4B" w:rsidRDefault="00B252C9" w:rsidP="00B252C9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EA2C9F4" w14:textId="67A889CB" w:rsidR="00B252C9" w:rsidRPr="006A0D4B" w:rsidRDefault="00B252C9" w:rsidP="00B252C9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47BB173F" w14:textId="6F77B84E" w:rsidR="000916D2" w:rsidRPr="006A0D4B" w:rsidRDefault="000916D2" w:rsidP="00B252C9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DEC725F" w14:textId="2EC7E134" w:rsidR="00B252C9" w:rsidRPr="006A0D4B" w:rsidRDefault="00B252C9" w:rsidP="009A3756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6A0D4B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6A0D4B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6A0D4B">
              <w:rPr>
                <w:b/>
                <w:sz w:val="22"/>
                <w:szCs w:val="22"/>
                <w:lang w:val="sr-Cyrl-RS"/>
              </w:rPr>
              <w:t>У</w:t>
            </w:r>
            <w:r w:rsidRPr="006A0D4B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6A0D4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A0D4B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6A0D4B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6A0D4B" w14:paraId="243310FD" w14:textId="77777777" w:rsidTr="00275E2A">
        <w:tc>
          <w:tcPr>
            <w:tcW w:w="9062" w:type="dxa"/>
          </w:tcPr>
          <w:p w14:paraId="6B7D4311" w14:textId="3F82C0C3" w:rsidR="00997959" w:rsidRPr="006A0D4B" w:rsidRDefault="00997959" w:rsidP="00C77E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50993B71" w14:textId="77777777" w:rsidR="00F819D3" w:rsidRPr="006A0D4B" w:rsidRDefault="00997959" w:rsidP="00F819D3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0FB9A81C" w14:textId="218A4FDE" w:rsidR="00C77E39" w:rsidRPr="006A0D4B" w:rsidRDefault="00A94633" w:rsidP="00C77E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ПРАВИЛНИК О ИЗМЕНАМА И ДОПУНАМА </w:t>
            </w:r>
          </w:p>
          <w:p w14:paraId="4CCCD68A" w14:textId="1366A8C7" w:rsidR="007940D6" w:rsidRPr="006A0D4B" w:rsidRDefault="00A94633" w:rsidP="00C77E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</w:t>
            </w:r>
            <w:r w:rsidRPr="006A0D4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УСЛОВИМА КОЈЕ МОРАЈУ ИСПУЊАВАТИ ПРАВНА ЛИЦА РЕГИСТРОВАНА ЗА ИЗВОЂЕЊЕ ПОСЕБНЕ ОБУКЕ ЗА ЛИЦА КОЈА РАДЕ НА ПОСЛОВИМА ЗАШТИТЕ ОД ПОЖАРА </w:t>
            </w:r>
          </w:p>
          <w:p w14:paraId="2E1E04EA" w14:textId="77777777" w:rsidR="006F4A5C" w:rsidRPr="006A0D4B" w:rsidRDefault="006F4A5C" w:rsidP="00C77E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  <w:p w14:paraId="63120A5A" w14:textId="35BE1FE7" w:rsidR="00C77E39" w:rsidRPr="006A0D4B" w:rsidRDefault="00C77E39" w:rsidP="00C77E3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F819D3"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2D388A85" w14:textId="7D59C2EB" w:rsidR="00C77E39" w:rsidRPr="006A0D4B" w:rsidRDefault="00C77E39" w:rsidP="00C77E3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Правилнику о условима које морају испуњавати правна лица регистрована за извођење посебне обуке за лица која раде на пословима заштите од пожара ("Сл. гласник РС", бр.  92/2010-19, 86/2011-29), у члану 10. после става 1. додаје се нови став да који гласи:</w:t>
            </w:r>
          </w:p>
          <w:p w14:paraId="5FECF379" w14:textId="77777777" w:rsidR="00C77E39" w:rsidRPr="006A0D4B" w:rsidRDefault="00C77E39" w:rsidP="00C77E3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5BD82C" w14:textId="7797B5FE" w:rsidR="00A94633" w:rsidRPr="006A0D4B" w:rsidRDefault="00C77E39" w:rsidP="00A94633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="00A94633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издавање решења из става 1. овог члана подноси се у писаној или електронској форми и уз захтев се доставља следећа документација:</w:t>
            </w:r>
          </w:p>
          <w:p w14:paraId="7E80D2D1" w14:textId="7E74C94B" w:rsidR="00A94633" w:rsidRPr="006A0D4B" w:rsidRDefault="00A94633" w:rsidP="00A94633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правилник о организацији и условима рада – копија;  </w:t>
            </w:r>
          </w:p>
          <w:p w14:paraId="2F249D07" w14:textId="32783B24" w:rsidR="00A94633" w:rsidRPr="006A0D4B" w:rsidRDefault="00A94633" w:rsidP="00A94633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наставни план који је усаглашен са правилником којим се уређује посебна обука и полагање стручног испита из области заштите од пожара – копија; </w:t>
            </w:r>
          </w:p>
          <w:p w14:paraId="2AA8EE2F" w14:textId="06668BBD" w:rsidR="00A94633" w:rsidRPr="006A0D4B" w:rsidRDefault="00A94633" w:rsidP="00A94633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 о праву коришћења пословног простора, када није у питању укњижен објекат (уговор о купопродаји, уговор о закупу и сл.) – копија;</w:t>
            </w:r>
          </w:p>
          <w:p w14:paraId="2DC65658" w14:textId="3A5814DB" w:rsidR="00A94633" w:rsidRPr="006A0D4B" w:rsidRDefault="00A94633" w:rsidP="00A94633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 о праву коришћења полигона, када није у питању укњижен објекат (уговор о купопродаји, уговор о закупу и сл.) – копија;</w:t>
            </w:r>
          </w:p>
          <w:p w14:paraId="2CEB3C92" w14:textId="7C4775A7" w:rsidR="00A94633" w:rsidRPr="006A0D4B" w:rsidRDefault="00A94633" w:rsidP="00A94633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докази о одговарајућим средствима (уређаји, справе, техничка и друга опрема) за одржавање теоретског и практичног дела наставе – у власништву, закупу, односно у трајном коришћењу обезбеђеном по другом основу – копија;</w:t>
            </w:r>
          </w:p>
          <w:p w14:paraId="577F7545" w14:textId="437DF683" w:rsidR="00A94633" w:rsidRPr="006A0D4B" w:rsidRDefault="00A94633" w:rsidP="00A94633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докази о броју наставног и стручног особља за извођење теоретске и практичне наставе, одговарајућег нивоа из одговарајућег образовно-научног поља и одговарајуће стручне области – копија; </w:t>
            </w:r>
          </w:p>
          <w:p w14:paraId="74F4955E" w14:textId="5513C7E7" w:rsidR="00C77E39" w:rsidRPr="006A0D4B" w:rsidRDefault="00A94633" w:rsidP="00A94633">
            <w:pPr>
              <w:pStyle w:val="NormalWeb"/>
              <w:numPr>
                <w:ilvl w:val="0"/>
                <w:numId w:val="42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доказ/и о уплати таксе/и.</w:t>
            </w:r>
            <w:r w:rsidRPr="006A0D4B">
              <w:rPr>
                <w:sz w:val="22"/>
                <w:szCs w:val="22"/>
                <w:lang w:val="sr-Latn-RS"/>
              </w:rPr>
              <w:t>“</w:t>
            </w:r>
            <w:r w:rsidRPr="006A0D4B">
              <w:rPr>
                <w:sz w:val="22"/>
                <w:szCs w:val="22"/>
                <w:lang w:val="sr-Cyrl-RS"/>
              </w:rPr>
              <w:t xml:space="preserve">  </w:t>
            </w:r>
          </w:p>
          <w:p w14:paraId="7B427F98" w14:textId="370C848A" w:rsidR="00C77E39" w:rsidRPr="006A0D4B" w:rsidRDefault="00C77E39" w:rsidP="00C77E3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ставу 2. који постаје став 3. речи: „овим правилником министарство врши на основу доказа које подноси правно лице“, замењују се речима: „</w:t>
            </w:r>
            <w:r w:rsidR="00A94633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3. став 1. тач. 3) и 4) и чланом 9. овог правилника, надлежни орган проверава по службеној дужности</w:t>
            </w:r>
            <w:r w:rsidR="00A42BC4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A94633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укњижене објекте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“.</w:t>
            </w:r>
          </w:p>
          <w:p w14:paraId="6C75927B" w14:textId="74B238AC" w:rsidR="00C77E39" w:rsidRPr="006A0D4B" w:rsidRDefault="00C77E39" w:rsidP="00C77E3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После става 3. додају се нови ст. 4 и 5. који гласе:</w:t>
            </w:r>
          </w:p>
          <w:p w14:paraId="2351B52F" w14:textId="0CC5E01F" w:rsidR="00A94633" w:rsidRPr="006A0D4B" w:rsidRDefault="00C77E39" w:rsidP="00A94633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A94633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Испуњеност прописаних услова у погледу објеката, простора и просторија, полигона, одговарајућих средстава, наставних учила, средстава и помагала проверава надлежни орган у пословном простору подносиоца захтева</w:t>
            </w:r>
            <w:r w:rsidR="00A94633" w:rsidRPr="006A0D4B">
              <w:rPr>
                <w:rFonts w:ascii="Times New Roman" w:hAnsi="Times New Roman"/>
                <w:sz w:val="22"/>
                <w:szCs w:val="22"/>
                <w:lang w:val="sr-Latn-RS"/>
              </w:rPr>
              <w:t>.</w:t>
            </w:r>
          </w:p>
          <w:p w14:paraId="2FC24BC7" w14:textId="77777777" w:rsidR="00A94633" w:rsidRPr="006A0D4B" w:rsidRDefault="00A94633" w:rsidP="00A94633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138AF407" w14:textId="43EA44E0" w:rsidR="00C77E39" w:rsidRPr="006A0D4B" w:rsidRDefault="00A94633" w:rsidP="00C77E3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Решење о утврђивању испуњености посебних услова за извођење посебне обуке за лица која раде на пословима заштите од пожара из става 1. овог члана надлежно министарство доноси у року од 30 дана од дана пријема захтева.</w:t>
            </w:r>
            <w:r w:rsidRPr="006A0D4B">
              <w:rPr>
                <w:rFonts w:ascii="Times New Roman" w:hAnsi="Times New Roman"/>
                <w:sz w:val="22"/>
                <w:szCs w:val="22"/>
                <w:lang w:val="sr-Latn-RS"/>
              </w:rPr>
              <w:t>“</w:t>
            </w:r>
            <w:r w:rsidR="00C77E39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“</w:t>
            </w:r>
          </w:p>
          <w:p w14:paraId="40A64D87" w14:textId="5997EE87" w:rsidR="00C77E39" w:rsidRPr="006A0D4B" w:rsidRDefault="00C77E39" w:rsidP="00C77E3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Досадашњи ст. 3.,4. и 5. постају ст. 6.,7. и 8.  </w:t>
            </w:r>
          </w:p>
          <w:p w14:paraId="0D72BA4A" w14:textId="42D87D23" w:rsidR="00C77E39" w:rsidRPr="006A0D4B" w:rsidRDefault="00C77E39" w:rsidP="00C77E3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A69513" w14:textId="3635E1EB" w:rsidR="00C77E39" w:rsidRPr="006A0D4B" w:rsidRDefault="00C77E39" w:rsidP="00377989">
            <w:pPr>
              <w:shd w:val="clear" w:color="auto" w:fill="FFFFFF"/>
              <w:spacing w:after="150" w:line="248" w:lineRule="atLeast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F819D3" w:rsidRPr="006A0D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6A0D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F289099" w14:textId="311258C3" w:rsidR="00C77E39" w:rsidRPr="006A0D4B" w:rsidRDefault="00C77E39" w:rsidP="0037798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</w:t>
            </w:r>
            <w:r w:rsidR="002931CB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</w:t>
            </w: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ступа на снаги осмог дана од дана објављивања у „Сл. гласнику РС“.</w:t>
            </w:r>
          </w:p>
          <w:p w14:paraId="694F59C0" w14:textId="5A9271E7" w:rsidR="00C77E39" w:rsidRPr="006A0D4B" w:rsidRDefault="00C77E39" w:rsidP="00C77E39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32540" w:rsidRPr="006A0D4B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6A0D4B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632540" w:rsidRPr="006A0D4B" w14:paraId="585359C0" w14:textId="77777777" w:rsidTr="000B54D7">
        <w:trPr>
          <w:trHeight w:val="708"/>
        </w:trPr>
        <w:tc>
          <w:tcPr>
            <w:tcW w:w="9062" w:type="dxa"/>
          </w:tcPr>
          <w:p w14:paraId="68B1B765" w14:textId="37E66FCA" w:rsidR="003651DB" w:rsidRPr="006A0D4B" w:rsidRDefault="00804079" w:rsidP="003651D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1E5B638A" w14:textId="33065FBA" w:rsidR="00804079" w:rsidRPr="006A0D4B" w:rsidRDefault="00804079" w:rsidP="003651D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B7C191F" w14:textId="77777777" w:rsidR="003925FE" w:rsidRPr="006A0D4B" w:rsidRDefault="00804079" w:rsidP="0080407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4F76D160" w14:textId="28A98C67" w:rsidR="00804079" w:rsidRPr="006A0D4B" w:rsidRDefault="00804079" w:rsidP="00804079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ПРАВИЛНИК</w:t>
            </w:r>
            <w:r w:rsidRPr="006A0D4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6A0D4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О УСЛОВИМА КОЈЕ МОРАЈУ ИСПУЊАВАТИ ПРАВНА ЛИЦА РЕГИСТРОВАНА ЗА ИЗВОЂЕЊЕ ПОСЕБНЕ ОБУКЕ ЗА ЛИЦА КОЈА РАДЕ НА ПОСЛОВИМА ЗАШТИТЕ ОД ПОЖАРА  КОЈЕ СЕ МЕЊАЈУ И ДОПУЊУЈУ</w:t>
            </w:r>
          </w:p>
          <w:p w14:paraId="07B23CEF" w14:textId="77777777" w:rsidR="00804079" w:rsidRPr="006A0D4B" w:rsidRDefault="00804079" w:rsidP="00804079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750A06D" w14:textId="77777777" w:rsidR="00C42117" w:rsidRPr="006A0D4B" w:rsidRDefault="00C42117" w:rsidP="003651DB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2D47903" w14:textId="77777777" w:rsidR="00C42117" w:rsidRPr="006A0D4B" w:rsidRDefault="00C42117" w:rsidP="00377989">
            <w:pPr>
              <w:shd w:val="clear" w:color="auto" w:fill="FFFFFF"/>
              <w:spacing w:after="150" w:line="248" w:lineRule="atLeast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10.</w:t>
            </w:r>
          </w:p>
          <w:p w14:paraId="6489F49C" w14:textId="1B79E88E" w:rsidR="00C42117" w:rsidRPr="006A0D4B" w:rsidRDefault="00C42117" w:rsidP="0037798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Правно лице може отпочети са извођењем посебне обуке након што Министарство унутрашњих послова (у даљем тексту: Министарство) утврди испуњеност посебних услова прописаних овим правилником и након што то правно лице, на основу решења о утврђивању испуњености посебних услова, упише у Регистар правних лица која имају одобрење за извођење посебне обуке.</w:t>
            </w:r>
          </w:p>
          <w:p w14:paraId="63180557" w14:textId="4953A142" w:rsidR="00C42117" w:rsidRPr="006A0D4B" w:rsidRDefault="00C42117" w:rsidP="0037798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ИЗДАВАЊЕ РЕШЕЊА ИЗ СТАВА 1. ОВОГ ЧЛАНА ПОДНОСИ СЕ У ПИСАНОЈ ИЛИ ЕЛЕКТРОНСКОЈ ФОРМИ И УЗ ЗАХТЕВ СЕ ДОСТАВЉА СЛЕДЕЋА ДОКУМЕНТАЦИЈА:</w:t>
            </w:r>
          </w:p>
          <w:p w14:paraId="77907758" w14:textId="3BACFFC1" w:rsidR="00C42117" w:rsidRPr="006A0D4B" w:rsidRDefault="00C42117" w:rsidP="001E1700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ПРАВИЛНИК О ОРГАНИЗАЦИЈИ И УСЛОВИМА РАДА – КОПИЈА;  </w:t>
            </w:r>
          </w:p>
          <w:p w14:paraId="7C3F5E6E" w14:textId="2593CC4B" w:rsidR="00C42117" w:rsidRPr="006A0D4B" w:rsidRDefault="00C42117" w:rsidP="001E1700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НАСТАВНИ ПЛАН КОЈИ ЈЕ УСАГЛАШЕН СА ПРАВИЛНИКОМ КОЈИМ СЕ УРЕЂУЈЕ ПОСЕБНА ОБУКА И ПОЛАГАЊЕ СТРУЧНОГ ИСПИТА ИЗ ОБЛАСТИ ЗАШТИТЕ ОД ПОЖАРА – КОПИЈА; </w:t>
            </w:r>
          </w:p>
          <w:p w14:paraId="26169EB8" w14:textId="0C3F22BE" w:rsidR="00C42117" w:rsidRPr="006A0D4B" w:rsidRDefault="00C42117" w:rsidP="001E1700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 О ПРАВУ КОРИШЋЕЊА ПОСЛОВНОГ ПРОСТОРА, КАДА НИЈЕ У ПИТАЊУ УКЊИЖЕН ОБЈЕКАТ (УГОВОР О КУПОПРОДАЈИ, УГОВОР О ЗАКУПУ И СЛ.) – КОПИЈА;</w:t>
            </w:r>
          </w:p>
          <w:p w14:paraId="4CD3BCF4" w14:textId="6D247843" w:rsidR="00C42117" w:rsidRPr="006A0D4B" w:rsidRDefault="00C42117" w:rsidP="001E1700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 О ПРАВУ КОРИШЋЕЊА ПОЛИГОНА, КАДА НИЈЕ У ПИТАЊУ УКЊИЖЕН ОБЈЕКАТ (УГОВОР О КУПОПРОДАЈИ, УГОВОР О ЗАКУПУ И СЛ.) – КОПИЈА;</w:t>
            </w:r>
          </w:p>
          <w:p w14:paraId="7204BABF" w14:textId="2B2686BF" w:rsidR="00C42117" w:rsidRPr="006A0D4B" w:rsidRDefault="00C42117" w:rsidP="001E1700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>ДОКАЗИ О ОДГОВАРАЈУЋИМ СРЕДСТВИМА (УРЕЂАЈИ, СПРАВЕ, ТЕХНИЧКА И ДРУГА ОПРЕМА) ЗА ОДРЖАВАЊЕ ТЕОРЕТСКОГ И ПРАКТИЧНОГ ДЕЛА НАСТАВЕ – У ВЛАСНИШТВУ, ЗАКУПУ, ОДНОСНО У ТРАЈНОМ КОРИШЋЕЊУ ОБЕЗБЕЂЕНОМ ПО ДРУГОМ ОСНОВУ – КОПИЈА;</w:t>
            </w:r>
          </w:p>
          <w:p w14:paraId="3A7D36FC" w14:textId="000C1027" w:rsidR="00C42117" w:rsidRPr="006A0D4B" w:rsidRDefault="00C42117" w:rsidP="001E1700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ДОКАЗИ О БРОЈУ НАСТАВНОГ И СТРУЧНОГ ОСОБЉА ЗА ИЗВОЂЕЊЕ ТЕОРЕТСКЕ И ПРАКТИЧНЕ НАСТАВЕ, ОДГОВАРАЈУЋЕГ НИВОА ИЗ ОДГОВАРАЈУЋЕГ ОБРАЗОВНО-НАУЧНОГ ПОЉА И ОДГОВАРАЈУЋЕ СТРУЧНЕ ОБЛАСТИ – КОПИЈА; </w:t>
            </w:r>
          </w:p>
          <w:p w14:paraId="70B3364A" w14:textId="251FC8A5" w:rsidR="00C42117" w:rsidRPr="006A0D4B" w:rsidRDefault="00C42117" w:rsidP="001E1700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ind w:left="709"/>
              <w:jc w:val="both"/>
              <w:rPr>
                <w:sz w:val="22"/>
                <w:szCs w:val="22"/>
                <w:lang w:val="sr-Cyrl-RS"/>
              </w:rPr>
            </w:pPr>
            <w:r w:rsidRPr="006A0D4B">
              <w:rPr>
                <w:sz w:val="22"/>
                <w:szCs w:val="22"/>
                <w:lang w:val="sr-Cyrl-RS"/>
              </w:rPr>
              <w:t xml:space="preserve">ДОКАЗ/И О УПЛАТИ ТАКСЕ/И.  </w:t>
            </w:r>
          </w:p>
          <w:p w14:paraId="16A00BB0" w14:textId="7E4E26B3" w:rsidR="00C42117" w:rsidRPr="006A0D4B" w:rsidRDefault="00C42117" w:rsidP="0037798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Утврђивање испуњености посебних услова прописаних  </w:t>
            </w:r>
            <w:r w:rsidRPr="006A0D4B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овим правилником министарство врши на основу доказа које подноси пра</w:t>
            </w:r>
            <w:r w:rsidR="00C77E39" w:rsidRPr="006A0D4B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вно лице.</w:t>
            </w:r>
            <w:r w:rsidR="00AA26A0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ЧЛАНОМ 3. СТАВ 1. ТАЧ. 3) И 4) И ЧЛАНОМ 9. ОВОГ ПРАВИЛНИКА</w:t>
            </w:r>
            <w:r w:rsidR="00373854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AA26A0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НАДЛЕЖНИ ОРГАН ПРОВЕРАВА ПО СЛУЖБЕНОЈ ДУЖНОСТИ</w:t>
            </w:r>
            <w:r w:rsidR="006B37AF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83663B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УКЊИЖЕНЕ ОБЈЕКТЕ</w:t>
            </w:r>
            <w:r w:rsidR="00AA26A0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31D1FACF" w14:textId="7052434D" w:rsidR="00AA26A0" w:rsidRPr="006A0D4B" w:rsidRDefault="00AA26A0" w:rsidP="0037798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ИСПУЊЕНОСТ ПРОПИСАНИХ УСЛОВА У ПОГЛЕДУ ОБЈЕКАТА, ПРОСТОРА И ПРОСТОРИЈА, ПОЛИГОНА, ОДГОВАРАЈУЋИХ СРЕДСТАВА, НАСТАВНИХ УЧИЛА, СРЕДСТАВА И ПОМАГАЛА ПРОВЕРАВА НАДЛЕЖНИ ОРГАН У ПОСЛОВНОМ ПРОСТОРУ ПОДНОСИОЦА ЗАХТЕВА</w:t>
            </w:r>
            <w:r w:rsidR="006B37AF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EECD257" w14:textId="77777777" w:rsidR="006B37AF" w:rsidRPr="006A0D4B" w:rsidRDefault="006B37AF" w:rsidP="0037798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EDB47EF" w14:textId="0AD0B5DD" w:rsidR="00C42117" w:rsidRPr="006A0D4B" w:rsidRDefault="00C42117" w:rsidP="0037798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РЕШЕЊЕ О УТВРЂИВАЊУ ИСПУЊЕНОСТИ ПОСЕБНИХ УСЛОВА ЗА ИЗВОЂЕЊЕ ПОСЕБНЕ ОБУКЕ ЗА ЛИЦА КОЈА РАДЕ НА ПОСЛОВИМА ЗАШТИТЕ ОД ПОЖАРА ИЗ СТАВА 1. ОВОГ ЧЛАНА НАДЛЕЖНО МИНИСТАРСТВО ДОНОСИ У РОКУ ОД 30 ДАНА ОД ДАНА ПРИЈЕМА ЗАХТЕВА. </w:t>
            </w:r>
          </w:p>
          <w:p w14:paraId="14ED0B5F" w14:textId="77777777" w:rsidR="00C42117" w:rsidRPr="006A0D4B" w:rsidRDefault="00C42117" w:rsidP="0037798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Регистар садржи следеће податке: број уписа у регистар, назив правног лица, статусни облик, седиште, датум уписа у регистар, датум и разлоге за брисање из регистра.</w:t>
            </w:r>
          </w:p>
          <w:p w14:paraId="64DA0A56" w14:textId="77777777" w:rsidR="00C42117" w:rsidRPr="006A0D4B" w:rsidRDefault="00C42117" w:rsidP="00377989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Правно лице је дужно да обавести Министарство о датуму и времену почетка извођења посебне обуке, најкасније на дан почетка извођења наставе.</w:t>
            </w:r>
          </w:p>
          <w:p w14:paraId="264DD8A7" w14:textId="25E14D86" w:rsidR="003651DB" w:rsidRPr="006A0D4B" w:rsidRDefault="00C42117" w:rsidP="00A42BC4">
            <w:pPr>
              <w:shd w:val="clear" w:color="auto" w:fill="FFFFFF"/>
              <w:spacing w:after="150" w:line="248" w:lineRule="atLeas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свим променама посебних услова прописаних овим правилником, а на основу чије испуњености је правно лице стекло право да изводи посебну обуку, правно лице дужно је да обавести Министарство најкасније у року од осам дана од дана промене услова.</w:t>
            </w:r>
          </w:p>
          <w:p w14:paraId="28DA4344" w14:textId="4A05D6F7" w:rsidR="00632540" w:rsidRPr="006A0D4B" w:rsidRDefault="00632540" w:rsidP="002A202F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32540" w:rsidRPr="006A0D4B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6689FF4F" w:rsidR="00632540" w:rsidRPr="006A0D4B" w:rsidRDefault="00632540" w:rsidP="00E32BBE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A0D4B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632540" w:rsidRPr="006A0D4B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24124C18" w14:textId="77777777" w:rsidR="003F1DF7" w:rsidRPr="006A0D4B" w:rsidRDefault="003F1DF7" w:rsidP="003F1D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202.151,7 РСД. Усвајање и примена препорука ће донети привредним субјектима годишње директне уштеде од 33.150,45 РСД или 272,57 ЕУР. Ове уштеде износе 16,4% укупних директних трошкова привредних субјеката у поступку. </w:t>
            </w:r>
          </w:p>
          <w:p w14:paraId="6CFE0544" w14:textId="77777777" w:rsidR="003F1DF7" w:rsidRPr="006A0D4B" w:rsidRDefault="003F1DF7" w:rsidP="003F1D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5790C9" w14:textId="0390AA72" w:rsidR="007061BF" w:rsidRPr="006A0D4B" w:rsidRDefault="00D23211" w:rsidP="007061BF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  <w:r w:rsidR="003F1DF7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7061BF" w:rsidRPr="006A0D4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693263A" w14:textId="3789E5F9" w:rsidR="00A94C1B" w:rsidRPr="006A0D4B" w:rsidRDefault="003F1DF7" w:rsidP="003F1DF7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</w:t>
            </w:r>
            <w:r w:rsidR="003925FE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транспарентности поступка, правној сигурности привредних субјеката, поједностављењу поступка, скраћењу рокова у поступку, смањењу документације</w:t>
            </w:r>
            <w:r w:rsidR="003925FE"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6A0D4B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такође утиче на побољшање пословног амбијента.</w:t>
            </w:r>
          </w:p>
        </w:tc>
      </w:tr>
    </w:tbl>
    <w:p w14:paraId="316DC6AF" w14:textId="77777777" w:rsidR="003E3C16" w:rsidRPr="006A0D4B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6A0D4B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6A0D4B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6A0D4B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6A0D4B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6A0D4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84553" w14:textId="77777777" w:rsidR="00A23F93" w:rsidRDefault="00A23F93" w:rsidP="002A202F">
      <w:r>
        <w:separator/>
      </w:r>
    </w:p>
  </w:endnote>
  <w:endnote w:type="continuationSeparator" w:id="0">
    <w:p w14:paraId="43D90AFB" w14:textId="77777777" w:rsidR="00A23F93" w:rsidRDefault="00A23F9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2E6BFAF" w:rsidR="0099243A" w:rsidRDefault="0099243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0D4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7110971E" w14:textId="77777777" w:rsidR="0099243A" w:rsidRDefault="009924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23AB3E" w14:textId="77777777" w:rsidR="00A23F93" w:rsidRDefault="00A23F93" w:rsidP="002A202F">
      <w:r>
        <w:separator/>
      </w:r>
    </w:p>
  </w:footnote>
  <w:footnote w:type="continuationSeparator" w:id="0">
    <w:p w14:paraId="2679F51D" w14:textId="77777777" w:rsidR="00A23F93" w:rsidRDefault="00A23F93" w:rsidP="002A202F">
      <w:r>
        <w:continuationSeparator/>
      </w:r>
    </w:p>
  </w:footnote>
  <w:footnote w:id="1">
    <w:p w14:paraId="39F50703" w14:textId="5FE79262" w:rsidR="0099243A" w:rsidRPr="006868EE" w:rsidRDefault="0099243A" w:rsidP="00B863B9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  <w:rFonts w:eastAsia="Calibri"/>
        </w:rPr>
        <w:footnoteRef/>
      </w:r>
      <w:r>
        <w:t xml:space="preserve"> </w:t>
      </w:r>
      <w:bookmarkStart w:id="0" w:name="_Hlk528085978"/>
      <w:r w:rsidRPr="006868EE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6868EE">
        <w:rPr>
          <w:rFonts w:eastAsia="Calibri"/>
          <w:b/>
          <w:i/>
          <w:sz w:val="18"/>
          <w:szCs w:val="22"/>
          <w:lang w:val="sr-Cyrl-RS"/>
        </w:rPr>
        <w:t xml:space="preserve"> </w:t>
      </w:r>
      <w:r w:rsidRPr="006868EE">
        <w:rPr>
          <w:i/>
          <w:sz w:val="18"/>
          <w:szCs w:val="22"/>
          <w:lang w:val="sr-Cyrl-RS"/>
        </w:rPr>
        <w:t>Уредбе о прибављању и уступању података о чињеницама о којима се води службена евиденција (</w:t>
      </w:r>
      <w:r w:rsidR="00974EB4" w:rsidRPr="00974EB4">
        <w:rPr>
          <w:i/>
          <w:iCs/>
          <w:sz w:val="18"/>
          <w:szCs w:val="22"/>
        </w:rPr>
        <w:fldChar w:fldCharType="begin"/>
      </w:r>
      <w:r w:rsidR="00974EB4" w:rsidRPr="00974EB4">
        <w:rPr>
          <w:i/>
          <w:iCs/>
          <w:sz w:val="18"/>
          <w:szCs w:val="22"/>
          <w:lang w:val="sr-Cyrl-RS"/>
        </w:rPr>
        <w:instrText xml:space="preserve"> </w:instrText>
      </w:r>
      <w:r w:rsidR="00974EB4" w:rsidRPr="00974EB4">
        <w:rPr>
          <w:i/>
          <w:iCs/>
          <w:sz w:val="18"/>
          <w:szCs w:val="22"/>
        </w:rPr>
        <w:instrText>HYPERLINK</w:instrText>
      </w:r>
      <w:r w:rsidR="00974EB4" w:rsidRPr="00974EB4">
        <w:rPr>
          <w:i/>
          <w:iCs/>
          <w:sz w:val="18"/>
          <w:szCs w:val="22"/>
          <w:lang w:val="sr-Cyrl-RS"/>
        </w:rPr>
        <w:instrText xml:space="preserve"> "</w:instrText>
      </w:r>
      <w:r w:rsidR="00974EB4" w:rsidRPr="00974EB4">
        <w:rPr>
          <w:i/>
          <w:iCs/>
          <w:sz w:val="18"/>
          <w:szCs w:val="22"/>
        </w:rPr>
        <w:instrText>http</w:instrText>
      </w:r>
      <w:r w:rsidR="00974EB4" w:rsidRPr="00974EB4">
        <w:rPr>
          <w:i/>
          <w:iCs/>
          <w:sz w:val="18"/>
          <w:szCs w:val="22"/>
          <w:lang w:val="sr-Cyrl-RS"/>
        </w:rPr>
        <w:instrText>://</w:instrText>
      </w:r>
      <w:r w:rsidR="00974EB4" w:rsidRPr="00974EB4">
        <w:rPr>
          <w:i/>
          <w:iCs/>
          <w:sz w:val="18"/>
          <w:szCs w:val="22"/>
        </w:rPr>
        <w:instrText>mduls</w:instrText>
      </w:r>
      <w:r w:rsidR="00974EB4" w:rsidRPr="00974EB4">
        <w:rPr>
          <w:i/>
          <w:iCs/>
          <w:sz w:val="18"/>
          <w:szCs w:val="22"/>
          <w:lang w:val="sr-Cyrl-RS"/>
        </w:rPr>
        <w:instrText>.</w:instrText>
      </w:r>
      <w:r w:rsidR="00974EB4" w:rsidRPr="00974EB4">
        <w:rPr>
          <w:i/>
          <w:iCs/>
          <w:sz w:val="18"/>
          <w:szCs w:val="22"/>
        </w:rPr>
        <w:instrText>gov</w:instrText>
      </w:r>
      <w:r w:rsidR="00974EB4" w:rsidRPr="00974EB4">
        <w:rPr>
          <w:i/>
          <w:iCs/>
          <w:sz w:val="18"/>
          <w:szCs w:val="22"/>
          <w:lang w:val="sr-Cyrl-RS"/>
        </w:rPr>
        <w:instrText>.</w:instrText>
      </w:r>
      <w:r w:rsidR="00974EB4" w:rsidRPr="00974EB4">
        <w:rPr>
          <w:i/>
          <w:iCs/>
          <w:sz w:val="18"/>
          <w:szCs w:val="22"/>
        </w:rPr>
        <w:instrText>rs</w:instrText>
      </w:r>
      <w:r w:rsidR="00974EB4" w:rsidRPr="00974EB4">
        <w:rPr>
          <w:i/>
          <w:iCs/>
          <w:sz w:val="18"/>
          <w:szCs w:val="22"/>
          <w:lang w:val="sr-Cyrl-RS"/>
        </w:rPr>
        <w:instrText>/</w:instrText>
      </w:r>
      <w:r w:rsidR="00974EB4" w:rsidRPr="00974EB4">
        <w:rPr>
          <w:i/>
          <w:iCs/>
          <w:sz w:val="18"/>
          <w:szCs w:val="22"/>
        </w:rPr>
        <w:instrText>reforma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javne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uprave</w:instrText>
      </w:r>
      <w:r w:rsidR="00974EB4" w:rsidRPr="00974EB4">
        <w:rPr>
          <w:i/>
          <w:iCs/>
          <w:sz w:val="18"/>
          <w:szCs w:val="22"/>
          <w:lang w:val="sr-Cyrl-RS"/>
        </w:rPr>
        <w:instrText>/</w:instrText>
      </w:r>
      <w:r w:rsidR="00974EB4" w:rsidRPr="00974EB4">
        <w:rPr>
          <w:i/>
          <w:iCs/>
          <w:sz w:val="18"/>
          <w:szCs w:val="22"/>
        </w:rPr>
        <w:instrText>reforma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upravnog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postupka</w:instrText>
      </w:r>
      <w:r w:rsidR="00974EB4" w:rsidRPr="00974EB4">
        <w:rPr>
          <w:i/>
          <w:iCs/>
          <w:sz w:val="18"/>
          <w:szCs w:val="22"/>
          <w:lang w:val="sr-Cyrl-RS"/>
        </w:rPr>
        <w:instrText>/</w:instrText>
      </w:r>
      <w:r w:rsidR="00974EB4" w:rsidRPr="00974EB4">
        <w:rPr>
          <w:i/>
          <w:iCs/>
          <w:sz w:val="18"/>
          <w:szCs w:val="22"/>
        </w:rPr>
        <w:instrText>podrska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zaposlenima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u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koriscenju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ezup</w:instrText>
      </w:r>
      <w:r w:rsidR="00974EB4" w:rsidRPr="00974EB4">
        <w:rPr>
          <w:i/>
          <w:iCs/>
          <w:sz w:val="18"/>
          <w:szCs w:val="22"/>
          <w:lang w:val="sr-Cyrl-RS"/>
        </w:rPr>
        <w:instrText>-</w:instrText>
      </w:r>
      <w:r w:rsidR="00974EB4" w:rsidRPr="00974EB4">
        <w:rPr>
          <w:i/>
          <w:iCs/>
          <w:sz w:val="18"/>
          <w:szCs w:val="22"/>
        </w:rPr>
        <w:instrText>a</w:instrText>
      </w:r>
      <w:r w:rsidR="00974EB4" w:rsidRPr="00974EB4">
        <w:rPr>
          <w:i/>
          <w:iCs/>
          <w:sz w:val="18"/>
          <w:szCs w:val="22"/>
          <w:lang w:val="sr-Cyrl-RS"/>
        </w:rPr>
        <w:instrText>/" \</w:instrText>
      </w:r>
      <w:r w:rsidR="00974EB4" w:rsidRPr="00974EB4">
        <w:rPr>
          <w:i/>
          <w:iCs/>
          <w:sz w:val="18"/>
          <w:szCs w:val="22"/>
        </w:rPr>
        <w:instrText>t</w:instrText>
      </w:r>
      <w:r w:rsidR="00974EB4" w:rsidRPr="00974EB4">
        <w:rPr>
          <w:i/>
          <w:iCs/>
          <w:sz w:val="18"/>
          <w:szCs w:val="22"/>
          <w:lang w:val="sr-Cyrl-RS"/>
        </w:rPr>
        <w:instrText xml:space="preserve"> "_</w:instrText>
      </w:r>
      <w:r w:rsidR="00974EB4" w:rsidRPr="00974EB4">
        <w:rPr>
          <w:i/>
          <w:iCs/>
          <w:sz w:val="18"/>
          <w:szCs w:val="22"/>
        </w:rPr>
        <w:instrText>blank</w:instrText>
      </w:r>
      <w:r w:rsidR="00974EB4" w:rsidRPr="00974EB4">
        <w:rPr>
          <w:i/>
          <w:iCs/>
          <w:sz w:val="18"/>
          <w:szCs w:val="22"/>
          <w:lang w:val="sr-Cyrl-RS"/>
        </w:rPr>
        <w:instrText xml:space="preserve">" </w:instrText>
      </w:r>
      <w:r w:rsidR="00974EB4" w:rsidRPr="00974EB4">
        <w:rPr>
          <w:i/>
          <w:iCs/>
          <w:sz w:val="18"/>
          <w:szCs w:val="22"/>
        </w:rPr>
        <w:fldChar w:fldCharType="separate"/>
      </w:r>
      <w:r w:rsidR="00974EB4" w:rsidRPr="00974EB4">
        <w:rPr>
          <w:rStyle w:val="Hyperlink"/>
          <w:i/>
          <w:iCs/>
          <w:sz w:val="18"/>
          <w:szCs w:val="22"/>
        </w:rPr>
        <w:t>http</w:t>
      </w:r>
      <w:r w:rsidR="00974EB4" w:rsidRPr="00974EB4">
        <w:rPr>
          <w:rStyle w:val="Hyperlink"/>
          <w:i/>
          <w:iCs/>
          <w:sz w:val="18"/>
          <w:szCs w:val="22"/>
          <w:lang w:val="sr-Cyrl-RS"/>
        </w:rPr>
        <w:t>://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mduls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.</w:t>
      </w:r>
      <w:r w:rsidR="00974EB4" w:rsidRPr="00974EB4">
        <w:rPr>
          <w:rStyle w:val="Hyperlink"/>
          <w:i/>
          <w:iCs/>
          <w:sz w:val="18"/>
          <w:szCs w:val="22"/>
        </w:rPr>
        <w:t>gov</w:t>
      </w:r>
      <w:r w:rsidR="00974EB4" w:rsidRPr="00974EB4">
        <w:rPr>
          <w:rStyle w:val="Hyperlink"/>
          <w:i/>
          <w:iCs/>
          <w:sz w:val="18"/>
          <w:szCs w:val="22"/>
          <w:lang w:val="sr-Cyrl-RS"/>
        </w:rPr>
        <w:t>.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rs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reforma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javne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uprave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reforma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upravnog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postupka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podrska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zaposlenima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r w:rsidR="00974EB4" w:rsidRPr="00974EB4">
        <w:rPr>
          <w:rStyle w:val="Hyperlink"/>
          <w:i/>
          <w:iCs/>
          <w:sz w:val="18"/>
          <w:szCs w:val="22"/>
        </w:rPr>
        <w:t>u</w:t>
      </w:r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koriscenju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974EB4" w:rsidRPr="00974EB4">
        <w:rPr>
          <w:rStyle w:val="Hyperlink"/>
          <w:i/>
          <w:iCs/>
          <w:sz w:val="18"/>
          <w:szCs w:val="22"/>
        </w:rPr>
        <w:t>ezup</w:t>
      </w:r>
      <w:proofErr w:type="spellEnd"/>
      <w:r w:rsidR="00974EB4" w:rsidRPr="00974EB4">
        <w:rPr>
          <w:rStyle w:val="Hyperlink"/>
          <w:i/>
          <w:iCs/>
          <w:sz w:val="18"/>
          <w:szCs w:val="22"/>
          <w:lang w:val="sr-Cyrl-RS"/>
        </w:rPr>
        <w:t>-</w:t>
      </w:r>
      <w:r w:rsidR="00974EB4" w:rsidRPr="00974EB4">
        <w:rPr>
          <w:rStyle w:val="Hyperlink"/>
          <w:i/>
          <w:iCs/>
          <w:sz w:val="18"/>
          <w:szCs w:val="22"/>
        </w:rPr>
        <w:t>a</w:t>
      </w:r>
      <w:r w:rsidR="00974EB4" w:rsidRPr="00974EB4">
        <w:rPr>
          <w:rStyle w:val="Hyperlink"/>
          <w:i/>
          <w:iCs/>
          <w:sz w:val="18"/>
          <w:szCs w:val="22"/>
          <w:lang w:val="sr-Cyrl-RS"/>
        </w:rPr>
        <w:t>/</w:t>
      </w:r>
      <w:r w:rsidR="00974EB4" w:rsidRPr="00974EB4">
        <w:rPr>
          <w:i/>
          <w:sz w:val="18"/>
          <w:szCs w:val="22"/>
          <w:lang w:val="sr-Cyrl-RS"/>
        </w:rPr>
        <w:fldChar w:fldCharType="end"/>
      </w:r>
      <w:r w:rsidRPr="006868EE">
        <w:rPr>
          <w:i/>
          <w:sz w:val="18"/>
          <w:szCs w:val="22"/>
          <w:lang w:val="sr-Cyrl-RS"/>
        </w:rPr>
        <w:t xml:space="preserve">). </w:t>
      </w:r>
    </w:p>
    <w:bookmarkEnd w:id="0"/>
    <w:p w14:paraId="4BD26645" w14:textId="5A6A4565" w:rsidR="0099243A" w:rsidRPr="00B863B9" w:rsidRDefault="0099243A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2778E"/>
    <w:multiLevelType w:val="hybridMultilevel"/>
    <w:tmpl w:val="37087D34"/>
    <w:lvl w:ilvl="0" w:tplc="08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8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5646C"/>
    <w:multiLevelType w:val="hybridMultilevel"/>
    <w:tmpl w:val="AC12D08C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5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6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A0DAD"/>
    <w:multiLevelType w:val="hybridMultilevel"/>
    <w:tmpl w:val="06B49066"/>
    <w:lvl w:ilvl="0" w:tplc="9036D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720506D"/>
    <w:multiLevelType w:val="hybridMultilevel"/>
    <w:tmpl w:val="6D6AF64E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F1CBA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57E23DE"/>
    <w:multiLevelType w:val="hybridMultilevel"/>
    <w:tmpl w:val="5ED6D03C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3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B3ED0"/>
    <w:multiLevelType w:val="hybridMultilevel"/>
    <w:tmpl w:val="CDE0C03A"/>
    <w:lvl w:ilvl="0" w:tplc="0809000F">
      <w:start w:val="1"/>
      <w:numFmt w:val="decimal"/>
      <w:lvlText w:val="%1."/>
      <w:lvlJc w:val="left"/>
      <w:pPr>
        <w:ind w:left="1051" w:hanging="360"/>
      </w:pPr>
    </w:lvl>
    <w:lvl w:ilvl="1" w:tplc="08090019" w:tentative="1">
      <w:start w:val="1"/>
      <w:numFmt w:val="lowerLetter"/>
      <w:lvlText w:val="%2."/>
      <w:lvlJc w:val="left"/>
      <w:pPr>
        <w:ind w:left="1771" w:hanging="360"/>
      </w:pPr>
    </w:lvl>
    <w:lvl w:ilvl="2" w:tplc="0809001B" w:tentative="1">
      <w:start w:val="1"/>
      <w:numFmt w:val="lowerRoman"/>
      <w:lvlText w:val="%3."/>
      <w:lvlJc w:val="right"/>
      <w:pPr>
        <w:ind w:left="2491" w:hanging="180"/>
      </w:pPr>
    </w:lvl>
    <w:lvl w:ilvl="3" w:tplc="0809000F" w:tentative="1">
      <w:start w:val="1"/>
      <w:numFmt w:val="decimal"/>
      <w:lvlText w:val="%4."/>
      <w:lvlJc w:val="left"/>
      <w:pPr>
        <w:ind w:left="3211" w:hanging="360"/>
      </w:pPr>
    </w:lvl>
    <w:lvl w:ilvl="4" w:tplc="08090019" w:tentative="1">
      <w:start w:val="1"/>
      <w:numFmt w:val="lowerLetter"/>
      <w:lvlText w:val="%5."/>
      <w:lvlJc w:val="left"/>
      <w:pPr>
        <w:ind w:left="3931" w:hanging="360"/>
      </w:pPr>
    </w:lvl>
    <w:lvl w:ilvl="5" w:tplc="0809001B" w:tentative="1">
      <w:start w:val="1"/>
      <w:numFmt w:val="lowerRoman"/>
      <w:lvlText w:val="%6."/>
      <w:lvlJc w:val="right"/>
      <w:pPr>
        <w:ind w:left="4651" w:hanging="180"/>
      </w:pPr>
    </w:lvl>
    <w:lvl w:ilvl="6" w:tplc="0809000F" w:tentative="1">
      <w:start w:val="1"/>
      <w:numFmt w:val="decimal"/>
      <w:lvlText w:val="%7."/>
      <w:lvlJc w:val="left"/>
      <w:pPr>
        <w:ind w:left="5371" w:hanging="360"/>
      </w:pPr>
    </w:lvl>
    <w:lvl w:ilvl="7" w:tplc="08090019" w:tentative="1">
      <w:start w:val="1"/>
      <w:numFmt w:val="lowerLetter"/>
      <w:lvlText w:val="%8."/>
      <w:lvlJc w:val="left"/>
      <w:pPr>
        <w:ind w:left="6091" w:hanging="360"/>
      </w:pPr>
    </w:lvl>
    <w:lvl w:ilvl="8" w:tplc="080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0" w15:restartNumberingAfterBreak="0">
    <w:nsid w:val="76DB02A7"/>
    <w:multiLevelType w:val="hybridMultilevel"/>
    <w:tmpl w:val="A4A28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4"/>
  </w:num>
  <w:num w:numId="4">
    <w:abstractNumId w:val="9"/>
  </w:num>
  <w:num w:numId="5">
    <w:abstractNumId w:val="6"/>
  </w:num>
  <w:num w:numId="6">
    <w:abstractNumId w:val="23"/>
  </w:num>
  <w:num w:numId="7">
    <w:abstractNumId w:val="42"/>
  </w:num>
  <w:num w:numId="8">
    <w:abstractNumId w:val="18"/>
  </w:num>
  <w:num w:numId="9">
    <w:abstractNumId w:val="35"/>
  </w:num>
  <w:num w:numId="10">
    <w:abstractNumId w:val="33"/>
  </w:num>
  <w:num w:numId="11">
    <w:abstractNumId w:val="31"/>
  </w:num>
  <w:num w:numId="12">
    <w:abstractNumId w:val="29"/>
  </w:num>
  <w:num w:numId="13">
    <w:abstractNumId w:val="26"/>
  </w:num>
  <w:num w:numId="14">
    <w:abstractNumId w:val="34"/>
  </w:num>
  <w:num w:numId="15">
    <w:abstractNumId w:val="28"/>
  </w:num>
  <w:num w:numId="16">
    <w:abstractNumId w:val="20"/>
  </w:num>
  <w:num w:numId="17">
    <w:abstractNumId w:val="16"/>
  </w:num>
  <w:num w:numId="18">
    <w:abstractNumId w:val="38"/>
  </w:num>
  <w:num w:numId="19">
    <w:abstractNumId w:val="10"/>
  </w:num>
  <w:num w:numId="20">
    <w:abstractNumId w:val="43"/>
  </w:num>
  <w:num w:numId="21">
    <w:abstractNumId w:val="12"/>
  </w:num>
  <w:num w:numId="22">
    <w:abstractNumId w:val="8"/>
  </w:num>
  <w:num w:numId="23">
    <w:abstractNumId w:val="27"/>
  </w:num>
  <w:num w:numId="24">
    <w:abstractNumId w:val="2"/>
  </w:num>
  <w:num w:numId="25">
    <w:abstractNumId w:val="15"/>
  </w:num>
  <w:num w:numId="26">
    <w:abstractNumId w:val="7"/>
  </w:num>
  <w:num w:numId="27">
    <w:abstractNumId w:val="1"/>
  </w:num>
  <w:num w:numId="28">
    <w:abstractNumId w:val="3"/>
  </w:num>
  <w:num w:numId="29">
    <w:abstractNumId w:val="36"/>
  </w:num>
  <w:num w:numId="30">
    <w:abstractNumId w:val="19"/>
  </w:num>
  <w:num w:numId="31">
    <w:abstractNumId w:val="41"/>
  </w:num>
  <w:num w:numId="32">
    <w:abstractNumId w:val="25"/>
  </w:num>
  <w:num w:numId="33">
    <w:abstractNumId w:val="5"/>
  </w:num>
  <w:num w:numId="34">
    <w:abstractNumId w:val="4"/>
  </w:num>
  <w:num w:numId="35">
    <w:abstractNumId w:val="30"/>
  </w:num>
  <w:num w:numId="36">
    <w:abstractNumId w:val="32"/>
  </w:num>
  <w:num w:numId="37">
    <w:abstractNumId w:val="21"/>
  </w:num>
  <w:num w:numId="38">
    <w:abstractNumId w:val="11"/>
  </w:num>
  <w:num w:numId="39">
    <w:abstractNumId w:val="22"/>
  </w:num>
  <w:num w:numId="40">
    <w:abstractNumId w:val="14"/>
  </w:num>
  <w:num w:numId="41">
    <w:abstractNumId w:val="37"/>
  </w:num>
  <w:num w:numId="42">
    <w:abstractNumId w:val="39"/>
  </w:num>
  <w:num w:numId="43">
    <w:abstractNumId w:val="17"/>
  </w:num>
  <w:num w:numId="44">
    <w:abstractNumId w:val="40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0306"/>
    <w:rsid w:val="0002288F"/>
    <w:rsid w:val="00023EF9"/>
    <w:rsid w:val="00026C2F"/>
    <w:rsid w:val="00027945"/>
    <w:rsid w:val="00034CDF"/>
    <w:rsid w:val="00036812"/>
    <w:rsid w:val="00041715"/>
    <w:rsid w:val="00044F35"/>
    <w:rsid w:val="00044F63"/>
    <w:rsid w:val="000476F6"/>
    <w:rsid w:val="00050616"/>
    <w:rsid w:val="000525F3"/>
    <w:rsid w:val="000530AF"/>
    <w:rsid w:val="00061070"/>
    <w:rsid w:val="00083993"/>
    <w:rsid w:val="000916D2"/>
    <w:rsid w:val="00092B84"/>
    <w:rsid w:val="0009542A"/>
    <w:rsid w:val="000A53F3"/>
    <w:rsid w:val="000A5CDC"/>
    <w:rsid w:val="000B54D7"/>
    <w:rsid w:val="000B60B4"/>
    <w:rsid w:val="000D5029"/>
    <w:rsid w:val="000D7847"/>
    <w:rsid w:val="000D7EB5"/>
    <w:rsid w:val="000E145E"/>
    <w:rsid w:val="000E2036"/>
    <w:rsid w:val="000E4778"/>
    <w:rsid w:val="000E7FFA"/>
    <w:rsid w:val="000F5E72"/>
    <w:rsid w:val="0011271F"/>
    <w:rsid w:val="001156BA"/>
    <w:rsid w:val="0015182D"/>
    <w:rsid w:val="00161847"/>
    <w:rsid w:val="00170CA7"/>
    <w:rsid w:val="00193D36"/>
    <w:rsid w:val="001953AC"/>
    <w:rsid w:val="00196255"/>
    <w:rsid w:val="001969BA"/>
    <w:rsid w:val="001A023F"/>
    <w:rsid w:val="001A3FAC"/>
    <w:rsid w:val="001A6472"/>
    <w:rsid w:val="001C3429"/>
    <w:rsid w:val="001C3962"/>
    <w:rsid w:val="001D0EDE"/>
    <w:rsid w:val="001D20E2"/>
    <w:rsid w:val="001D7BFA"/>
    <w:rsid w:val="001E1700"/>
    <w:rsid w:val="001E38DE"/>
    <w:rsid w:val="001E4372"/>
    <w:rsid w:val="001F53BB"/>
    <w:rsid w:val="001F7B31"/>
    <w:rsid w:val="0020601F"/>
    <w:rsid w:val="0021261F"/>
    <w:rsid w:val="00212DA5"/>
    <w:rsid w:val="0021347C"/>
    <w:rsid w:val="00216148"/>
    <w:rsid w:val="00226012"/>
    <w:rsid w:val="00226460"/>
    <w:rsid w:val="002323AC"/>
    <w:rsid w:val="00261404"/>
    <w:rsid w:val="00275E2A"/>
    <w:rsid w:val="002776C5"/>
    <w:rsid w:val="00285980"/>
    <w:rsid w:val="002931CB"/>
    <w:rsid w:val="00296938"/>
    <w:rsid w:val="002A202F"/>
    <w:rsid w:val="002B19B4"/>
    <w:rsid w:val="002B7102"/>
    <w:rsid w:val="002D1C00"/>
    <w:rsid w:val="002D4078"/>
    <w:rsid w:val="002E16FB"/>
    <w:rsid w:val="002E223D"/>
    <w:rsid w:val="002F1BEC"/>
    <w:rsid w:val="002F4757"/>
    <w:rsid w:val="0031340C"/>
    <w:rsid w:val="003145F9"/>
    <w:rsid w:val="00322199"/>
    <w:rsid w:val="003223C7"/>
    <w:rsid w:val="00326555"/>
    <w:rsid w:val="003410E0"/>
    <w:rsid w:val="00350EAD"/>
    <w:rsid w:val="003625C2"/>
    <w:rsid w:val="003651DB"/>
    <w:rsid w:val="003715A0"/>
    <w:rsid w:val="0037171F"/>
    <w:rsid w:val="00373854"/>
    <w:rsid w:val="00376FD1"/>
    <w:rsid w:val="00377989"/>
    <w:rsid w:val="00383EE2"/>
    <w:rsid w:val="0039002C"/>
    <w:rsid w:val="003925FE"/>
    <w:rsid w:val="003B44DB"/>
    <w:rsid w:val="003B4BC9"/>
    <w:rsid w:val="003B6298"/>
    <w:rsid w:val="003E2EB1"/>
    <w:rsid w:val="003E3C16"/>
    <w:rsid w:val="003F1DF7"/>
    <w:rsid w:val="004005B4"/>
    <w:rsid w:val="00407D96"/>
    <w:rsid w:val="00415B20"/>
    <w:rsid w:val="00432495"/>
    <w:rsid w:val="004365F8"/>
    <w:rsid w:val="00440C88"/>
    <w:rsid w:val="00444DA7"/>
    <w:rsid w:val="00452D92"/>
    <w:rsid w:val="004531C4"/>
    <w:rsid w:val="00453EB7"/>
    <w:rsid w:val="00457882"/>
    <w:rsid w:val="00463CC7"/>
    <w:rsid w:val="00465A72"/>
    <w:rsid w:val="00477AAF"/>
    <w:rsid w:val="00480538"/>
    <w:rsid w:val="004809C4"/>
    <w:rsid w:val="00482AA6"/>
    <w:rsid w:val="0048433C"/>
    <w:rsid w:val="004847B1"/>
    <w:rsid w:val="004856CC"/>
    <w:rsid w:val="00492E55"/>
    <w:rsid w:val="0049545B"/>
    <w:rsid w:val="004A1A68"/>
    <w:rsid w:val="004A5197"/>
    <w:rsid w:val="004B4AA7"/>
    <w:rsid w:val="004C1E43"/>
    <w:rsid w:val="004C7F9A"/>
    <w:rsid w:val="004D0C94"/>
    <w:rsid w:val="004D3BD0"/>
    <w:rsid w:val="004D45B1"/>
    <w:rsid w:val="004D68A7"/>
    <w:rsid w:val="004E29D1"/>
    <w:rsid w:val="004E5F7C"/>
    <w:rsid w:val="004F2363"/>
    <w:rsid w:val="00500566"/>
    <w:rsid w:val="005073A3"/>
    <w:rsid w:val="00513BFE"/>
    <w:rsid w:val="00523608"/>
    <w:rsid w:val="00524A51"/>
    <w:rsid w:val="00525C0A"/>
    <w:rsid w:val="00535608"/>
    <w:rsid w:val="00536866"/>
    <w:rsid w:val="005439E8"/>
    <w:rsid w:val="005460B7"/>
    <w:rsid w:val="00556688"/>
    <w:rsid w:val="0056162B"/>
    <w:rsid w:val="00562D87"/>
    <w:rsid w:val="0056707B"/>
    <w:rsid w:val="00567CEF"/>
    <w:rsid w:val="00581A9D"/>
    <w:rsid w:val="00582F2F"/>
    <w:rsid w:val="005865D5"/>
    <w:rsid w:val="005A2503"/>
    <w:rsid w:val="005B4F04"/>
    <w:rsid w:val="005B7CB9"/>
    <w:rsid w:val="005D0023"/>
    <w:rsid w:val="005E18EE"/>
    <w:rsid w:val="005E21C4"/>
    <w:rsid w:val="005F4D59"/>
    <w:rsid w:val="005F4E86"/>
    <w:rsid w:val="0060001C"/>
    <w:rsid w:val="00600D31"/>
    <w:rsid w:val="00603F00"/>
    <w:rsid w:val="0060786A"/>
    <w:rsid w:val="00621751"/>
    <w:rsid w:val="006237FE"/>
    <w:rsid w:val="00623D45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4B28"/>
    <w:rsid w:val="006A0D4B"/>
    <w:rsid w:val="006B37AF"/>
    <w:rsid w:val="006B760A"/>
    <w:rsid w:val="006C5349"/>
    <w:rsid w:val="006C5F2A"/>
    <w:rsid w:val="006C662C"/>
    <w:rsid w:val="006E270E"/>
    <w:rsid w:val="006F4A5C"/>
    <w:rsid w:val="007061BF"/>
    <w:rsid w:val="00715F5C"/>
    <w:rsid w:val="007177AE"/>
    <w:rsid w:val="007278C1"/>
    <w:rsid w:val="00733493"/>
    <w:rsid w:val="00737F1D"/>
    <w:rsid w:val="00751522"/>
    <w:rsid w:val="00781811"/>
    <w:rsid w:val="00782816"/>
    <w:rsid w:val="007831C7"/>
    <w:rsid w:val="00785A46"/>
    <w:rsid w:val="00785BA6"/>
    <w:rsid w:val="007861E3"/>
    <w:rsid w:val="007940D6"/>
    <w:rsid w:val="007A05F9"/>
    <w:rsid w:val="007A1E47"/>
    <w:rsid w:val="007B0E25"/>
    <w:rsid w:val="007B1740"/>
    <w:rsid w:val="007B60C1"/>
    <w:rsid w:val="007C61B5"/>
    <w:rsid w:val="007D3889"/>
    <w:rsid w:val="007D39E4"/>
    <w:rsid w:val="007D43A7"/>
    <w:rsid w:val="007E1695"/>
    <w:rsid w:val="007F204C"/>
    <w:rsid w:val="00804060"/>
    <w:rsid w:val="00804079"/>
    <w:rsid w:val="00815C17"/>
    <w:rsid w:val="008166C9"/>
    <w:rsid w:val="0081674E"/>
    <w:rsid w:val="00822EAA"/>
    <w:rsid w:val="00824E43"/>
    <w:rsid w:val="00833D8C"/>
    <w:rsid w:val="00833F48"/>
    <w:rsid w:val="00834C9A"/>
    <w:rsid w:val="0083663B"/>
    <w:rsid w:val="00841ACC"/>
    <w:rsid w:val="00843E2C"/>
    <w:rsid w:val="0084708C"/>
    <w:rsid w:val="00852739"/>
    <w:rsid w:val="00854EB1"/>
    <w:rsid w:val="008629CC"/>
    <w:rsid w:val="00865EBB"/>
    <w:rsid w:val="00876146"/>
    <w:rsid w:val="0087652B"/>
    <w:rsid w:val="00886C36"/>
    <w:rsid w:val="008A20C1"/>
    <w:rsid w:val="008A29B0"/>
    <w:rsid w:val="008A2FB4"/>
    <w:rsid w:val="008A6AC8"/>
    <w:rsid w:val="008A7D05"/>
    <w:rsid w:val="008C5591"/>
    <w:rsid w:val="008D04A6"/>
    <w:rsid w:val="008D4C1A"/>
    <w:rsid w:val="008F0867"/>
    <w:rsid w:val="008F172F"/>
    <w:rsid w:val="008F2044"/>
    <w:rsid w:val="008F2BE1"/>
    <w:rsid w:val="008F3306"/>
    <w:rsid w:val="008F4DD1"/>
    <w:rsid w:val="009056DB"/>
    <w:rsid w:val="0090655C"/>
    <w:rsid w:val="0090712F"/>
    <w:rsid w:val="00915EE6"/>
    <w:rsid w:val="00943408"/>
    <w:rsid w:val="00947592"/>
    <w:rsid w:val="00950280"/>
    <w:rsid w:val="00974EB4"/>
    <w:rsid w:val="0097696A"/>
    <w:rsid w:val="00980F07"/>
    <w:rsid w:val="00991A18"/>
    <w:rsid w:val="0099243A"/>
    <w:rsid w:val="00994A16"/>
    <w:rsid w:val="00997959"/>
    <w:rsid w:val="009A30D3"/>
    <w:rsid w:val="009A3756"/>
    <w:rsid w:val="009D03A7"/>
    <w:rsid w:val="009E0479"/>
    <w:rsid w:val="00A0102E"/>
    <w:rsid w:val="00A06736"/>
    <w:rsid w:val="00A12960"/>
    <w:rsid w:val="00A1570D"/>
    <w:rsid w:val="00A22386"/>
    <w:rsid w:val="00A23F93"/>
    <w:rsid w:val="00A25EC8"/>
    <w:rsid w:val="00A2725C"/>
    <w:rsid w:val="00A42BC4"/>
    <w:rsid w:val="00A56B75"/>
    <w:rsid w:val="00A70775"/>
    <w:rsid w:val="00A71C04"/>
    <w:rsid w:val="00A94633"/>
    <w:rsid w:val="00A94C1B"/>
    <w:rsid w:val="00A95A45"/>
    <w:rsid w:val="00AA0017"/>
    <w:rsid w:val="00AA26A0"/>
    <w:rsid w:val="00AA425A"/>
    <w:rsid w:val="00AA4952"/>
    <w:rsid w:val="00AA4BC5"/>
    <w:rsid w:val="00AB09B3"/>
    <w:rsid w:val="00AB5CC6"/>
    <w:rsid w:val="00AC02D1"/>
    <w:rsid w:val="00AD3B10"/>
    <w:rsid w:val="00AD4658"/>
    <w:rsid w:val="00AE1A12"/>
    <w:rsid w:val="00AE7CA3"/>
    <w:rsid w:val="00B05E86"/>
    <w:rsid w:val="00B06019"/>
    <w:rsid w:val="00B07409"/>
    <w:rsid w:val="00B1006E"/>
    <w:rsid w:val="00B101C7"/>
    <w:rsid w:val="00B14445"/>
    <w:rsid w:val="00B14A75"/>
    <w:rsid w:val="00B178FB"/>
    <w:rsid w:val="00B20741"/>
    <w:rsid w:val="00B23678"/>
    <w:rsid w:val="00B252C9"/>
    <w:rsid w:val="00B44926"/>
    <w:rsid w:val="00B508D2"/>
    <w:rsid w:val="00B5252A"/>
    <w:rsid w:val="00B57D2B"/>
    <w:rsid w:val="00B6077E"/>
    <w:rsid w:val="00B63DB1"/>
    <w:rsid w:val="00B65F5D"/>
    <w:rsid w:val="00B67138"/>
    <w:rsid w:val="00B6715C"/>
    <w:rsid w:val="00B704A7"/>
    <w:rsid w:val="00B81CFE"/>
    <w:rsid w:val="00B863B9"/>
    <w:rsid w:val="00B903AE"/>
    <w:rsid w:val="00B9157F"/>
    <w:rsid w:val="00B95225"/>
    <w:rsid w:val="00BA0E05"/>
    <w:rsid w:val="00BA55D3"/>
    <w:rsid w:val="00BA6759"/>
    <w:rsid w:val="00BA7204"/>
    <w:rsid w:val="00BB3E92"/>
    <w:rsid w:val="00BB45DD"/>
    <w:rsid w:val="00C0295C"/>
    <w:rsid w:val="00C03C06"/>
    <w:rsid w:val="00C121EC"/>
    <w:rsid w:val="00C12C65"/>
    <w:rsid w:val="00C12CF8"/>
    <w:rsid w:val="00C36AC2"/>
    <w:rsid w:val="00C42117"/>
    <w:rsid w:val="00C42B27"/>
    <w:rsid w:val="00C436CC"/>
    <w:rsid w:val="00C445E2"/>
    <w:rsid w:val="00C65107"/>
    <w:rsid w:val="00C7129D"/>
    <w:rsid w:val="00C748D1"/>
    <w:rsid w:val="00C77E39"/>
    <w:rsid w:val="00C82093"/>
    <w:rsid w:val="00C91014"/>
    <w:rsid w:val="00CB1A4E"/>
    <w:rsid w:val="00CC29F6"/>
    <w:rsid w:val="00CC48FF"/>
    <w:rsid w:val="00CD2287"/>
    <w:rsid w:val="00CD47EC"/>
    <w:rsid w:val="00CD5BBB"/>
    <w:rsid w:val="00CE0685"/>
    <w:rsid w:val="00CE256C"/>
    <w:rsid w:val="00D217BF"/>
    <w:rsid w:val="00D23211"/>
    <w:rsid w:val="00D266B3"/>
    <w:rsid w:val="00D73628"/>
    <w:rsid w:val="00D73918"/>
    <w:rsid w:val="00D84E7F"/>
    <w:rsid w:val="00D967D7"/>
    <w:rsid w:val="00DA125D"/>
    <w:rsid w:val="00DA68A8"/>
    <w:rsid w:val="00DB2A31"/>
    <w:rsid w:val="00DC0F2A"/>
    <w:rsid w:val="00DC4BC2"/>
    <w:rsid w:val="00DD42C1"/>
    <w:rsid w:val="00DE057D"/>
    <w:rsid w:val="00DF0F21"/>
    <w:rsid w:val="00E0020F"/>
    <w:rsid w:val="00E06CE2"/>
    <w:rsid w:val="00E118C7"/>
    <w:rsid w:val="00E1427B"/>
    <w:rsid w:val="00E14E0D"/>
    <w:rsid w:val="00E22B8B"/>
    <w:rsid w:val="00E32BBE"/>
    <w:rsid w:val="00E40DF0"/>
    <w:rsid w:val="00E4267B"/>
    <w:rsid w:val="00E47DAC"/>
    <w:rsid w:val="00E50721"/>
    <w:rsid w:val="00E63C8A"/>
    <w:rsid w:val="00E65C93"/>
    <w:rsid w:val="00E70BF6"/>
    <w:rsid w:val="00E800D7"/>
    <w:rsid w:val="00EB1E24"/>
    <w:rsid w:val="00EB617F"/>
    <w:rsid w:val="00EE5584"/>
    <w:rsid w:val="00F11C98"/>
    <w:rsid w:val="00F12E47"/>
    <w:rsid w:val="00F17354"/>
    <w:rsid w:val="00F17680"/>
    <w:rsid w:val="00F223B2"/>
    <w:rsid w:val="00F327B0"/>
    <w:rsid w:val="00F53241"/>
    <w:rsid w:val="00F67790"/>
    <w:rsid w:val="00F74844"/>
    <w:rsid w:val="00F819D3"/>
    <w:rsid w:val="00FA0A4B"/>
    <w:rsid w:val="00FA4058"/>
    <w:rsid w:val="00FB1A1B"/>
    <w:rsid w:val="00FB645B"/>
    <w:rsid w:val="00FC09D6"/>
    <w:rsid w:val="00FC34EC"/>
    <w:rsid w:val="00FC3F69"/>
    <w:rsid w:val="00FC5312"/>
    <w:rsid w:val="00FD3964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DD22FEB-D382-45DA-8F95-C40A6D95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079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0407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03F0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FA59-AF3D-4341-A161-3463C0822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9</Pages>
  <Words>2983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Katarina Milanovic</cp:lastModifiedBy>
  <cp:revision>28</cp:revision>
  <cp:lastPrinted>2018-09-10T06:55:00Z</cp:lastPrinted>
  <dcterms:created xsi:type="dcterms:W3CDTF">2019-03-01T11:56:00Z</dcterms:created>
  <dcterms:modified xsi:type="dcterms:W3CDTF">2019-04-08T11:50:00Z</dcterms:modified>
</cp:coreProperties>
</file>