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65E5CA23" w:rsidR="000E2036" w:rsidRPr="00040C67" w:rsidRDefault="005549B3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040C67">
        <w:rPr>
          <w:b/>
          <w:sz w:val="22"/>
          <w:szCs w:val="22"/>
          <w:lang w:val="sr-Cyrl-RS"/>
        </w:rPr>
        <w:t xml:space="preserve">ПОЈЕДНОСТАВЉЕЊЕ ПОСТУПКА ИЗДАВАЊА САГЛАСНОСТИ НА ПЛАН ЗАШТИТЕ И СПАСАВАЊА </w:t>
      </w:r>
    </w:p>
    <w:p w14:paraId="2986C640" w14:textId="77777777" w:rsidR="0021261F" w:rsidRPr="00040C67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040C67" w14:paraId="1976FB87" w14:textId="77777777" w:rsidTr="00B514A0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040C67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3" w:type="dxa"/>
            <w:vAlign w:val="center"/>
          </w:tcPr>
          <w:p w14:paraId="5FD56B01" w14:textId="69580563" w:rsidR="000E2036" w:rsidRPr="00040C67" w:rsidRDefault="00436E88" w:rsidP="0002619E">
            <w:pPr>
              <w:pStyle w:val="NormalWeb"/>
              <w:spacing w:before="120" w:beforeAutospacing="0" w:after="120" w:afterAutospacing="0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Сагласност на План заштите и спасавања</w:t>
            </w:r>
          </w:p>
        </w:tc>
      </w:tr>
      <w:tr w:rsidR="000E2036" w:rsidRPr="00040C67" w14:paraId="7A6AA442" w14:textId="77777777" w:rsidTr="00B514A0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040C67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3" w:type="dxa"/>
            <w:vAlign w:val="center"/>
          </w:tcPr>
          <w:p w14:paraId="76B78B5F" w14:textId="4DC61409" w:rsidR="000E2036" w:rsidRPr="00040C67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436E88" w:rsidRPr="00040C67">
              <w:rPr>
                <w:bCs/>
                <w:color w:val="000000" w:themeColor="text1"/>
                <w:sz w:val="22"/>
                <w:szCs w:val="22"/>
                <w:lang w:val="sr-Cyrl-RS"/>
              </w:rPr>
              <w:t>92</w:t>
            </w:r>
          </w:p>
        </w:tc>
      </w:tr>
      <w:tr w:rsidR="00275E2A" w:rsidRPr="00040C67" w14:paraId="2CEE52A6" w14:textId="77777777" w:rsidTr="00B514A0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040C6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040C6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3" w:type="dxa"/>
            <w:vAlign w:val="center"/>
          </w:tcPr>
          <w:p w14:paraId="5795E7E6" w14:textId="70564AC0" w:rsidR="00092B84" w:rsidRPr="00040C67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040C67" w14:paraId="10DA1CD3" w14:textId="77777777" w:rsidTr="00B514A0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040C6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040C6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040C6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3" w:type="dxa"/>
          </w:tcPr>
          <w:p w14:paraId="6D8016AE" w14:textId="04E18A4D" w:rsidR="00645199" w:rsidRPr="00040C67" w:rsidRDefault="0002619E" w:rsidP="00EA081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5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EA0811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 смањењу ризика од катастрофа и управљању ванредним ситуацијама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("Сл. гласник РС", бр</w:t>
            </w:r>
            <w:r w:rsidR="00EA0811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EA0811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87/2018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711DD5A2" w14:textId="7922C539" w:rsidR="005404F7" w:rsidRPr="00040C67" w:rsidRDefault="005404F7" w:rsidP="005404F7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Уредба о садржају и начину израде планова заштите и спасавања у ванредним ситуацијама ("Сл. гласник РС" бр</w:t>
            </w:r>
            <w:r w:rsidR="002953A4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</w:t>
            </w:r>
            <w:r w:rsidR="00E553FF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8/2011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729E1FB" w:rsidR="005404F7" w:rsidRPr="00040C67" w:rsidRDefault="005404F7" w:rsidP="002953A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Упутство о методологији за израду процене угрожености од елементарних непогода и других несрећа и планова заштите и спасавања у ванредним ситуацијама ("Сл. гласник РС" бр</w:t>
            </w:r>
            <w:r w:rsidR="002953A4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ој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18/17 од 7. марта 2017. године)</w:t>
            </w:r>
          </w:p>
        </w:tc>
      </w:tr>
      <w:tr w:rsidR="00D73918" w:rsidRPr="00040C67" w14:paraId="724CF23D" w14:textId="77777777" w:rsidTr="00B514A0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040C67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040C6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040C6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040C6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040C6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040C6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3" w:type="dxa"/>
            <w:vAlign w:val="center"/>
          </w:tcPr>
          <w:p w14:paraId="55CB4618" w14:textId="4537B39D" w:rsidR="00D73918" w:rsidRPr="00040C67" w:rsidRDefault="00103E82" w:rsidP="00103E8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B514A0" w:rsidRPr="00040C67" w14:paraId="58812BCA" w14:textId="77777777" w:rsidTr="00B514A0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B514A0" w:rsidRPr="00040C67" w:rsidRDefault="00B514A0" w:rsidP="00B514A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3" w:type="dxa"/>
          </w:tcPr>
          <w:p w14:paraId="19A48B50" w14:textId="1DEFB609" w:rsidR="00B514A0" w:rsidRPr="00040C67" w:rsidRDefault="0022764C" w:rsidP="0022764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rFonts w:eastAsia="Calibri"/>
                <w:sz w:val="22"/>
                <w:szCs w:val="22"/>
                <w:lang w:val="sr-Cyrl-RS"/>
              </w:rPr>
              <w:t xml:space="preserve">Четврти квартал 2019. </w:t>
            </w:r>
            <w:r w:rsidR="00153464" w:rsidRPr="00040C67">
              <w:rPr>
                <w:rFonts w:eastAsia="Calibri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040C67" w14:paraId="539113B1" w14:textId="77777777" w:rsidTr="00B514A0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040C6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40C67" w14:paraId="4635A4BE" w14:textId="77777777" w:rsidTr="00B514A0">
        <w:tc>
          <w:tcPr>
            <w:tcW w:w="9060" w:type="dxa"/>
            <w:gridSpan w:val="2"/>
          </w:tcPr>
          <w:p w14:paraId="71120A92" w14:textId="2B944786" w:rsidR="00593B17" w:rsidRPr="00040C67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Pr="00040C6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</w:t>
            </w:r>
            <w:r w:rsidR="00863333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као и достављање документа искључиво у </w:t>
            </w:r>
            <w:r w:rsidR="004D6F44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="00863333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ригиналу</w:t>
            </w:r>
            <w:r w:rsidR="004D6F44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863333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поштом или лично, што може утицати на увећање трошкова у поступку и </w:t>
            </w:r>
            <w:r w:rsidR="004D6F44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потребног </w:t>
            </w:r>
            <w:r w:rsidR="00863333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времена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24839A9" w14:textId="41659500" w:rsidR="0009542A" w:rsidRPr="00040C67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02B0197A" w14:textId="77777777" w:rsidR="003F6CC5" w:rsidRPr="00040C67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CD376D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7F5F3639" w:rsidR="00DA68A8" w:rsidRPr="00040C67" w:rsidRDefault="003F6CC5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такође није успоставио еведенцију издатих сагласности, као ни њену јавну доступност.</w:t>
            </w:r>
          </w:p>
        </w:tc>
      </w:tr>
      <w:tr w:rsidR="00275E2A" w:rsidRPr="00040C67" w14:paraId="31663FC5" w14:textId="77777777" w:rsidTr="00B514A0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040C6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040C67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040C67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040C67" w14:paraId="158799B9" w14:textId="77777777" w:rsidTr="00420E9A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040C67" w14:paraId="7D283877" w14:textId="77777777" w:rsidTr="00420E9A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040C6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040C6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080E5C" w:rsidRPr="00040C67" w14:paraId="3194152D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FB611E" w14:textId="053B066C" w:rsidR="00080E5C" w:rsidRPr="00040C67" w:rsidRDefault="00080E5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proofErr w:type="spellStart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Прибављање</w:t>
                  </w:r>
                  <w:proofErr w:type="spellEnd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података</w:t>
                  </w:r>
                  <w:proofErr w:type="spellEnd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по</w:t>
                  </w:r>
                  <w:proofErr w:type="spellEnd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службеној</w:t>
                  </w:r>
                  <w:proofErr w:type="spellEnd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 xml:space="preserve"> </w:t>
                  </w:r>
                  <w:proofErr w:type="spellStart"/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дужности</w:t>
                  </w:r>
                  <w:proofErr w:type="spellEnd"/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99D75" w14:textId="77777777" w:rsidR="00080E5C" w:rsidRPr="00040C67" w:rsidRDefault="00080E5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AA5804" w14:textId="1E0C2534" w:rsidR="00080E5C" w:rsidRPr="00040C67" w:rsidRDefault="00080E5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fr-FR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fr-FR"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F4202" w14:textId="77777777" w:rsidR="00080E5C" w:rsidRPr="00040C67" w:rsidRDefault="00080E5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040C67" w14:paraId="155282AD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040C6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040C67" w14:paraId="044CEA79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10272E58" w:rsidR="00CD47EC" w:rsidRPr="00040C67" w:rsidRDefault="002E218A" w:rsidP="00E24EC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040C6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103E82" w:rsidRPr="00040C67" w14:paraId="6B3CD940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371C5A" w14:textId="2338C153" w:rsidR="00103E82" w:rsidRPr="00040C67" w:rsidRDefault="00103E82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479798" w14:textId="77777777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8F4F1A" w14:textId="77777777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DA6AB8" w14:textId="77777777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103E82" w:rsidRPr="00040C67" w14:paraId="2EB21579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177630" w14:textId="4A29ACDA" w:rsidR="00103E82" w:rsidRPr="00040C67" w:rsidRDefault="00103E82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</w:t>
                  </w:r>
                  <w:r w:rsidR="00E24EC2" w:rsidRPr="00040C6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1DF663" w14:textId="77777777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8223D5" w14:textId="5CCF6388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A5837C" w14:textId="77777777" w:rsidR="00103E82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0F1AC7" w:rsidRPr="00040C67" w14:paraId="1C842E6B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A8DD82" w14:textId="3BD8FA97" w:rsidR="000F1AC7" w:rsidRPr="00040C67" w:rsidRDefault="000F1AC7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</w:t>
                  </w:r>
                  <w:r w:rsidR="00E24EC2" w:rsidRPr="00040C6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46B751" w14:textId="77777777" w:rsidR="000F1AC7" w:rsidRPr="00040C67" w:rsidRDefault="000F1AC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F37843" w14:textId="3993A3D4" w:rsidR="000F1AC7" w:rsidRPr="00040C67" w:rsidRDefault="000F1AC7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599A61" w14:textId="77777777" w:rsidR="000F1AC7" w:rsidRPr="00040C67" w:rsidRDefault="000F1AC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8699F" w:rsidRPr="00040C67" w14:paraId="64B4FA4E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CA0C92" w14:textId="741FF695" w:rsidR="0028699F" w:rsidRPr="00040C67" w:rsidRDefault="0028699F" w:rsidP="0028699F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040C67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0E1F1" w14:textId="0203DC53" w:rsidR="0028699F" w:rsidRPr="00040C67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8AEB2" w14:textId="692808A8" w:rsidR="0028699F" w:rsidRPr="00040C67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50E6DA" w14:textId="18FC41B1" w:rsidR="0028699F" w:rsidRPr="00040C67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040C67" w14:paraId="12FFF1A6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2E218A" w:rsidRPr="00040C67" w:rsidRDefault="002E218A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37E68" w14:textId="77777777" w:rsidR="002E218A" w:rsidRPr="00040C6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054BCD" w14:textId="77777777" w:rsidR="002E218A" w:rsidRPr="00040C6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2E218A" w:rsidRPr="00040C6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040C67" w14:paraId="1962C509" w14:textId="77777777" w:rsidTr="00420E9A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4F9E5F24" w:rsidR="002E218A" w:rsidRPr="00040C67" w:rsidRDefault="00103E82" w:rsidP="002E218A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040C6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</w:t>
                  </w:r>
                  <w:r w:rsidR="002E218A" w:rsidRPr="00040C6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ођењ</w:t>
                  </w:r>
                  <w:r w:rsidRPr="00040C6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</w:t>
                  </w:r>
                  <w:r w:rsidR="002E218A" w:rsidRPr="00040C6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6501CC66" w:rsidR="002E218A" w:rsidRPr="00040C6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110B4318" w:rsidR="002E218A" w:rsidRPr="00040C67" w:rsidRDefault="00103E8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040C6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388DFE2" w:rsidR="002E218A" w:rsidRPr="00040C6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040C67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040C67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040C67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040C67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040C67" w14:paraId="72ECB386" w14:textId="77777777" w:rsidTr="00C23C32">
        <w:tc>
          <w:tcPr>
            <w:tcW w:w="9062" w:type="dxa"/>
          </w:tcPr>
          <w:p w14:paraId="3E637809" w14:textId="3B855F5F" w:rsidR="00287AFC" w:rsidRPr="00040C67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626B32F" w14:textId="77777777" w:rsidR="00436E88" w:rsidRPr="00040C67" w:rsidRDefault="00436E88" w:rsidP="00436E88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040C67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45B50B15" w14:textId="77777777" w:rsidR="00436E88" w:rsidRPr="00040C67" w:rsidRDefault="00436E88" w:rsidP="00436E8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4D770BF4" w14:textId="2E8AD6FA" w:rsidR="00436E88" w:rsidRPr="00040C67" w:rsidRDefault="00436E88" w:rsidP="00707B9E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 xml:space="preserve">Документ </w:t>
            </w:r>
            <w:r w:rsidR="00707B9E" w:rsidRPr="00040C67">
              <w:rPr>
                <w:b/>
                <w:sz w:val="22"/>
                <w:szCs w:val="22"/>
                <w:lang w:val="sr-Cyrl-RS"/>
              </w:rPr>
              <w:t>2</w:t>
            </w:r>
            <w:r w:rsidRPr="00040C67">
              <w:rPr>
                <w:b/>
                <w:sz w:val="22"/>
                <w:szCs w:val="22"/>
                <w:lang w:val="sr-Cyrl-RS"/>
              </w:rPr>
              <w:t xml:space="preserve">: </w:t>
            </w:r>
            <w:r w:rsidR="00707B9E" w:rsidRPr="00040C67">
              <w:rPr>
                <w:b/>
                <w:sz w:val="22"/>
                <w:szCs w:val="22"/>
                <w:lang w:val="sr-Cyrl-RS"/>
              </w:rPr>
              <w:t>Лиценца за израду процене ризика</w:t>
            </w:r>
            <w:r w:rsidRPr="00040C67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  <w:p w14:paraId="4FAFE813" w14:textId="2DB42176" w:rsidR="00707B9E" w:rsidRPr="00040C67" w:rsidRDefault="00436E88" w:rsidP="00707B9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Како овај документ</w:t>
            </w:r>
            <w:r w:rsidRPr="00040C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40C67">
              <w:rPr>
                <w:sz w:val="22"/>
                <w:szCs w:val="22"/>
                <w:lang w:val="sr-Cyrl-RS"/>
              </w:rPr>
              <w:t xml:space="preserve">издаје </w:t>
            </w:r>
            <w:r w:rsidR="00707B9E" w:rsidRPr="00040C67">
              <w:rPr>
                <w:sz w:val="22"/>
                <w:szCs w:val="22"/>
                <w:lang w:val="sr-Cyrl-RS"/>
              </w:rPr>
              <w:t>МУП</w:t>
            </w:r>
            <w:r w:rsidRPr="00040C67">
              <w:rPr>
                <w:sz w:val="22"/>
                <w:szCs w:val="22"/>
                <w:lang w:val="sr-Cyrl-RS"/>
              </w:rPr>
              <w:t>, предлаже се елиминација његовог подношења</w:t>
            </w:r>
            <w:r w:rsidR="00707B9E" w:rsidRPr="00040C67">
              <w:rPr>
                <w:sz w:val="22"/>
                <w:szCs w:val="22"/>
                <w:lang w:val="sr-Cyrl-RS"/>
              </w:rPr>
              <w:t xml:space="preserve"> од стране подносиоца захтева</w:t>
            </w:r>
            <w:r w:rsidRPr="00040C67">
              <w:rPr>
                <w:sz w:val="22"/>
                <w:szCs w:val="22"/>
                <w:lang w:val="sr-Cyrl-RS"/>
              </w:rPr>
              <w:t>, с обзиром на чињеницу да се може обавити увид у интерне евиденције Министарства</w:t>
            </w:r>
            <w:r w:rsidR="00707B9E" w:rsidRPr="00040C67">
              <w:rPr>
                <w:sz w:val="22"/>
                <w:szCs w:val="22"/>
                <w:lang w:val="sr-Cyrl-RS"/>
              </w:rPr>
              <w:t xml:space="preserve"> о издатим лиценцама за израду процене ризика.</w:t>
            </w:r>
          </w:p>
          <w:p w14:paraId="7B769FB5" w14:textId="7F32C688" w:rsidR="002B784C" w:rsidRPr="00040C67" w:rsidRDefault="002B784C" w:rsidP="002B78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ебно затражити неопходне информације од подносиоца захтева (назив привредног субјекта, број и датум издавања лиценце).</w:t>
            </w:r>
          </w:p>
          <w:p w14:paraId="4C51D190" w14:textId="77777777" w:rsidR="005D6E72" w:rsidRPr="00040C67" w:rsidRDefault="005D6E72" w:rsidP="005D6E72">
            <w:pPr>
              <w:tabs>
                <w:tab w:val="left" w:pos="5565"/>
              </w:tabs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2BB91350" w14:textId="36FB109C" w:rsidR="00436E88" w:rsidRPr="00040C67" w:rsidRDefault="00707B9E" w:rsidP="00707B9E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Документ 3: Процена угрожености од елементарних непогода и других несрећа</w:t>
            </w:r>
          </w:p>
          <w:p w14:paraId="722A369E" w14:textId="2E6F6413" w:rsidR="00333225" w:rsidRPr="00040C67" w:rsidRDefault="00707B9E" w:rsidP="0033322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 xml:space="preserve">С обзиром да је овај документ већ предат Министарству у претходном поступку добијања сагласности на </w:t>
            </w:r>
            <w:r w:rsidR="00333225" w:rsidRPr="00040C67">
              <w:rPr>
                <w:sz w:val="22"/>
                <w:szCs w:val="22"/>
                <w:lang w:val="sr-Cyrl-RS"/>
              </w:rPr>
              <w:t xml:space="preserve">процену угрожености од елементарних непогода и других несрећа, предлаже се елиминација његовог подношења од стране подносиоца захтева и вршење увида у предмет који се већ налази у претходном предмету истог надлежног органа. </w:t>
            </w:r>
          </w:p>
          <w:p w14:paraId="1316B2C0" w14:textId="18135534" w:rsidR="002B784C" w:rsidRPr="00040C67" w:rsidRDefault="002B784C" w:rsidP="002B78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ебно затражити неопходне информације од подносиоца захтева (број и датум издавања решења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добијеној сагласност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Процену угрожености од елементарних непогода и других несрећа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7B699C90" w14:textId="77A438F6" w:rsidR="00707B9E" w:rsidRPr="00040C67" w:rsidRDefault="00707B9E" w:rsidP="00333225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lastRenderedPageBreak/>
              <w:t>Документ 6: Решење о добијеној сагласности на Процену угрожености од елементарних непогода и других несрећа</w:t>
            </w:r>
          </w:p>
          <w:p w14:paraId="384BA1DF" w14:textId="781E7391" w:rsidR="00333225" w:rsidRPr="00040C67" w:rsidRDefault="00333225" w:rsidP="0033322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Како ово решење</w:t>
            </w:r>
            <w:r w:rsidRPr="00040C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40C67">
              <w:rPr>
                <w:sz w:val="22"/>
                <w:szCs w:val="22"/>
                <w:lang w:val="sr-Cyrl-RS"/>
              </w:rPr>
              <w:t>издаје МУП, предлаже се елиминација његовог подношења од стране подносиоца захтева, с обзиром на чињеницу да се може обавити увид у интерне евиденције Министарства о издатим Решењима о добијеној сагласности на Процену угрожености од елементарних непогода и других несрећа.</w:t>
            </w:r>
          </w:p>
          <w:p w14:paraId="377F17BE" w14:textId="37B0DD98" w:rsidR="002B784C" w:rsidRPr="00040C67" w:rsidRDefault="002B784C" w:rsidP="002B78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ебно затражити неопходне информације од подносиоца захтева (број и датум издавања решења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добијеној сагласност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Процену угрожености од елементарних непогода и других несрећа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).</w:t>
            </w:r>
          </w:p>
          <w:p w14:paraId="26B0A986" w14:textId="77777777" w:rsidR="00415BFF" w:rsidRPr="00040C67" w:rsidRDefault="00415BFF" w:rsidP="002B78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892F33" w14:textId="77777777" w:rsidR="00103E82" w:rsidRPr="00040C67" w:rsidRDefault="00103E82" w:rsidP="00103E82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040C67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040C67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1967CAB7" w14:textId="77777777" w:rsidR="00E24EC2" w:rsidRPr="00040C67" w:rsidRDefault="00E24EC2" w:rsidP="00E24EC2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040C6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36F59A8E" w14:textId="77777777" w:rsidR="00E24EC2" w:rsidRPr="00040C67" w:rsidRDefault="00E24EC2" w:rsidP="00E24EC2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0E125311" w:rsidR="00DA68A8" w:rsidRPr="00040C67" w:rsidRDefault="00833F48" w:rsidP="00E24EC2">
            <w:pPr>
              <w:pStyle w:val="NormalWeb"/>
              <w:spacing w:before="0" w:beforeAutospacing="0" w:after="0" w:afterAutospacing="0"/>
              <w:jc w:val="both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040C67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6E096DC6" w14:textId="77777777" w:rsidR="00333225" w:rsidRPr="00040C67" w:rsidRDefault="00333225" w:rsidP="0033322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7AC53997" w14:textId="77777777" w:rsidR="00333225" w:rsidRPr="00040C67" w:rsidRDefault="00333225" w:rsidP="00333225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уз идентификацију да ли се ради о заједничком захтеву за издавање оба овлашћења или захтеву за једно од овлашћења. Образац треба да садржи следеће елементе: </w:t>
            </w:r>
          </w:p>
          <w:p w14:paraId="1014B41F" w14:textId="77777777" w:rsidR="00040C67" w:rsidRPr="00040C67" w:rsidRDefault="00040C67" w:rsidP="00040C6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54ECECD" w14:textId="77777777" w:rsidR="00040C67" w:rsidRPr="00040C67" w:rsidRDefault="00040C67" w:rsidP="00040C6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B60312A" w14:textId="77777777" w:rsidR="00040C67" w:rsidRPr="00040C67" w:rsidRDefault="00040C67" w:rsidP="00040C6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44AF5EA" w14:textId="77777777" w:rsidR="00040C67" w:rsidRPr="00040C67" w:rsidRDefault="00040C67" w:rsidP="00040C6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7AC91428" w14:textId="77777777" w:rsidR="00040C67" w:rsidRPr="00040C67" w:rsidRDefault="00040C67" w:rsidP="00040C67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(назив привредног субјекта, број и датум издавања лиценце за израду процене ризика, број и датум издавања решења о добијеној сагласности на Процену угрожености од елементарних непогода и других несрећа и сл)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F173001" w14:textId="77777777" w:rsidR="00040C67" w:rsidRPr="00040C67" w:rsidRDefault="00040C67" w:rsidP="00040C6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995861" w14:textId="77777777" w:rsidR="00040C67" w:rsidRPr="00040C67" w:rsidRDefault="00040C67" w:rsidP="00040C6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0E035B1" w14:textId="77777777" w:rsidR="00040C67" w:rsidRPr="00040C67" w:rsidRDefault="00040C67" w:rsidP="00040C6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4788078" w14:textId="77777777" w:rsidR="00040C67" w:rsidRPr="00040C67" w:rsidRDefault="00040C67" w:rsidP="00040C6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DE56C23" w14:textId="77777777" w:rsidR="00040C67" w:rsidRPr="00040C67" w:rsidRDefault="00040C67" w:rsidP="00040C6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55724DCF" w14:textId="77777777" w:rsidR="00040C67" w:rsidRPr="00040C67" w:rsidRDefault="00040C67" w:rsidP="00040C6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D1FE8E6" w14:textId="77777777" w:rsidR="00040C67" w:rsidRPr="00040C67" w:rsidRDefault="00040C67" w:rsidP="00040C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6C368C34" w14:textId="77777777" w:rsidR="00040C67" w:rsidRPr="00040C67" w:rsidRDefault="00040C67" w:rsidP="00040C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3ADA021" w14:textId="77777777" w:rsidR="00040C67" w:rsidRPr="00040C67" w:rsidRDefault="00040C67" w:rsidP="00040C6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6E4C192" w14:textId="77777777" w:rsidR="00040C67" w:rsidRPr="00040C67" w:rsidRDefault="00040C67" w:rsidP="00040C6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0E2BEA2" w14:textId="77777777" w:rsidR="00040C67" w:rsidRPr="00040C67" w:rsidRDefault="00040C67" w:rsidP="00040C6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5B7EFFF" w14:textId="77777777" w:rsidR="00040C67" w:rsidRPr="00040C67" w:rsidRDefault="00040C67" w:rsidP="00040C67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C7EC462" w14:textId="77777777" w:rsidR="00040C67" w:rsidRPr="00040C67" w:rsidRDefault="00040C67" w:rsidP="00040C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40B22A" w14:textId="77777777" w:rsidR="00040C67" w:rsidRPr="00040C67" w:rsidRDefault="00040C67" w:rsidP="00040C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AFFCD39" w14:textId="77777777" w:rsidR="00040C67" w:rsidRPr="00040C67" w:rsidRDefault="00040C67" w:rsidP="00040C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270E6FC" w14:textId="77777777" w:rsidR="00040C67" w:rsidRPr="00040C67" w:rsidRDefault="00040C67" w:rsidP="00040C6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5A454F" w14:textId="77777777" w:rsidR="00040C67" w:rsidRPr="00040C67" w:rsidRDefault="00040C67" w:rsidP="00040C6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5221D9F7" w14:textId="77777777" w:rsidR="00040C67" w:rsidRPr="00040C67" w:rsidRDefault="00040C67" w:rsidP="00040C6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77B3B2B7" w14:textId="77777777" w:rsidR="00040C67" w:rsidRPr="00040C67" w:rsidRDefault="00040C67" w:rsidP="00040C6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3DC1C74" w14:textId="77777777" w:rsidR="00040C67" w:rsidRPr="00040C67" w:rsidRDefault="00040C67" w:rsidP="00040C6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6E3C5F49" w14:textId="77777777" w:rsidR="00040C67" w:rsidRPr="00040C67" w:rsidRDefault="00040C67" w:rsidP="00040C6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1D2068DC" w14:textId="77777777" w:rsidR="00040C67" w:rsidRPr="00040C67" w:rsidRDefault="00040C67" w:rsidP="00040C6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F6384C7" w14:textId="77777777" w:rsidR="00040C67" w:rsidRPr="00040C67" w:rsidRDefault="00040C67" w:rsidP="00040C6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7C920BA" w14:textId="77777777" w:rsidR="00333225" w:rsidRPr="00040C67" w:rsidRDefault="00333225" w:rsidP="00333225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F9446D" w14:textId="77777777" w:rsidR="00333225" w:rsidRPr="00040C67" w:rsidRDefault="00333225" w:rsidP="00333225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040C67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65A381C7" w:rsidR="00833F48" w:rsidRPr="00040C67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28699F" w:rsidRPr="00040C6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неопходна</w:t>
            </w:r>
            <w:r w:rsidRPr="00040C6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4C77BEB5" w14:textId="77777777" w:rsidR="00415BFF" w:rsidRPr="00040C67" w:rsidRDefault="00415BFF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4A1027C" w14:textId="77777777" w:rsidR="00103E82" w:rsidRPr="00040C67" w:rsidRDefault="00103E82" w:rsidP="00103E82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040C67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0FE9375A" w14:textId="77777777" w:rsidR="00103E82" w:rsidRPr="00040C67" w:rsidRDefault="00103E82" w:rsidP="00103E8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0FD252E" w14:textId="77777777" w:rsidR="00103E82" w:rsidRPr="00040C67" w:rsidRDefault="00103E82" w:rsidP="00103E8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040C67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66138DB8" w14:textId="6E758788" w:rsidR="00103E82" w:rsidRPr="00040C67" w:rsidRDefault="00103E82" w:rsidP="00103E82">
            <w:pPr>
              <w:pStyle w:val="ListParagraph"/>
              <w:numPr>
                <w:ilvl w:val="0"/>
                <w:numId w:val="45"/>
              </w:numPr>
              <w:spacing w:before="120" w:after="120"/>
              <w:ind w:left="74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4: Захтев за добијање сагласности на План заштите и спасавања у ванредним ситуацијама</w:t>
            </w:r>
          </w:p>
          <w:p w14:paraId="42446EBD" w14:textId="1EC55AA7" w:rsidR="00103E82" w:rsidRPr="00040C67" w:rsidRDefault="00103E82" w:rsidP="00103E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5659303F" w14:textId="3910EA8E" w:rsidR="00103E82" w:rsidRPr="00040C67" w:rsidRDefault="00103E82" w:rsidP="00103E82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040C6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040C6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40C6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ACDECB4" w14:textId="77777777" w:rsidR="00420E9A" w:rsidRPr="00040C67" w:rsidRDefault="00420E9A" w:rsidP="00103E82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6644EA55" w14:textId="70096F57" w:rsidR="00103E82" w:rsidRPr="00040C67" w:rsidRDefault="00103E82" w:rsidP="00103E82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E24EC2" w:rsidRPr="00040C6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7CDEAAFF" w14:textId="77777777" w:rsidR="00103E82" w:rsidRPr="00040C67" w:rsidRDefault="00103E82" w:rsidP="00103E82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552FCF7" w14:textId="77777777" w:rsidR="00103E82" w:rsidRPr="00040C67" w:rsidRDefault="00103E82" w:rsidP="00103E82">
            <w:pPr>
              <w:pStyle w:val="NormalWeb"/>
              <w:numPr>
                <w:ilvl w:val="0"/>
                <w:numId w:val="46"/>
              </w:numPr>
              <w:spacing w:before="0" w:beforeAutospacing="0" w:after="0" w:afterAutospacing="0"/>
              <w:ind w:left="743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Документ 1: План заштите и спасавања у ванредним ситуацијама привредног друштва</w:t>
            </w:r>
          </w:p>
          <w:p w14:paraId="52402869" w14:textId="657360CC" w:rsidR="00103E82" w:rsidRPr="00040C67" w:rsidRDefault="00103E82" w:rsidP="00103E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>Надлежан орган потражује достављање наведеног документа у оригиналу. С обзиром да се ради о плану</w:t>
            </w:r>
            <w:r w:rsidRPr="00040C67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Pr="00040C67">
              <w:rPr>
                <w:sz w:val="22"/>
                <w:szCs w:val="22"/>
                <w:lang w:val="sr-Cyrl-RS"/>
              </w:rPr>
              <w:t xml:space="preserve">заштите и спасавања у ванредним ситуацијама привредног друштва коју израђује коју израђује привредно друштво, као и развој информационе технологије, предлаже се достављање овог документа у форми електронски читљивог докумета или у копији, с обзиром да ће достављање документације у предложеној форми смањити трошкове за привредног субјекта.  </w:t>
            </w:r>
          </w:p>
          <w:p w14:paraId="025B1EBD" w14:textId="77777777" w:rsidR="00103E82" w:rsidRPr="00040C67" w:rsidRDefault="00103E82" w:rsidP="00103E8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 xml:space="preserve">За примену ове препоруке није потребна измена прописа.  </w:t>
            </w:r>
          </w:p>
          <w:p w14:paraId="628CF640" w14:textId="77777777" w:rsidR="00723643" w:rsidRPr="00040C67" w:rsidRDefault="00723643" w:rsidP="00723643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Документ 5: Доказ о извршеној уплати републичке административне за захтев</w:t>
            </w:r>
          </w:p>
          <w:p w14:paraId="54CFEABD" w14:textId="77777777" w:rsidR="00723643" w:rsidRPr="00040C67" w:rsidRDefault="00723643" w:rsidP="00723643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83919BD" w14:textId="03842517" w:rsidR="00C75EF8" w:rsidRPr="00040C67" w:rsidRDefault="00C75EF8" w:rsidP="00C75EF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</w:t>
            </w:r>
            <w:r w:rsidR="0030122A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често траже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19D0C3A" w14:textId="2EF1243E" w:rsidR="00C75EF8" w:rsidRPr="00040C67" w:rsidRDefault="00C75EF8" w:rsidP="00C75EF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040C6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0EAD91F" w14:textId="77777777" w:rsidR="00C75EF8" w:rsidRPr="00040C67" w:rsidRDefault="00C75EF8" w:rsidP="00C75EF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</w:rPr>
              <w:t>K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040C6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040C6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5C98621C" w14:textId="77777777" w:rsidR="00C75EF8" w:rsidRPr="00040C67" w:rsidRDefault="00C75EF8" w:rsidP="00C75EF8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F8C2EF" w14:textId="77777777" w:rsidR="00C75EF8" w:rsidRPr="00040C67" w:rsidRDefault="00C75EF8" w:rsidP="00C75EF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E5B20D7" w14:textId="77777777" w:rsidR="00C75EF8" w:rsidRPr="00040C67" w:rsidRDefault="00C75EF8" w:rsidP="00C75EF8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907C607" w14:textId="77777777" w:rsidR="00C75EF8" w:rsidRPr="00040C67" w:rsidRDefault="00C75EF8" w:rsidP="00C75EF8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A44BFED" w14:textId="77777777" w:rsidR="00C75EF8" w:rsidRPr="00040C67" w:rsidRDefault="00C75EF8" w:rsidP="00C75EF8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0824A7" w14:textId="77777777" w:rsidR="00C06952" w:rsidRPr="00040C67" w:rsidRDefault="00C75EF8" w:rsidP="00C75EF8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15F1ADBA" w14:textId="77777777" w:rsidR="00C06952" w:rsidRPr="00040C67" w:rsidRDefault="00C06952" w:rsidP="00C06952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B446C1D" w14:textId="2288A494" w:rsidR="00C06952" w:rsidRPr="00040C67" w:rsidRDefault="00C06952" w:rsidP="00C06952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30122A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4CB2BBAB" w14:textId="77777777" w:rsidR="00C75EF8" w:rsidRPr="00040C67" w:rsidRDefault="00C75EF8" w:rsidP="00C06952">
            <w:pPr>
              <w:pStyle w:val="ListParagraph"/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FD66A28" w14:textId="77777777" w:rsidR="00C75EF8" w:rsidRPr="00040C67" w:rsidRDefault="00C75EF8" w:rsidP="00C75EF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189C296" w14:textId="77777777" w:rsidR="00723643" w:rsidRPr="00040C67" w:rsidRDefault="00723643" w:rsidP="00723643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CFAD9DE" w14:textId="77777777" w:rsidR="00723643" w:rsidRPr="00040C67" w:rsidRDefault="00723643" w:rsidP="0072364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AF5BA7E" w14:textId="77777777" w:rsidR="00103E82" w:rsidRPr="00040C67" w:rsidRDefault="00103E82" w:rsidP="00415B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3601E4E" w14:textId="682E0184" w:rsidR="00833F48" w:rsidRPr="00040C67" w:rsidRDefault="00DB3954" w:rsidP="00103E82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Hlk528068414"/>
            <w:r w:rsidRPr="00040C6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A65B380" w14:textId="4327D0DE" w:rsidR="00DB3954" w:rsidRPr="00040C67" w:rsidRDefault="00DB3954" w:rsidP="006A6592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</w:t>
            </w:r>
            <w:r w:rsidR="006A6592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</w:t>
            </w:r>
            <w:r w:rsidR="006A6592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 w:rsidR="006A6592" w:rsidRPr="00040C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bookmarkEnd w:id="0"/>
          <w:p w14:paraId="315932F0" w14:textId="77777777" w:rsidR="0028699F" w:rsidRPr="00040C67" w:rsidRDefault="0028699F" w:rsidP="0028699F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неопходна измена прописа. </w:t>
            </w:r>
          </w:p>
          <w:p w14:paraId="19040C5C" w14:textId="77777777" w:rsidR="006C7167" w:rsidRPr="00040C67" w:rsidRDefault="006C7167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80904C5" w14:textId="26746D65" w:rsidR="00420E9A" w:rsidRPr="00040C67" w:rsidRDefault="00420E9A" w:rsidP="00103E82">
            <w:pPr>
              <w:pStyle w:val="NormalWeb"/>
              <w:numPr>
                <w:ilvl w:val="1"/>
                <w:numId w:val="39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bookmarkStart w:id="1" w:name="_Hlk528664567"/>
            <w:r w:rsidRPr="00040C67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20C76665" w14:textId="77777777" w:rsidR="00420E9A" w:rsidRPr="00040C67" w:rsidRDefault="00420E9A" w:rsidP="00420E9A">
            <w:pPr>
              <w:pStyle w:val="NormalWeb"/>
              <w:spacing w:before="0" w:beforeAutospacing="0" w:after="0" w:afterAutospacing="0"/>
              <w:ind w:left="36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16BE84F" w14:textId="0FE4CA24" w:rsidR="00103E82" w:rsidRPr="00040C67" w:rsidRDefault="00103E82" w:rsidP="00420E9A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040C67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63BC0786" w14:textId="77777777" w:rsidR="00103E82" w:rsidRPr="00040C67" w:rsidRDefault="00103E82" w:rsidP="00103E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F797DF1" w14:textId="67181BB7" w:rsidR="00103E82" w:rsidRPr="00040C67" w:rsidRDefault="00103E82" w:rsidP="00103E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</w:t>
            </w:r>
            <w:r w:rsidRPr="00040C67">
              <w:rPr>
                <w:sz w:val="22"/>
                <w:szCs w:val="22"/>
                <w:lang w:val="sr-Cyrl-RS"/>
              </w:rPr>
              <w:lastRenderedPageBreak/>
              <w:t xml:space="preserve">27/2018), којим се уводи обавеза свих органа да успостављају и воде регистре и евиденције у електронском облику. </w:t>
            </w:r>
          </w:p>
          <w:p w14:paraId="22EC2C1A" w14:textId="544AE63B" w:rsidR="00DA3CD3" w:rsidRPr="00040C67" w:rsidRDefault="00DA3CD3" w:rsidP="00103E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040C67">
              <w:rPr>
                <w:color w:val="000000"/>
                <w:sz w:val="22"/>
                <w:szCs w:val="22"/>
                <w:shd w:val="clear" w:color="auto" w:fill="FFFFFF"/>
                <w:lang w:val="sr-Cyrl-RS"/>
              </w:rPr>
              <w:t>Вођење евиденција предлаже се у електронски читљивом формату (база података).</w:t>
            </w:r>
          </w:p>
          <w:p w14:paraId="08618EDA" w14:textId="77777777" w:rsidR="00103E82" w:rsidRPr="00040C67" w:rsidRDefault="00103E82" w:rsidP="00103E8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040C6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040C6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bookmarkEnd w:id="1"/>
          <w:p w14:paraId="7DEC725F" w14:textId="598E414C" w:rsidR="00CB5A92" w:rsidRPr="00040C67" w:rsidRDefault="00CB5A92" w:rsidP="00420E9A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040C67" w14:paraId="675008AD" w14:textId="77777777" w:rsidTr="00420E9A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040C67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040C67">
              <w:rPr>
                <w:b/>
                <w:sz w:val="22"/>
                <w:szCs w:val="22"/>
                <w:lang w:val="sr-Cyrl-RS"/>
              </w:rPr>
              <w:t>У</w:t>
            </w:r>
            <w:r w:rsidRPr="00040C67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040C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040C67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040C67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420E9A" w:rsidRPr="00040C67" w14:paraId="243310FD" w14:textId="77777777" w:rsidTr="00420E9A">
        <w:tc>
          <w:tcPr>
            <w:tcW w:w="9060" w:type="dxa"/>
          </w:tcPr>
          <w:p w14:paraId="0398CB49" w14:textId="77777777" w:rsidR="00420E9A" w:rsidRPr="00040C67" w:rsidRDefault="00420E9A" w:rsidP="00420E9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BB6313" w14:textId="77777777" w:rsidR="00420E9A" w:rsidRPr="00040C67" w:rsidRDefault="00420E9A" w:rsidP="00420E9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420E9A" w:rsidRPr="00040C67" w:rsidRDefault="00420E9A" w:rsidP="00420E9A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420E9A" w:rsidRPr="00040C67" w14:paraId="1251D6FF" w14:textId="77777777" w:rsidTr="00420E9A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420E9A" w:rsidRPr="00040C67" w:rsidRDefault="00420E9A" w:rsidP="00420E9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20E9A" w:rsidRPr="00040C67" w14:paraId="585359C0" w14:textId="77777777" w:rsidTr="00420E9A">
        <w:trPr>
          <w:trHeight w:val="708"/>
        </w:trPr>
        <w:tc>
          <w:tcPr>
            <w:tcW w:w="9060" w:type="dxa"/>
          </w:tcPr>
          <w:p w14:paraId="434221FC" w14:textId="77777777" w:rsidR="00420E9A" w:rsidRPr="00040C67" w:rsidRDefault="00420E9A" w:rsidP="00420E9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B1EA34D" w14:textId="77777777" w:rsidR="00420E9A" w:rsidRPr="00040C67" w:rsidRDefault="00420E9A" w:rsidP="00420E9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420E9A" w:rsidRPr="00040C67" w:rsidRDefault="00420E9A" w:rsidP="00420E9A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20E9A" w:rsidRPr="00040C67" w14:paraId="6F69BD61" w14:textId="77777777" w:rsidTr="00420E9A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420E9A" w:rsidRPr="00040C67" w:rsidRDefault="00420E9A" w:rsidP="00420E9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040C6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20E9A" w:rsidRPr="00040C67" w14:paraId="162E5FCE" w14:textId="77777777" w:rsidTr="00420E9A">
        <w:trPr>
          <w:trHeight w:val="567"/>
        </w:trPr>
        <w:tc>
          <w:tcPr>
            <w:tcW w:w="9060" w:type="dxa"/>
            <w:shd w:val="clear" w:color="auto" w:fill="auto"/>
          </w:tcPr>
          <w:p w14:paraId="4693263A" w14:textId="09D64B05" w:rsidR="00420E9A" w:rsidRPr="00040C67" w:rsidRDefault="00370B10" w:rsidP="00370B10">
            <w:pPr>
              <w:rPr>
                <w:rFonts w:ascii="Times New Roman" w:hAnsi="Times New Roman"/>
                <w:sz w:val="22"/>
                <w:szCs w:val="22"/>
              </w:rPr>
            </w:pPr>
            <w:bookmarkStart w:id="2" w:name="_GoBack"/>
            <w:bookmarkEnd w:id="2"/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593B17"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040C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040C67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040C67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14:paraId="316DC6AF" w14:textId="77777777" w:rsidR="003E3C16" w:rsidRPr="00040C67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040C67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040C67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040C67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040C6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040C67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040C6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400D3" w14:textId="77777777" w:rsidR="00CC5019" w:rsidRDefault="00CC5019" w:rsidP="002A202F">
      <w:r>
        <w:separator/>
      </w:r>
    </w:p>
  </w:endnote>
  <w:endnote w:type="continuationSeparator" w:id="0">
    <w:p w14:paraId="74D5814C" w14:textId="77777777" w:rsidR="00CC5019" w:rsidRDefault="00CC501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9EEFF5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289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F731C8" w14:textId="77777777" w:rsidR="00CC5019" w:rsidRDefault="00CC5019" w:rsidP="002A202F">
      <w:r>
        <w:separator/>
      </w:r>
    </w:p>
  </w:footnote>
  <w:footnote w:type="continuationSeparator" w:id="0">
    <w:p w14:paraId="75E42474" w14:textId="77777777" w:rsidR="00CC5019" w:rsidRDefault="00CC501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F30E6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5D95FF1"/>
    <w:multiLevelType w:val="hybridMultilevel"/>
    <w:tmpl w:val="F482C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56528"/>
    <w:multiLevelType w:val="hybridMultilevel"/>
    <w:tmpl w:val="0308A36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C7196"/>
    <w:multiLevelType w:val="hybridMultilevel"/>
    <w:tmpl w:val="94EA4DC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D66710"/>
    <w:multiLevelType w:val="hybridMultilevel"/>
    <w:tmpl w:val="5010D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EE75FB0"/>
    <w:multiLevelType w:val="hybridMultilevel"/>
    <w:tmpl w:val="6756EA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387BF8"/>
    <w:multiLevelType w:val="hybridMultilevel"/>
    <w:tmpl w:val="388A8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7"/>
  </w:num>
  <w:num w:numId="4">
    <w:abstractNumId w:val="13"/>
  </w:num>
  <w:num w:numId="5">
    <w:abstractNumId w:val="9"/>
  </w:num>
  <w:num w:numId="6">
    <w:abstractNumId w:val="26"/>
  </w:num>
  <w:num w:numId="7">
    <w:abstractNumId w:val="45"/>
  </w:num>
  <w:num w:numId="8">
    <w:abstractNumId w:val="21"/>
  </w:num>
  <w:num w:numId="9">
    <w:abstractNumId w:val="39"/>
  </w:num>
  <w:num w:numId="10">
    <w:abstractNumId w:val="35"/>
  </w:num>
  <w:num w:numId="11">
    <w:abstractNumId w:val="34"/>
  </w:num>
  <w:num w:numId="12">
    <w:abstractNumId w:val="32"/>
  </w:num>
  <w:num w:numId="13">
    <w:abstractNumId w:val="29"/>
  </w:num>
  <w:num w:numId="14">
    <w:abstractNumId w:val="36"/>
  </w:num>
  <w:num w:numId="15">
    <w:abstractNumId w:val="31"/>
  </w:num>
  <w:num w:numId="16">
    <w:abstractNumId w:val="23"/>
  </w:num>
  <w:num w:numId="17">
    <w:abstractNumId w:val="19"/>
  </w:num>
  <w:num w:numId="18">
    <w:abstractNumId w:val="41"/>
  </w:num>
  <w:num w:numId="19">
    <w:abstractNumId w:val="14"/>
  </w:num>
  <w:num w:numId="20">
    <w:abstractNumId w:val="46"/>
  </w:num>
  <w:num w:numId="21">
    <w:abstractNumId w:val="15"/>
  </w:num>
  <w:num w:numId="22">
    <w:abstractNumId w:val="12"/>
  </w:num>
  <w:num w:numId="23">
    <w:abstractNumId w:val="30"/>
  </w:num>
  <w:num w:numId="24">
    <w:abstractNumId w:val="2"/>
  </w:num>
  <w:num w:numId="25">
    <w:abstractNumId w:val="18"/>
  </w:num>
  <w:num w:numId="26">
    <w:abstractNumId w:val="10"/>
  </w:num>
  <w:num w:numId="27">
    <w:abstractNumId w:val="1"/>
  </w:num>
  <w:num w:numId="28">
    <w:abstractNumId w:val="3"/>
  </w:num>
  <w:num w:numId="29">
    <w:abstractNumId w:val="40"/>
  </w:num>
  <w:num w:numId="30">
    <w:abstractNumId w:val="22"/>
  </w:num>
  <w:num w:numId="31">
    <w:abstractNumId w:val="42"/>
  </w:num>
  <w:num w:numId="32">
    <w:abstractNumId w:val="28"/>
  </w:num>
  <w:num w:numId="33">
    <w:abstractNumId w:val="5"/>
  </w:num>
  <w:num w:numId="34">
    <w:abstractNumId w:val="4"/>
  </w:num>
  <w:num w:numId="35">
    <w:abstractNumId w:val="33"/>
  </w:num>
  <w:num w:numId="36">
    <w:abstractNumId w:val="11"/>
  </w:num>
  <w:num w:numId="37">
    <w:abstractNumId w:val="43"/>
  </w:num>
  <w:num w:numId="38">
    <w:abstractNumId w:val="37"/>
  </w:num>
  <w:num w:numId="39">
    <w:abstractNumId w:val="6"/>
  </w:num>
  <w:num w:numId="40">
    <w:abstractNumId w:val="17"/>
  </w:num>
  <w:num w:numId="41">
    <w:abstractNumId w:val="25"/>
  </w:num>
  <w:num w:numId="42">
    <w:abstractNumId w:val="20"/>
  </w:num>
  <w:num w:numId="43">
    <w:abstractNumId w:val="44"/>
  </w:num>
  <w:num w:numId="44">
    <w:abstractNumId w:val="24"/>
  </w:num>
  <w:num w:numId="45">
    <w:abstractNumId w:val="38"/>
  </w:num>
  <w:num w:numId="46">
    <w:abstractNumId w:val="8"/>
  </w:num>
  <w:num w:numId="47">
    <w:abstractNumId w:val="7"/>
  </w:num>
  <w:num w:numId="48">
    <w:abstractNumId w:val="0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A7A"/>
    <w:rsid w:val="000050B3"/>
    <w:rsid w:val="0001445B"/>
    <w:rsid w:val="00020306"/>
    <w:rsid w:val="00023EF9"/>
    <w:rsid w:val="0002619E"/>
    <w:rsid w:val="00026C2F"/>
    <w:rsid w:val="00027945"/>
    <w:rsid w:val="00027E51"/>
    <w:rsid w:val="00034CDF"/>
    <w:rsid w:val="00036812"/>
    <w:rsid w:val="00040C67"/>
    <w:rsid w:val="00044F35"/>
    <w:rsid w:val="00044F63"/>
    <w:rsid w:val="00046C2B"/>
    <w:rsid w:val="00050616"/>
    <w:rsid w:val="00061070"/>
    <w:rsid w:val="00080E5C"/>
    <w:rsid w:val="00083993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0346"/>
    <w:rsid w:val="000E2036"/>
    <w:rsid w:val="000F1AC7"/>
    <w:rsid w:val="000F5E72"/>
    <w:rsid w:val="00103E82"/>
    <w:rsid w:val="00104CB2"/>
    <w:rsid w:val="001156BA"/>
    <w:rsid w:val="00121AD2"/>
    <w:rsid w:val="00144CEE"/>
    <w:rsid w:val="00146E41"/>
    <w:rsid w:val="0015182D"/>
    <w:rsid w:val="0015289E"/>
    <w:rsid w:val="00153464"/>
    <w:rsid w:val="00153F83"/>
    <w:rsid w:val="00161847"/>
    <w:rsid w:val="00170CA7"/>
    <w:rsid w:val="00185B9C"/>
    <w:rsid w:val="001953AC"/>
    <w:rsid w:val="001969BA"/>
    <w:rsid w:val="001A023F"/>
    <w:rsid w:val="001A26AD"/>
    <w:rsid w:val="001A3FAC"/>
    <w:rsid w:val="001A6472"/>
    <w:rsid w:val="001A6696"/>
    <w:rsid w:val="001C4781"/>
    <w:rsid w:val="001D0EDE"/>
    <w:rsid w:val="001D20E2"/>
    <w:rsid w:val="001D7BFA"/>
    <w:rsid w:val="001E38DE"/>
    <w:rsid w:val="001E7DF5"/>
    <w:rsid w:val="001F7B31"/>
    <w:rsid w:val="00202ED8"/>
    <w:rsid w:val="0020601F"/>
    <w:rsid w:val="0021261F"/>
    <w:rsid w:val="00212DA5"/>
    <w:rsid w:val="0021347C"/>
    <w:rsid w:val="00216148"/>
    <w:rsid w:val="00226012"/>
    <w:rsid w:val="0022764C"/>
    <w:rsid w:val="002323AC"/>
    <w:rsid w:val="002501CD"/>
    <w:rsid w:val="00261404"/>
    <w:rsid w:val="00275E2A"/>
    <w:rsid w:val="00285980"/>
    <w:rsid w:val="0028699F"/>
    <w:rsid w:val="00287AFC"/>
    <w:rsid w:val="002900EA"/>
    <w:rsid w:val="002953A4"/>
    <w:rsid w:val="00296938"/>
    <w:rsid w:val="002A202F"/>
    <w:rsid w:val="002A5164"/>
    <w:rsid w:val="002B19B4"/>
    <w:rsid w:val="002B7102"/>
    <w:rsid w:val="002B784C"/>
    <w:rsid w:val="002D0801"/>
    <w:rsid w:val="002D4078"/>
    <w:rsid w:val="002E16FB"/>
    <w:rsid w:val="002E218A"/>
    <w:rsid w:val="002F1BEC"/>
    <w:rsid w:val="002F4757"/>
    <w:rsid w:val="0030122A"/>
    <w:rsid w:val="0031340C"/>
    <w:rsid w:val="00322199"/>
    <w:rsid w:val="003223C7"/>
    <w:rsid w:val="00326555"/>
    <w:rsid w:val="00333225"/>
    <w:rsid w:val="003410E0"/>
    <w:rsid w:val="00350EAD"/>
    <w:rsid w:val="003651DB"/>
    <w:rsid w:val="00370B10"/>
    <w:rsid w:val="003715A0"/>
    <w:rsid w:val="0037171F"/>
    <w:rsid w:val="00376FD1"/>
    <w:rsid w:val="003837DF"/>
    <w:rsid w:val="00383EE2"/>
    <w:rsid w:val="00384009"/>
    <w:rsid w:val="0039002C"/>
    <w:rsid w:val="003A3BAB"/>
    <w:rsid w:val="003A7417"/>
    <w:rsid w:val="003B44DB"/>
    <w:rsid w:val="003B4BC9"/>
    <w:rsid w:val="003B6298"/>
    <w:rsid w:val="003E2EB1"/>
    <w:rsid w:val="003E3C16"/>
    <w:rsid w:val="003F6CC5"/>
    <w:rsid w:val="00400263"/>
    <w:rsid w:val="004005B4"/>
    <w:rsid w:val="00407D96"/>
    <w:rsid w:val="00415BFF"/>
    <w:rsid w:val="0042091C"/>
    <w:rsid w:val="00420E9A"/>
    <w:rsid w:val="004257FB"/>
    <w:rsid w:val="00432495"/>
    <w:rsid w:val="00434F37"/>
    <w:rsid w:val="004365F8"/>
    <w:rsid w:val="00436E88"/>
    <w:rsid w:val="00444DA7"/>
    <w:rsid w:val="004531C4"/>
    <w:rsid w:val="00457882"/>
    <w:rsid w:val="00463CC7"/>
    <w:rsid w:val="00465A72"/>
    <w:rsid w:val="00467742"/>
    <w:rsid w:val="004809C4"/>
    <w:rsid w:val="00482AA6"/>
    <w:rsid w:val="0048433C"/>
    <w:rsid w:val="004847B1"/>
    <w:rsid w:val="0049545B"/>
    <w:rsid w:val="00497FB7"/>
    <w:rsid w:val="004B07D1"/>
    <w:rsid w:val="004B15FB"/>
    <w:rsid w:val="004C1E43"/>
    <w:rsid w:val="004D0C94"/>
    <w:rsid w:val="004D3BD0"/>
    <w:rsid w:val="004D45B1"/>
    <w:rsid w:val="004D68A7"/>
    <w:rsid w:val="004D6F44"/>
    <w:rsid w:val="004E29D1"/>
    <w:rsid w:val="004E5F7C"/>
    <w:rsid w:val="00500566"/>
    <w:rsid w:val="005073A3"/>
    <w:rsid w:val="00513BFE"/>
    <w:rsid w:val="00523608"/>
    <w:rsid w:val="00525C0A"/>
    <w:rsid w:val="00535608"/>
    <w:rsid w:val="005404F7"/>
    <w:rsid w:val="005460B7"/>
    <w:rsid w:val="005549B3"/>
    <w:rsid w:val="00556688"/>
    <w:rsid w:val="0056162B"/>
    <w:rsid w:val="0056707B"/>
    <w:rsid w:val="00581A9D"/>
    <w:rsid w:val="005865D5"/>
    <w:rsid w:val="00593B17"/>
    <w:rsid w:val="00596166"/>
    <w:rsid w:val="005971E2"/>
    <w:rsid w:val="005A2503"/>
    <w:rsid w:val="005B49DA"/>
    <w:rsid w:val="005B4F04"/>
    <w:rsid w:val="005B7CB9"/>
    <w:rsid w:val="005C27E0"/>
    <w:rsid w:val="005D0023"/>
    <w:rsid w:val="005D6E72"/>
    <w:rsid w:val="005E14A3"/>
    <w:rsid w:val="005E21C4"/>
    <w:rsid w:val="005E7E97"/>
    <w:rsid w:val="005F4D59"/>
    <w:rsid w:val="0060001C"/>
    <w:rsid w:val="00600D31"/>
    <w:rsid w:val="0060786A"/>
    <w:rsid w:val="00621751"/>
    <w:rsid w:val="0062303E"/>
    <w:rsid w:val="006237FE"/>
    <w:rsid w:val="00627AF7"/>
    <w:rsid w:val="00632540"/>
    <w:rsid w:val="00633EFC"/>
    <w:rsid w:val="00633F73"/>
    <w:rsid w:val="00635454"/>
    <w:rsid w:val="00635D26"/>
    <w:rsid w:val="006365EC"/>
    <w:rsid w:val="00645199"/>
    <w:rsid w:val="00645850"/>
    <w:rsid w:val="00664303"/>
    <w:rsid w:val="00692071"/>
    <w:rsid w:val="00694B28"/>
    <w:rsid w:val="006A1BFA"/>
    <w:rsid w:val="006A6592"/>
    <w:rsid w:val="006C5349"/>
    <w:rsid w:val="006C5F2A"/>
    <w:rsid w:val="006C662C"/>
    <w:rsid w:val="006C7167"/>
    <w:rsid w:val="006C76C5"/>
    <w:rsid w:val="006E3C7E"/>
    <w:rsid w:val="006F4A5C"/>
    <w:rsid w:val="00707B9E"/>
    <w:rsid w:val="00715F5C"/>
    <w:rsid w:val="007177AE"/>
    <w:rsid w:val="00723643"/>
    <w:rsid w:val="007278C1"/>
    <w:rsid w:val="00733493"/>
    <w:rsid w:val="00737F1D"/>
    <w:rsid w:val="00741C3E"/>
    <w:rsid w:val="00751522"/>
    <w:rsid w:val="0076211E"/>
    <w:rsid w:val="0078201F"/>
    <w:rsid w:val="00782816"/>
    <w:rsid w:val="007831C7"/>
    <w:rsid w:val="0078464C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D74E9"/>
    <w:rsid w:val="007E1695"/>
    <w:rsid w:val="007F204C"/>
    <w:rsid w:val="00804060"/>
    <w:rsid w:val="0081550D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3333"/>
    <w:rsid w:val="00865EBB"/>
    <w:rsid w:val="00874F0F"/>
    <w:rsid w:val="00876146"/>
    <w:rsid w:val="0087652B"/>
    <w:rsid w:val="00886C36"/>
    <w:rsid w:val="008A20C1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2769"/>
    <w:rsid w:val="009056DB"/>
    <w:rsid w:val="00915EE6"/>
    <w:rsid w:val="00935E55"/>
    <w:rsid w:val="00947592"/>
    <w:rsid w:val="00950280"/>
    <w:rsid w:val="0097696A"/>
    <w:rsid w:val="00991A18"/>
    <w:rsid w:val="00994A16"/>
    <w:rsid w:val="009A30D3"/>
    <w:rsid w:val="009D03A7"/>
    <w:rsid w:val="009E0479"/>
    <w:rsid w:val="00A0102E"/>
    <w:rsid w:val="00A06736"/>
    <w:rsid w:val="00A12960"/>
    <w:rsid w:val="00A1570D"/>
    <w:rsid w:val="00A22386"/>
    <w:rsid w:val="00A2725C"/>
    <w:rsid w:val="00A56B75"/>
    <w:rsid w:val="00A71C04"/>
    <w:rsid w:val="00A913AC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514A0"/>
    <w:rsid w:val="00B5252A"/>
    <w:rsid w:val="00B57D2B"/>
    <w:rsid w:val="00B63DB1"/>
    <w:rsid w:val="00B64DC4"/>
    <w:rsid w:val="00B67138"/>
    <w:rsid w:val="00B6715C"/>
    <w:rsid w:val="00B704A7"/>
    <w:rsid w:val="00B81CFE"/>
    <w:rsid w:val="00B903AE"/>
    <w:rsid w:val="00B9157F"/>
    <w:rsid w:val="00B95225"/>
    <w:rsid w:val="00B95647"/>
    <w:rsid w:val="00BA55D3"/>
    <w:rsid w:val="00BA6759"/>
    <w:rsid w:val="00BA7204"/>
    <w:rsid w:val="00BB3E92"/>
    <w:rsid w:val="00BB45DD"/>
    <w:rsid w:val="00C0295C"/>
    <w:rsid w:val="00C03C06"/>
    <w:rsid w:val="00C06952"/>
    <w:rsid w:val="00C121EC"/>
    <w:rsid w:val="00C12C65"/>
    <w:rsid w:val="00C41907"/>
    <w:rsid w:val="00C42B27"/>
    <w:rsid w:val="00C445E2"/>
    <w:rsid w:val="00C61C06"/>
    <w:rsid w:val="00C7129D"/>
    <w:rsid w:val="00C748D1"/>
    <w:rsid w:val="00C75EF8"/>
    <w:rsid w:val="00C82093"/>
    <w:rsid w:val="00C91014"/>
    <w:rsid w:val="00CB1A4E"/>
    <w:rsid w:val="00CB5A92"/>
    <w:rsid w:val="00CC29F6"/>
    <w:rsid w:val="00CC48FF"/>
    <w:rsid w:val="00CC5019"/>
    <w:rsid w:val="00CD2287"/>
    <w:rsid w:val="00CD376D"/>
    <w:rsid w:val="00CD47EC"/>
    <w:rsid w:val="00CD5BBB"/>
    <w:rsid w:val="00CE0685"/>
    <w:rsid w:val="00CF00BC"/>
    <w:rsid w:val="00D217BF"/>
    <w:rsid w:val="00D54E16"/>
    <w:rsid w:val="00D60C59"/>
    <w:rsid w:val="00D73628"/>
    <w:rsid w:val="00D73918"/>
    <w:rsid w:val="00D96404"/>
    <w:rsid w:val="00D967D7"/>
    <w:rsid w:val="00DA125D"/>
    <w:rsid w:val="00DA3CD3"/>
    <w:rsid w:val="00DA68A8"/>
    <w:rsid w:val="00DA7232"/>
    <w:rsid w:val="00DB1621"/>
    <w:rsid w:val="00DB2794"/>
    <w:rsid w:val="00DB3954"/>
    <w:rsid w:val="00DB604A"/>
    <w:rsid w:val="00DC0F2A"/>
    <w:rsid w:val="00DC4BC2"/>
    <w:rsid w:val="00DD42C1"/>
    <w:rsid w:val="00DE057D"/>
    <w:rsid w:val="00DE43CD"/>
    <w:rsid w:val="00E0020F"/>
    <w:rsid w:val="00E118C7"/>
    <w:rsid w:val="00E1427B"/>
    <w:rsid w:val="00E14E0D"/>
    <w:rsid w:val="00E22B8B"/>
    <w:rsid w:val="00E24EC2"/>
    <w:rsid w:val="00E33F5A"/>
    <w:rsid w:val="00E40DF0"/>
    <w:rsid w:val="00E4267B"/>
    <w:rsid w:val="00E47DAC"/>
    <w:rsid w:val="00E50721"/>
    <w:rsid w:val="00E553FF"/>
    <w:rsid w:val="00E63C8A"/>
    <w:rsid w:val="00E70BF6"/>
    <w:rsid w:val="00E750CE"/>
    <w:rsid w:val="00E800D7"/>
    <w:rsid w:val="00EA0811"/>
    <w:rsid w:val="00EB617F"/>
    <w:rsid w:val="00EC7CFA"/>
    <w:rsid w:val="00EE5584"/>
    <w:rsid w:val="00F10DA4"/>
    <w:rsid w:val="00F11C98"/>
    <w:rsid w:val="00F12E47"/>
    <w:rsid w:val="00F17354"/>
    <w:rsid w:val="00F223B2"/>
    <w:rsid w:val="00F53241"/>
    <w:rsid w:val="00F61CF7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D4B4C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784C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C432-3961-4E5B-9379-097605C8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17</cp:revision>
  <cp:lastPrinted>2018-09-10T06:55:00Z</cp:lastPrinted>
  <dcterms:created xsi:type="dcterms:W3CDTF">2019-03-01T11:58:00Z</dcterms:created>
  <dcterms:modified xsi:type="dcterms:W3CDTF">2019-04-10T13:39:00Z</dcterms:modified>
</cp:coreProperties>
</file>