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EF0C6" w14:textId="7E286948" w:rsidR="000E2036" w:rsidRPr="007D2CF0" w:rsidRDefault="00C15584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C15584">
        <w:rPr>
          <w:b/>
          <w:sz w:val="22"/>
          <w:szCs w:val="22"/>
          <w:lang w:val="sr-Cyrl-RS"/>
        </w:rPr>
        <w:t>ПОЈЕДНОСТАВЉЕЊЕ ПОСТУПКА ИЗДАВАЊА РЕШЕЊА ЗА БАВЉЕЊЕ ПРОМЕТОМ ОРУЖЈА, ОСНОВНИХ ДЕЛОВА ОРУЖЈА И МУНИЦИЈЕ</w:t>
      </w:r>
    </w:p>
    <w:p w14:paraId="2986C640" w14:textId="77777777" w:rsidR="0021261F" w:rsidRPr="007D2CF0" w:rsidRDefault="0021261F" w:rsidP="00092B84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3"/>
      </w:tblGrid>
      <w:tr w:rsidR="000E2036" w:rsidRPr="00472D28" w14:paraId="1976FB87" w14:textId="77777777" w:rsidTr="00255BE3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1F785D1" w14:textId="77777777" w:rsidR="000E2036" w:rsidRPr="007D2CF0" w:rsidRDefault="000E2036" w:rsidP="001D7BFA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7D2CF0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795" w:type="dxa"/>
            <w:vAlign w:val="center"/>
          </w:tcPr>
          <w:p w14:paraId="5FD56B01" w14:textId="024F4908" w:rsidR="000E2036" w:rsidRPr="007D2CF0" w:rsidRDefault="005935BC" w:rsidP="00255BE3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7D2CF0">
              <w:rPr>
                <w:sz w:val="22"/>
                <w:szCs w:val="22"/>
                <w:lang w:val="sr-Cyrl-RS"/>
              </w:rPr>
              <w:t>Решење за бављење прометом оружја, основних делова оружја и муниције</w:t>
            </w:r>
          </w:p>
        </w:tc>
      </w:tr>
      <w:tr w:rsidR="000E2036" w:rsidRPr="007D2CF0" w14:paraId="7A6AA442" w14:textId="77777777" w:rsidTr="001D7BFA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049C2EAE" w14:textId="77777777" w:rsidR="000E2036" w:rsidRPr="007D2CF0" w:rsidRDefault="000E2036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D2CF0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76B78B5F" w14:textId="05F3B068" w:rsidR="000E2036" w:rsidRPr="007D2CF0" w:rsidRDefault="0021261F" w:rsidP="006F4A5C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7D2CF0">
              <w:rPr>
                <w:bCs/>
                <w:color w:val="000000" w:themeColor="text1"/>
                <w:sz w:val="22"/>
                <w:szCs w:val="22"/>
                <w:lang w:val="sr-Cyrl-RS"/>
              </w:rPr>
              <w:t>03.00.00</w:t>
            </w:r>
            <w:r w:rsidR="005935BC" w:rsidRPr="007D2CF0">
              <w:rPr>
                <w:bCs/>
                <w:color w:val="000000" w:themeColor="text1"/>
                <w:sz w:val="22"/>
                <w:szCs w:val="22"/>
                <w:lang w:val="sr-Cyrl-RS"/>
              </w:rPr>
              <w:t>36</w:t>
            </w:r>
          </w:p>
        </w:tc>
      </w:tr>
      <w:tr w:rsidR="00275E2A" w:rsidRPr="007D2CF0" w14:paraId="2CEE52A6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682C75C7" w14:textId="77777777" w:rsidR="00275E2A" w:rsidRPr="007D2CF0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D2CF0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7D2CF0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D2CF0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5795E7E6" w14:textId="70564AC0" w:rsidR="00092B84" w:rsidRPr="007D2CF0" w:rsidRDefault="0021261F" w:rsidP="006F4A5C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7D2CF0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275E2A" w:rsidRPr="00472D28" w14:paraId="10DA1CD3" w14:textId="77777777" w:rsidTr="007D5FAF">
        <w:tc>
          <w:tcPr>
            <w:tcW w:w="2267" w:type="dxa"/>
            <w:shd w:val="clear" w:color="auto" w:fill="DBE5F1" w:themeFill="accent1" w:themeFillTint="33"/>
            <w:vAlign w:val="center"/>
          </w:tcPr>
          <w:p w14:paraId="4DE579F4" w14:textId="77777777" w:rsidR="00275E2A" w:rsidRPr="007D2CF0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D2CF0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7D2CF0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7D2CF0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95" w:type="dxa"/>
            <w:vAlign w:val="center"/>
          </w:tcPr>
          <w:p w14:paraId="0893221A" w14:textId="2A93D92E" w:rsidR="007D5FAF" w:rsidRPr="007D2CF0" w:rsidRDefault="007D5FAF" w:rsidP="007D5FAF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jc w:val="left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7D2CF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Закон о оружју и муницији </w:t>
            </w:r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("Сл. гласник РС", бр. </w:t>
            </w:r>
            <w:r w:rsidR="00472D28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20/2015</w:t>
            </w:r>
            <w:r w:rsidRPr="007D2CF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)</w:t>
            </w:r>
          </w:p>
          <w:p w14:paraId="363762E9" w14:textId="51D20586" w:rsidR="005935BC" w:rsidRPr="007D2CF0" w:rsidRDefault="005935BC" w:rsidP="005673B4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7D2CF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Правилник о обуци у руковању ватреним оружјем, условима за бављење поправљањем и преправљањем оружја и прометом оружја и муниције </w:t>
            </w:r>
            <w:r w:rsidRPr="007D2CF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</w:t>
            </w:r>
            <w:r w:rsidRPr="007D2CF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"Службени гласник РС", бр. 13 од 19. фебруара 2016, 88 од 28. октобра 2016, чланови 14-16.</w:t>
            </w:r>
            <w:r w:rsidRPr="007D2CF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Pr="007D2CF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</w:p>
          <w:p w14:paraId="2CCB5DCC" w14:textId="0DD9723B" w:rsidR="005935BC" w:rsidRPr="007D2CF0" w:rsidRDefault="005935BC" w:rsidP="005673B4">
            <w:pPr>
              <w:pStyle w:val="ListParagraph"/>
              <w:numPr>
                <w:ilvl w:val="0"/>
                <w:numId w:val="25"/>
              </w:numPr>
              <w:spacing w:before="120" w:after="120"/>
              <w:ind w:left="459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7D2CF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Правилник о просторно-техничким условима за безбедно смештање и чување оружја и муниције </w:t>
            </w:r>
            <w:r w:rsidRPr="007D2CF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(</w:t>
            </w:r>
            <w:r w:rsidRPr="007D2CF0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>"Службени гласник РС", бр. 9 од 5. фебруара 2016, 106 од 28. децембра 2016., чланови 4-6.</w:t>
            </w:r>
            <w:r w:rsidRPr="007D2CF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D73918" w:rsidRPr="00472D28" w14:paraId="724CF23D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1A908998" w14:textId="55BF2242" w:rsidR="00D73918" w:rsidRPr="007D2CF0" w:rsidRDefault="00D73918" w:rsidP="001D7BFA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7D2CF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7D2CF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7D2CF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7D2CF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7D2CF0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да би се спровеле препоруке</w:t>
            </w:r>
          </w:p>
        </w:tc>
        <w:tc>
          <w:tcPr>
            <w:tcW w:w="6795" w:type="dxa"/>
            <w:vAlign w:val="center"/>
          </w:tcPr>
          <w:p w14:paraId="55CB4618" w14:textId="705CAE91" w:rsidR="00D73918" w:rsidRPr="007D2CF0" w:rsidRDefault="002C57A6" w:rsidP="002C57A6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промена /доношење/укидање прописа.</w:t>
            </w:r>
          </w:p>
        </w:tc>
      </w:tr>
      <w:tr w:rsidR="00275E2A" w:rsidRPr="007D2CF0" w14:paraId="58812BCA" w14:textId="77777777" w:rsidTr="001D7BFA">
        <w:tc>
          <w:tcPr>
            <w:tcW w:w="2267" w:type="dxa"/>
            <w:shd w:val="clear" w:color="auto" w:fill="DBE5F1" w:themeFill="accent1" w:themeFillTint="33"/>
            <w:vAlign w:val="center"/>
          </w:tcPr>
          <w:p w14:paraId="0CF6011B" w14:textId="0E1BBDD3" w:rsidR="00275E2A" w:rsidRPr="007D2CF0" w:rsidRDefault="00275E2A" w:rsidP="001D7BFA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D2CF0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7D2CF0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795" w:type="dxa"/>
          </w:tcPr>
          <w:p w14:paraId="19A48B50" w14:textId="5AEBE537" w:rsidR="00F74844" w:rsidRPr="007D2CF0" w:rsidRDefault="000C58A7" w:rsidP="000C58A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Четврти квартал 2019. </w:t>
            </w:r>
            <w:r w:rsidR="00574461"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>године</w:t>
            </w:r>
          </w:p>
        </w:tc>
      </w:tr>
      <w:tr w:rsidR="00275E2A" w:rsidRPr="007D2CF0" w14:paraId="539113B1" w14:textId="77777777" w:rsidTr="007D39E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7D2CF0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D2CF0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472D28" w14:paraId="4635A4BE" w14:textId="77777777" w:rsidTr="00275E2A">
        <w:tc>
          <w:tcPr>
            <w:tcW w:w="9062" w:type="dxa"/>
            <w:gridSpan w:val="2"/>
          </w:tcPr>
          <w:p w14:paraId="7E5F93C0" w14:textId="1ED410AA" w:rsidR="00876725" w:rsidRPr="007D2CF0" w:rsidRDefault="00DC7451" w:rsidP="00DC7451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2CF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административно оптерећење и трошкове привредним друштвима и другим правним лицима, на шта указује документација, коју привредни субјекат подноси, уз непоштовање обавезе прибављања података које издају други јавни органи, по службеној дужности. </w:t>
            </w:r>
            <w:r w:rsidR="007D2CF0" w:rsidRPr="007D2CF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Такође, надлежни орган још увек није омогућио електронско подношење захтева и документације у поступку. </w:t>
            </w:r>
          </w:p>
          <w:p w14:paraId="246FB99C" w14:textId="1944C5A9" w:rsidR="00DC7451" w:rsidRPr="007D2CF0" w:rsidRDefault="00DC7451" w:rsidP="00DC7451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2CF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Сходно томе, нарушено је једно од начела управног поступка - начело делотворности и економичности, по коме се поступак води уз што мање трошкова по странку. </w:t>
            </w:r>
          </w:p>
          <w:p w14:paraId="4BCB02C2" w14:textId="26C54EF7" w:rsidR="002C57A6" w:rsidRPr="007D2CF0" w:rsidRDefault="002C57A6" w:rsidP="002C57A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</w:tc>
      </w:tr>
      <w:tr w:rsidR="00275E2A" w:rsidRPr="007D2CF0" w14:paraId="31663FC5" w14:textId="77777777" w:rsidTr="007D39E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12FDE5D1" w14:textId="77777777" w:rsidR="00275E2A" w:rsidRPr="007D2CF0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D2CF0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7D2CF0" w14:paraId="7C9122B7" w14:textId="77777777" w:rsidTr="006A581C">
        <w:trPr>
          <w:trHeight w:val="1125"/>
        </w:trPr>
        <w:tc>
          <w:tcPr>
            <w:tcW w:w="9062" w:type="dxa"/>
            <w:shd w:val="clear" w:color="auto" w:fill="auto"/>
          </w:tcPr>
          <w:p w14:paraId="799352E9" w14:textId="02867A97" w:rsidR="00AC02D1" w:rsidRPr="007D2CF0" w:rsidRDefault="00AC02D1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60"/>
              <w:gridCol w:w="1886"/>
              <w:gridCol w:w="2014"/>
              <w:gridCol w:w="1774"/>
            </w:tblGrid>
            <w:tr w:rsidR="006A581C" w:rsidRPr="007D2CF0" w14:paraId="06FCE469" w14:textId="77777777" w:rsidTr="00D84657">
              <w:trPr>
                <w:trHeight w:val="1056"/>
              </w:trPr>
              <w:tc>
                <w:tcPr>
                  <w:tcW w:w="178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46BB2EE" w14:textId="77777777" w:rsidR="006A581C" w:rsidRPr="007D2CF0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7D2CF0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20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2BC2CE0" w14:textId="77777777" w:rsidR="006A581C" w:rsidRPr="007D2CF0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7D2CF0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0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812741A" w14:textId="77777777" w:rsidR="006A581C" w:rsidRPr="007D2CF0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7D2CF0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6A581C" w:rsidRPr="007D2CF0" w14:paraId="4F02C721" w14:textId="77777777" w:rsidTr="00D84657">
              <w:trPr>
                <w:trHeight w:val="288"/>
              </w:trPr>
              <w:tc>
                <w:tcPr>
                  <w:tcW w:w="178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D35741" w14:textId="77777777" w:rsidR="006A581C" w:rsidRPr="007D2CF0" w:rsidRDefault="006A581C" w:rsidP="006A581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  <w:tc>
                <w:tcPr>
                  <w:tcW w:w="106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CC71A8C" w14:textId="77777777" w:rsidR="006A581C" w:rsidRPr="007D2CF0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7D2CF0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D526710" w14:textId="77777777" w:rsidR="006A581C" w:rsidRPr="007D2CF0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7D2CF0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04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D48DAE7" w14:textId="77777777" w:rsidR="006A581C" w:rsidRPr="007D2CF0" w:rsidRDefault="006A581C" w:rsidP="006A581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</w:p>
              </w:tc>
            </w:tr>
            <w:tr w:rsidR="006A581C" w:rsidRPr="007D2CF0" w14:paraId="77F008EE" w14:textId="77777777" w:rsidTr="00D427F6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9E1674" w14:textId="77777777" w:rsidR="006A581C" w:rsidRPr="007D2CF0" w:rsidRDefault="006A581C" w:rsidP="006A581C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7D2CF0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D03556" w14:textId="77777777" w:rsidR="006A581C" w:rsidRPr="007D2CF0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7D2CF0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9AEBE1" w14:textId="77777777" w:rsidR="006A581C" w:rsidRPr="007D2CF0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en-GB" w:eastAsia="en-GB"/>
                    </w:rPr>
                  </w:pPr>
                  <w:r w:rsidRPr="007D2CF0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57BCBB" w14:textId="77777777" w:rsidR="006A581C" w:rsidRPr="007D2CF0" w:rsidRDefault="006A581C" w:rsidP="006A581C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en-GB" w:eastAsia="en-GB"/>
                    </w:rPr>
                  </w:pPr>
                  <w:r w:rsidRPr="007D2CF0"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  <w:t> </w:t>
                  </w:r>
                </w:p>
              </w:tc>
            </w:tr>
            <w:tr w:rsidR="00B840CE" w:rsidRPr="007D2CF0" w14:paraId="532238FC" w14:textId="77777777" w:rsidTr="00B840CE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D6FB8F" w14:textId="69C1F10F" w:rsidR="00B840CE" w:rsidRPr="007D2CF0" w:rsidRDefault="00B840CE" w:rsidP="00B840CE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7D2CF0">
                    <w:rPr>
                      <w:rFonts w:ascii="Times New Roman" w:eastAsia="Times New Roman" w:hAnsi="Times New Roman"/>
                      <w:b/>
                      <w:iCs/>
                      <w:lang w:val="sr-Cyrl-RS" w:eastAsia="en-GB"/>
                    </w:rPr>
                    <w:t>Документација</w:t>
                  </w:r>
                </w:p>
              </w:tc>
              <w:tc>
                <w:tcPr>
                  <w:tcW w:w="3211" w:type="pct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CA761E" w14:textId="77777777" w:rsidR="00B840CE" w:rsidRPr="007D2CF0" w:rsidRDefault="00B840CE" w:rsidP="00B840C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B840CE" w:rsidRPr="007D2CF0" w14:paraId="3BB43AD6" w14:textId="77777777" w:rsidTr="00D84657">
              <w:trPr>
                <w:trHeight w:val="528"/>
              </w:trPr>
              <w:tc>
                <w:tcPr>
                  <w:tcW w:w="1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112D53" w14:textId="5049B712" w:rsidR="00B840CE" w:rsidRPr="007D2CF0" w:rsidRDefault="00B840CE" w:rsidP="00B840CE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  <w:r w:rsidRPr="007D2CF0">
                    <w:rPr>
                      <w:rFonts w:ascii="Times New Roman" w:eastAsia="Times New Roman" w:hAnsi="Times New Roman"/>
                      <w:i/>
                      <w:iCs/>
                      <w:lang w:val="sr-Cyrl-RS" w:eastAsia="en-GB"/>
                    </w:rPr>
                    <w:lastRenderedPageBreak/>
                    <w:t>Промена форме документације</w:t>
                  </w:r>
                </w:p>
              </w:tc>
              <w:tc>
                <w:tcPr>
                  <w:tcW w:w="106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00479B5" w14:textId="77777777" w:rsidR="00B840CE" w:rsidRPr="007D2CF0" w:rsidRDefault="00B840CE" w:rsidP="00B840C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BDE334" w14:textId="37011996" w:rsidR="00B840CE" w:rsidRPr="007D2CF0" w:rsidRDefault="00B840CE" w:rsidP="00B840CE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7D2CF0">
                    <w:rPr>
                      <w:rFonts w:ascii="Times New Roman" w:eastAsia="Times New Roman" w:hAnsi="Times New Roman"/>
                      <w:bCs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C2228D" w14:textId="77777777" w:rsidR="00B840CE" w:rsidRPr="007D2CF0" w:rsidRDefault="00B840CE" w:rsidP="00B840CE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  <w:tr w:rsidR="00B840CE" w:rsidRPr="007D2CF0" w14:paraId="782448BE" w14:textId="77777777" w:rsidTr="00D84657">
              <w:trPr>
                <w:trHeight w:val="288"/>
              </w:trPr>
              <w:tc>
                <w:tcPr>
                  <w:tcW w:w="1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7414785" w14:textId="3D03A312" w:rsidR="00B840CE" w:rsidRPr="007D2CF0" w:rsidRDefault="00B840CE" w:rsidP="00B840CE">
                  <w:pPr>
                    <w:pStyle w:val="NormalWeb"/>
                    <w:spacing w:before="0" w:beforeAutospacing="0" w:after="0" w:afterAutospacing="0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7D2CF0"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10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E61922F" w14:textId="77777777" w:rsidR="00B840CE" w:rsidRPr="007D2CF0" w:rsidRDefault="00B840CE" w:rsidP="00B840CE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  <w:tc>
                <w:tcPr>
                  <w:tcW w:w="114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031D8E2" w14:textId="77777777" w:rsidR="00B840CE" w:rsidRPr="007D2CF0" w:rsidRDefault="00B840CE" w:rsidP="00B840CE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  <w:r w:rsidRPr="007D2CF0"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35A3EB4" w14:textId="77777777" w:rsidR="00B840CE" w:rsidRPr="007D2CF0" w:rsidRDefault="00B840CE" w:rsidP="00B840CE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lang w:val="sr-Cyrl-RS" w:eastAsia="en-GB"/>
                    </w:rPr>
                  </w:pPr>
                </w:p>
              </w:tc>
            </w:tr>
          </w:tbl>
          <w:p w14:paraId="7C19A641" w14:textId="7F0BFCAE" w:rsidR="006A581C" w:rsidRPr="007D2CF0" w:rsidRDefault="006A581C" w:rsidP="00AC02D1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2A845F9" w14:textId="48C65F53" w:rsidR="007D39E4" w:rsidRPr="007D2CF0" w:rsidRDefault="007D39E4" w:rsidP="00886C36">
            <w:pPr>
              <w:spacing w:after="120"/>
              <w:rPr>
                <w:rFonts w:ascii="Times New Roman" w:eastAsia="Times New Roman" w:hAnsi="Times New Roman"/>
                <w:b/>
                <w:i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3964" w:rsidRPr="007D2CF0" w14:paraId="4FBA2E7F" w14:textId="77777777" w:rsidTr="008A20C1">
        <w:trPr>
          <w:trHeight w:val="391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139C151" w14:textId="77777777" w:rsidR="00FD3964" w:rsidRPr="007D2CF0" w:rsidRDefault="00FD3964" w:rsidP="007D39E4">
            <w:pPr>
              <w:pStyle w:val="NormalWeb"/>
              <w:numPr>
                <w:ilvl w:val="0"/>
                <w:numId w:val="23"/>
              </w:numPr>
              <w:spacing w:before="0" w:beforeAutospacing="0" w:after="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D2CF0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</w:tbl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D39E4" w:rsidRPr="00472D28" w14:paraId="72ECB386" w14:textId="77777777" w:rsidTr="00C23C32">
        <w:tc>
          <w:tcPr>
            <w:tcW w:w="9062" w:type="dxa"/>
          </w:tcPr>
          <w:p w14:paraId="3E637809" w14:textId="0FFA6500" w:rsidR="00287AFC" w:rsidRPr="007D2CF0" w:rsidRDefault="00287AFC" w:rsidP="00287AFC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377EEDD7" w14:textId="77777777" w:rsidR="005935BC" w:rsidRPr="007D2CF0" w:rsidRDefault="005935BC" w:rsidP="005935BC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sz w:val="22"/>
                <w:szCs w:val="22"/>
                <w:u w:val="single"/>
                <w:lang w:val="sr-Cyrl-RS"/>
              </w:rPr>
            </w:pPr>
            <w:r w:rsidRPr="007D2CF0">
              <w:rPr>
                <w:b/>
                <w:sz w:val="22"/>
                <w:szCs w:val="22"/>
                <w:u w:val="single"/>
                <w:lang w:val="sr-Cyrl-RS"/>
              </w:rPr>
              <w:t>Прибављање података по службеној дужности</w:t>
            </w:r>
          </w:p>
          <w:p w14:paraId="1B770F99" w14:textId="5B4296B9" w:rsidR="005935BC" w:rsidRPr="007D2CF0" w:rsidRDefault="005935BC" w:rsidP="005935BC">
            <w:pPr>
              <w:pStyle w:val="odluka-zakon"/>
              <w:shd w:val="clear" w:color="auto" w:fill="FFFFFF"/>
              <w:spacing w:before="225" w:after="225"/>
              <w:jc w:val="both"/>
              <w:rPr>
                <w:sz w:val="22"/>
                <w:szCs w:val="22"/>
                <w:lang w:val="sr-Cyrl-RS"/>
              </w:rPr>
            </w:pPr>
            <w:r w:rsidRPr="007D2CF0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3BA34880" w14:textId="2DB26996" w:rsidR="005935BC" w:rsidRPr="007D2CF0" w:rsidRDefault="005935BC" w:rsidP="00255BE3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7D2CF0">
              <w:rPr>
                <w:rFonts w:eastAsiaTheme="minorHAnsi"/>
                <w:b/>
                <w:sz w:val="22"/>
                <w:szCs w:val="22"/>
                <w:lang w:val="sr-Cyrl-RS"/>
              </w:rPr>
              <w:t>Документ 3: Мишљење о испуњености просторно техничких услова</w:t>
            </w:r>
          </w:p>
          <w:p w14:paraId="33AF885C" w14:textId="6A6A16D3" w:rsidR="002E7C2E" w:rsidRPr="007D2CF0" w:rsidRDefault="002E7C2E" w:rsidP="005935BC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7D2CF0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С обзиром да наведени документ издаје организациона јединица надлежног органа </w:t>
            </w:r>
            <w:r w:rsidR="00174E77" w:rsidRPr="007D2CF0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Министарства унутрашњих послова</w:t>
            </w:r>
            <w:r w:rsidRPr="007D2CF0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, предлаже се да се утврђивање просторно-техничких услова за безбедан смештај и чување оружја и муниције обавља по службеној дужности, прибављањем мишљења </w:t>
            </w:r>
            <w:r w:rsidR="00174E77" w:rsidRPr="007D2CF0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о испуњености просторно техничких услова </w:t>
            </w:r>
            <w:r w:rsidRPr="007D2CF0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 xml:space="preserve">надлежне организационе јединице Сектора за ванредне ситуације. </w:t>
            </w:r>
          </w:p>
          <w:p w14:paraId="6B42F4CA" w14:textId="1B5DCAB6" w:rsidR="005935BC" w:rsidRPr="007D2CF0" w:rsidRDefault="005935BC" w:rsidP="005935BC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</w:pPr>
            <w:r w:rsidRPr="007D2CF0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Како би се ово омогућило, у обрасцу захтева је потребно затражити неопходне информације, за које је потребно утврдити ову чињеницу (</w:t>
            </w:r>
            <w:r w:rsidR="007C297F" w:rsidRPr="007D2CF0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подаци о власнику простора, бр. катастарске парцеле и катастарској општини</w:t>
            </w:r>
            <w:r w:rsidRPr="007D2CF0">
              <w:rPr>
                <w:rFonts w:ascii="Times New Roman" w:eastAsia="Times New Roman" w:hAnsi="Times New Roman"/>
                <w:sz w:val="22"/>
                <w:szCs w:val="22"/>
                <w:lang w:val="sr-Cyrl-RS" w:eastAsia="en-GB"/>
              </w:rPr>
              <w:t>).</w:t>
            </w:r>
          </w:p>
          <w:p w14:paraId="32662B18" w14:textId="64677A33" w:rsidR="00255BE3" w:rsidRPr="007D2CF0" w:rsidRDefault="00255BE3" w:rsidP="00255BE3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rPr>
                <w:rFonts w:eastAsiaTheme="minorHAnsi"/>
                <w:b/>
                <w:sz w:val="22"/>
                <w:szCs w:val="22"/>
                <w:lang w:val="sr-Cyrl-RS"/>
              </w:rPr>
            </w:pPr>
            <w:r w:rsidRPr="007D2CF0">
              <w:rPr>
                <w:rFonts w:eastAsiaTheme="minorHAnsi"/>
                <w:b/>
                <w:sz w:val="22"/>
                <w:szCs w:val="22"/>
                <w:lang w:val="sr-Cyrl-RS"/>
              </w:rPr>
              <w:t>Документ 4: Доказ о праву коришћења пословног простора (Уговор о дугорочном закупу или Доказ о праву власништва)</w:t>
            </w:r>
          </w:p>
          <w:p w14:paraId="70C7F53A" w14:textId="4217B831" w:rsidR="00255BE3" w:rsidRPr="007D2CF0" w:rsidRDefault="00255BE3" w:rsidP="00255BE3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sz w:val="22"/>
                <w:szCs w:val="22"/>
                <w:lang w:val="sr-Cyrl-RS"/>
              </w:rPr>
            </w:pPr>
          </w:p>
          <w:p w14:paraId="2107A0F1" w14:textId="4A8BCB8E" w:rsidR="00255BE3" w:rsidRPr="007D2CF0" w:rsidRDefault="00255BE3" w:rsidP="00255BE3">
            <w:pPr>
              <w:spacing w:after="15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2CF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Када је у питању укњижен објекат, предлаже се да надлежан орган </w:t>
            </w:r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прибави потребне податке путем информационог система еЗУП </w:t>
            </w:r>
            <w:r w:rsidRPr="007D2CF0">
              <w:rPr>
                <w:rFonts w:ascii="Times New Roman" w:hAnsi="Times New Roman"/>
                <w:sz w:val="22"/>
                <w:szCs w:val="22"/>
                <w:lang w:val="ru-RU"/>
              </w:rPr>
              <w:t>на порталу е-Управа</w:t>
            </w:r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>, из регистра непокретности Републичког геодетског завода</w:t>
            </w:r>
            <w:r w:rsidRPr="007D2CF0">
              <w:rPr>
                <w:rStyle w:val="FootnoteReference"/>
                <w:rFonts w:ascii="Times New Roman" w:hAnsi="Times New Roman"/>
                <w:sz w:val="22"/>
                <w:szCs w:val="22"/>
                <w:lang w:val="sr-Cyrl-RS"/>
              </w:rPr>
              <w:footnoteReference w:id="1"/>
            </w:r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423A6045" w14:textId="77777777" w:rsidR="00B17D3B" w:rsidRPr="007D2CF0" w:rsidRDefault="00255BE3" w:rsidP="00255BE3">
            <w:pPr>
              <w:spacing w:after="15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>Како би се ово омогућило, у обрасцу захтева је потребно од подносиоца захтева затражити неопходне информације о власнику простора, бр. катастарске парцеле и катастарској општини.</w:t>
            </w:r>
          </w:p>
          <w:p w14:paraId="02B5C852" w14:textId="33B415CD" w:rsidR="005935BC" w:rsidRPr="007D2CF0" w:rsidRDefault="005935BC" w:rsidP="005935BC">
            <w:pPr>
              <w:pStyle w:val="NormalWeb"/>
              <w:jc w:val="both"/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</w:pPr>
            <w:r w:rsidRPr="007D2CF0">
              <w:rPr>
                <w:rFonts w:eastAsia="Calibri"/>
                <w:b/>
                <w:sz w:val="22"/>
                <w:szCs w:val="22"/>
                <w:lang w:val="sr-Cyrl-RS"/>
              </w:rPr>
              <w:t xml:space="preserve">За примену препорука за прибављање података по службеној дужности, није неопходна измена прописа, будући да, у складу са чланом 215. ЗОУП-а, одредбе закона и других прописа према којима се установљава обавеза за странку и другог учесника у поступку да органу достављају податке о чињеницама о којима се води службена евиденција, супротно одредбама чл. 9. и 103. овог закона, </w:t>
            </w:r>
            <w:r w:rsidRPr="007D2CF0">
              <w:rPr>
                <w:rFonts w:eastAsia="Calibri"/>
                <w:b/>
                <w:sz w:val="22"/>
                <w:szCs w:val="22"/>
                <w:u w:val="single"/>
                <w:lang w:val="sr-Cyrl-RS"/>
              </w:rPr>
              <w:t xml:space="preserve">престају да важе истеком 90 дана од дана ступања на снагу овог закона. </w:t>
            </w:r>
          </w:p>
          <w:p w14:paraId="68BA8838" w14:textId="5708B611" w:rsidR="00B840CE" w:rsidRPr="007D2CF0" w:rsidRDefault="00B840CE" w:rsidP="003466BE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7D2CF0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lastRenderedPageBreak/>
              <w:t>Документација</w:t>
            </w:r>
          </w:p>
          <w:p w14:paraId="7FD563B9" w14:textId="77777777" w:rsidR="00A05B45" w:rsidRPr="007D2CF0" w:rsidRDefault="00A05B45" w:rsidP="00B840CE">
            <w:pPr>
              <w:pStyle w:val="NormalWeb"/>
              <w:spacing w:before="0" w:beforeAutospacing="0" w:after="0" w:afterAutospacing="0"/>
              <w:rPr>
                <w:i/>
                <w:color w:val="000000" w:themeColor="text1"/>
                <w:sz w:val="22"/>
                <w:szCs w:val="22"/>
                <w:lang w:val="sr-Cyrl-RS"/>
              </w:rPr>
            </w:pPr>
          </w:p>
          <w:p w14:paraId="6A4B93BA" w14:textId="6CB946E3" w:rsidR="00B840CE" w:rsidRPr="007D2CF0" w:rsidRDefault="00B840CE" w:rsidP="00B840C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u w:val="single"/>
                <w:lang w:val="sr-Cyrl-RS"/>
              </w:rPr>
            </w:pPr>
            <w:r w:rsidRPr="007D2CF0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  <w:r w:rsidR="00402F38" w:rsidRPr="007D2CF0">
              <w:rPr>
                <w:b/>
                <w:i/>
                <w:color w:val="000000" w:themeColor="text1"/>
                <w:sz w:val="22"/>
                <w:szCs w:val="22"/>
                <w:lang w:val="sr-Cyrl-RS"/>
              </w:rPr>
              <w:t>ције</w:t>
            </w:r>
          </w:p>
          <w:p w14:paraId="706F43B3" w14:textId="10A0B1E5" w:rsidR="00B840CE" w:rsidRPr="007D2CF0" w:rsidRDefault="00B840CE" w:rsidP="00B840CE">
            <w:pPr>
              <w:pStyle w:val="NormalWeb"/>
              <w:ind w:left="270"/>
              <w:jc w:val="both"/>
              <w:rPr>
                <w:b/>
                <w:sz w:val="22"/>
                <w:szCs w:val="22"/>
                <w:lang w:val="sr-Cyrl-RS"/>
              </w:rPr>
            </w:pPr>
            <w:r w:rsidRPr="007D2CF0">
              <w:rPr>
                <w:b/>
                <w:sz w:val="22"/>
                <w:szCs w:val="22"/>
                <w:lang w:val="sr-Cyrl-RS"/>
              </w:rPr>
              <w:t>•</w:t>
            </w:r>
            <w:r w:rsidRPr="007D2CF0">
              <w:rPr>
                <w:b/>
                <w:sz w:val="22"/>
                <w:szCs w:val="22"/>
                <w:lang w:val="sr-Cyrl-RS"/>
              </w:rPr>
              <w:tab/>
            </w:r>
            <w:r w:rsidR="00A05B45" w:rsidRPr="007D2CF0">
              <w:rPr>
                <w:b/>
                <w:sz w:val="22"/>
                <w:szCs w:val="22"/>
                <w:lang w:val="sr-Cyrl-RS"/>
              </w:rPr>
              <w:t>Документ 7</w:t>
            </w:r>
            <w:r w:rsidRPr="007D2CF0">
              <w:rPr>
                <w:b/>
                <w:sz w:val="22"/>
                <w:szCs w:val="22"/>
                <w:lang w:val="sr-Cyrl-RS"/>
              </w:rPr>
              <w:t xml:space="preserve">: </w:t>
            </w:r>
            <w:r w:rsidR="00A05B45" w:rsidRPr="007D2CF0">
              <w:rPr>
                <w:b/>
                <w:sz w:val="22"/>
                <w:szCs w:val="22"/>
                <w:lang w:val="sr-Cyrl-RS"/>
              </w:rPr>
              <w:t>Доказ о уплати Републичке административне таксе</w:t>
            </w:r>
          </w:p>
          <w:p w14:paraId="225DFB46" w14:textId="436F6099" w:rsidR="00BE0D77" w:rsidRPr="007D2CF0" w:rsidRDefault="007045D5" w:rsidP="00BE0D77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</w:t>
            </w:r>
            <w:r w:rsidR="00D06ABC"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 траже </w:t>
            </w:r>
            <w:r w:rsidR="00BE0D77"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0A7D6814" w14:textId="2462CB53" w:rsidR="00BE0D77" w:rsidRPr="007D2CF0" w:rsidRDefault="00BE0D77" w:rsidP="00BE0D77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7D2CF0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</w:t>
            </w:r>
            <w:r w:rsidR="009C0972"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>, валидан доказ о уплати таксе</w:t>
            </w:r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080E6ADC" w14:textId="77777777" w:rsidR="00BE0D77" w:rsidRPr="007D2CF0" w:rsidRDefault="00BE0D77" w:rsidP="00BE0D77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D2CF0">
              <w:rPr>
                <w:rFonts w:ascii="Times New Roman" w:hAnsi="Times New Roman"/>
                <w:sz w:val="22"/>
                <w:szCs w:val="22"/>
              </w:rPr>
              <w:t>K</w:t>
            </w:r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7D2CF0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7D2CF0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2C26381D" w14:textId="77777777" w:rsidR="00BE0D77" w:rsidRPr="007D2CF0" w:rsidRDefault="00BE0D77" w:rsidP="00BE0D77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143813B" w14:textId="77777777" w:rsidR="00BE0D77" w:rsidRPr="007D2CF0" w:rsidRDefault="00BE0D77" w:rsidP="00BE0D77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25C1A654" w14:textId="77777777" w:rsidR="00BE0D77" w:rsidRPr="007D2CF0" w:rsidRDefault="00BE0D77" w:rsidP="00BE0D77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1169B97" w14:textId="77777777" w:rsidR="00BE0D77" w:rsidRPr="007D2CF0" w:rsidRDefault="00BE0D77" w:rsidP="00BE0D77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2B5BB6BD" w14:textId="77777777" w:rsidR="00BE0D77" w:rsidRPr="007D2CF0" w:rsidRDefault="00BE0D77" w:rsidP="00BE0D77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22C952E" w14:textId="77777777" w:rsidR="00587BAC" w:rsidRPr="007D2CF0" w:rsidRDefault="00BE0D77" w:rsidP="00BE0D77">
            <w:pPr>
              <w:pStyle w:val="ListParagraph"/>
              <w:numPr>
                <w:ilvl w:val="0"/>
                <w:numId w:val="45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</w:t>
            </w:r>
          </w:p>
          <w:p w14:paraId="1FDEECC6" w14:textId="77777777" w:rsidR="00587BAC" w:rsidRPr="007D2CF0" w:rsidRDefault="00587BAC" w:rsidP="00587BAC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4832DE2" w14:textId="77777777" w:rsidR="00587BAC" w:rsidRPr="007D2CF0" w:rsidRDefault="00BE0D77" w:rsidP="00587BAC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587BAC"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>Трећи начин је да се омогући систем електронског плаћања преко портала е-управе.</w:t>
            </w:r>
          </w:p>
          <w:p w14:paraId="787E440D" w14:textId="336409F6" w:rsidR="00BE0D77" w:rsidRPr="007D2CF0" w:rsidRDefault="00BE0D77" w:rsidP="00587BAC">
            <w:pPr>
              <w:pStyle w:val="ListParagraph"/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7D5F8C7" w14:textId="77777777" w:rsidR="00BE0D77" w:rsidRPr="007D2CF0" w:rsidRDefault="00BE0D77" w:rsidP="00BE0D77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26B5BEAA" w14:textId="77777777" w:rsidR="00BE0D77" w:rsidRPr="007D2CF0" w:rsidRDefault="00BE0D77" w:rsidP="00BE0D77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6E656E4" w14:textId="77777777" w:rsidR="00B840CE" w:rsidRPr="007D2CF0" w:rsidRDefault="00B840CE" w:rsidP="00B840CE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D2CF0">
              <w:rPr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043D8F55" w14:textId="77777777" w:rsidR="00B840CE" w:rsidRPr="007D2CF0" w:rsidRDefault="00B840CE" w:rsidP="00B840CE">
            <w:pPr>
              <w:pStyle w:val="NormalWeb"/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</w:p>
          <w:p w14:paraId="749AED8C" w14:textId="77777777" w:rsidR="003466BE" w:rsidRPr="007D2CF0" w:rsidRDefault="003466BE" w:rsidP="003466BE">
            <w:pPr>
              <w:pStyle w:val="NormalWeb"/>
              <w:numPr>
                <w:ilvl w:val="1"/>
                <w:numId w:val="23"/>
              </w:numPr>
              <w:spacing w:before="0" w:beforeAutospacing="0" w:after="0" w:afterAutospacing="0"/>
              <w:ind w:left="459"/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</w:pPr>
            <w:r w:rsidRPr="007D2CF0">
              <w:rPr>
                <w:b/>
                <w:color w:val="000000" w:themeColor="text1"/>
                <w:sz w:val="22"/>
                <w:szCs w:val="22"/>
                <w:u w:val="single"/>
                <w:lang w:val="sr-Cyrl-RS"/>
              </w:rPr>
              <w:t>Електронско подношење захтева</w:t>
            </w:r>
          </w:p>
          <w:p w14:paraId="76981A5A" w14:textId="02CCB696" w:rsidR="003466BE" w:rsidRPr="007D2CF0" w:rsidRDefault="003466BE" w:rsidP="003466BE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D2CF0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4437F0B2" w14:textId="77777777" w:rsidR="003466BE" w:rsidRPr="007D2CF0" w:rsidRDefault="003466BE" w:rsidP="003466BE">
            <w:pPr>
              <w:pStyle w:val="ListParagraph"/>
              <w:spacing w:before="120" w:after="120"/>
              <w:ind w:left="-23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  <w:r w:rsidRPr="007D2CF0"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7DEC725F" w14:textId="5FCC4001" w:rsidR="00CB5A92" w:rsidRPr="007D2CF0" w:rsidRDefault="00CB5A92" w:rsidP="00E91CBD">
            <w:pPr>
              <w:spacing w:before="120" w:after="120"/>
              <w:rPr>
                <w:rFonts w:ascii="Times New Roman" w:hAnsi="Times New Roman"/>
                <w:b/>
                <w:color w:val="000000" w:themeColor="text1"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75E2A" w:rsidRPr="00472D28" w14:paraId="675008AD" w14:textId="77777777" w:rsidTr="00E91CBD">
        <w:trPr>
          <w:trHeight w:val="625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7DB0162F" w14:textId="77777777" w:rsidR="00275E2A" w:rsidRPr="007D2CF0" w:rsidRDefault="00275E2A" w:rsidP="006A581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D2CF0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7D2CF0">
              <w:rPr>
                <w:b/>
                <w:sz w:val="22"/>
                <w:szCs w:val="22"/>
                <w:lang w:val="sr-Cyrl-RS"/>
              </w:rPr>
              <w:t>У</w:t>
            </w:r>
            <w:r w:rsidRPr="007D2CF0">
              <w:rPr>
                <w:b/>
                <w:sz w:val="22"/>
                <w:szCs w:val="22"/>
                <w:lang w:val="sr-Cyrl-RS"/>
              </w:rPr>
              <w:t>КЕ СА НАЦРТОМ  ПРОПИСА ЧИЈА СЕ ИЗМЕНА</w:t>
            </w:r>
            <w:r w:rsidR="002A202F" w:rsidRPr="007D2CF0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7D2CF0">
              <w:rPr>
                <w:b/>
                <w:sz w:val="22"/>
                <w:szCs w:val="22"/>
                <w:lang w:val="sr-Cyrl-RS"/>
              </w:rPr>
              <w:t xml:space="preserve">ПРЕДЛАЖЕ  </w:t>
            </w:r>
            <w:r w:rsidRPr="007D2CF0">
              <w:rPr>
                <w:i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E91CBD" w:rsidRPr="00472D28" w14:paraId="243310FD" w14:textId="77777777" w:rsidTr="00E91CBD">
        <w:tc>
          <w:tcPr>
            <w:tcW w:w="9060" w:type="dxa"/>
          </w:tcPr>
          <w:p w14:paraId="797A2A80" w14:textId="77777777" w:rsidR="00E91CBD" w:rsidRPr="007D2CF0" w:rsidRDefault="00E91CBD" w:rsidP="00E91CBD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EBD5DAB" w14:textId="77777777" w:rsidR="00E91CBD" w:rsidRPr="007D2CF0" w:rsidRDefault="00E91CBD" w:rsidP="00E91CBD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694F59C0" w14:textId="77777777" w:rsidR="00E91CBD" w:rsidRPr="007D2CF0" w:rsidRDefault="00E91CBD" w:rsidP="00E91CBD">
            <w:pPr>
              <w:spacing w:after="120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</w:p>
        </w:tc>
      </w:tr>
      <w:tr w:rsidR="00E91CBD" w:rsidRPr="00472D28" w14:paraId="1251D6FF" w14:textId="77777777" w:rsidTr="00E91CBD">
        <w:trPr>
          <w:trHeight w:val="508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561F8583" w14:textId="77777777" w:rsidR="00E91CBD" w:rsidRPr="007D2CF0" w:rsidRDefault="00E91CBD" w:rsidP="00E91CB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D2CF0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91CBD" w:rsidRPr="00472D28" w14:paraId="585359C0" w14:textId="77777777" w:rsidTr="00E91CBD">
        <w:trPr>
          <w:trHeight w:val="708"/>
        </w:trPr>
        <w:tc>
          <w:tcPr>
            <w:tcW w:w="9060" w:type="dxa"/>
          </w:tcPr>
          <w:p w14:paraId="3103F0C8" w14:textId="77777777" w:rsidR="00E91CBD" w:rsidRPr="007D2CF0" w:rsidRDefault="00E91CBD" w:rsidP="00E91CBD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F38E592" w14:textId="77777777" w:rsidR="00E91CBD" w:rsidRPr="007D2CF0" w:rsidRDefault="00E91CBD" w:rsidP="00E91CBD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  <w:p w14:paraId="28DA4344" w14:textId="4A05D6F7" w:rsidR="00E91CBD" w:rsidRPr="007D2CF0" w:rsidRDefault="00E91CBD" w:rsidP="00E91CBD">
            <w:pPr>
              <w:pStyle w:val="NormalWeb"/>
              <w:spacing w:before="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91CBD" w:rsidRPr="007D2CF0" w14:paraId="6F69BD61" w14:textId="77777777" w:rsidTr="00E91CBD">
        <w:trPr>
          <w:trHeight w:val="409"/>
        </w:trPr>
        <w:tc>
          <w:tcPr>
            <w:tcW w:w="9060" w:type="dxa"/>
            <w:shd w:val="clear" w:color="auto" w:fill="DBE5F1" w:themeFill="accent1" w:themeFillTint="33"/>
            <w:vAlign w:val="center"/>
          </w:tcPr>
          <w:p w14:paraId="10A6F09F" w14:textId="77777777" w:rsidR="00E91CBD" w:rsidRPr="007D2CF0" w:rsidRDefault="00E91CBD" w:rsidP="00E91CB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D2CF0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91CBD" w:rsidRPr="007D2CF0" w14:paraId="162E5FCE" w14:textId="77777777" w:rsidTr="00E91CBD">
        <w:trPr>
          <w:trHeight w:val="567"/>
        </w:trPr>
        <w:tc>
          <w:tcPr>
            <w:tcW w:w="9060" w:type="dxa"/>
            <w:shd w:val="clear" w:color="auto" w:fill="auto"/>
          </w:tcPr>
          <w:p w14:paraId="4693263A" w14:textId="0F2B2425" w:rsidR="00E91CBD" w:rsidRPr="007D2CF0" w:rsidRDefault="005C346E" w:rsidP="005C346E">
            <w:pPr>
              <w:spacing w:before="120"/>
              <w:rPr>
                <w:rFonts w:ascii="Times New Roman" w:hAnsi="Times New Roman"/>
                <w:sz w:val="22"/>
                <w:szCs w:val="22"/>
              </w:rPr>
            </w:pPr>
            <w:bookmarkStart w:id="1" w:name="_GoBack"/>
            <w:bookmarkEnd w:id="1"/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>Препоруке ће допринети</w:t>
            </w:r>
            <w:r w:rsidRPr="007D2CF0">
              <w:rPr>
                <w:rFonts w:ascii="Times New Roman" w:hAnsi="Times New Roman"/>
                <w:sz w:val="22"/>
                <w:szCs w:val="22"/>
              </w:rPr>
              <w:t> </w:t>
            </w:r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поједностављењу поступка</w:t>
            </w:r>
            <w:r w:rsidR="00876725"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>смањењу документације</w:t>
            </w:r>
            <w:r w:rsidR="00876725"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</w:t>
            </w:r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7D2CF0">
              <w:rPr>
                <w:rFonts w:ascii="Times New Roman" w:hAnsi="Times New Roman"/>
                <w:sz w:val="22"/>
                <w:szCs w:val="22"/>
              </w:rPr>
              <w:t> </w:t>
            </w:r>
            <w:proofErr w:type="spellStart"/>
            <w:r w:rsidRPr="007D2CF0">
              <w:rPr>
                <w:rFonts w:ascii="Times New Roman" w:hAnsi="Times New Roman"/>
                <w:sz w:val="22"/>
                <w:szCs w:val="22"/>
              </w:rPr>
              <w:t>Препорукама</w:t>
            </w:r>
            <w:proofErr w:type="spellEnd"/>
            <w:r w:rsidRPr="007D2CF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2CF0">
              <w:rPr>
                <w:rFonts w:ascii="Times New Roman" w:hAnsi="Times New Roman"/>
                <w:sz w:val="22"/>
                <w:szCs w:val="22"/>
              </w:rPr>
              <w:t>се</w:t>
            </w:r>
            <w:proofErr w:type="spellEnd"/>
            <w:r w:rsidRPr="007D2CF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2CF0">
              <w:rPr>
                <w:rFonts w:ascii="Times New Roman" w:hAnsi="Times New Roman"/>
                <w:sz w:val="22"/>
                <w:szCs w:val="22"/>
              </w:rPr>
              <w:t>утиче</w:t>
            </w:r>
            <w:proofErr w:type="spellEnd"/>
            <w:r w:rsidRPr="007D2CF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2CF0">
              <w:rPr>
                <w:rFonts w:ascii="Times New Roman" w:hAnsi="Times New Roman"/>
                <w:sz w:val="22"/>
                <w:szCs w:val="22"/>
              </w:rPr>
              <w:t>на</w:t>
            </w:r>
            <w:proofErr w:type="spellEnd"/>
            <w:r w:rsidRPr="007D2CF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2CF0">
              <w:rPr>
                <w:rFonts w:ascii="Times New Roman" w:hAnsi="Times New Roman"/>
                <w:sz w:val="22"/>
                <w:szCs w:val="22"/>
              </w:rPr>
              <w:t>побољшање</w:t>
            </w:r>
            <w:proofErr w:type="spellEnd"/>
            <w:r w:rsidRPr="007D2CF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2CF0">
              <w:rPr>
                <w:rFonts w:ascii="Times New Roman" w:hAnsi="Times New Roman"/>
                <w:sz w:val="22"/>
                <w:szCs w:val="22"/>
              </w:rPr>
              <w:t>пословног</w:t>
            </w:r>
            <w:proofErr w:type="spellEnd"/>
            <w:r w:rsidRPr="007D2CF0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D2CF0">
              <w:rPr>
                <w:rFonts w:ascii="Times New Roman" w:hAnsi="Times New Roman"/>
                <w:sz w:val="22"/>
                <w:szCs w:val="22"/>
              </w:rPr>
              <w:t>амбијента</w:t>
            </w:r>
            <w:proofErr w:type="spellEnd"/>
            <w:r w:rsidRPr="007D2CF0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</w:tc>
      </w:tr>
    </w:tbl>
    <w:p w14:paraId="316DC6AF" w14:textId="77777777" w:rsidR="003E3C16" w:rsidRPr="007D2CF0" w:rsidRDefault="003E3C16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0F7D7B8D" w14:textId="77777777" w:rsidR="008629CC" w:rsidRPr="007D2CF0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5BF99442" w14:textId="77777777" w:rsidR="008629CC" w:rsidRPr="007D2CF0" w:rsidRDefault="008629CC" w:rsidP="006237FE">
      <w:pPr>
        <w:jc w:val="center"/>
        <w:rPr>
          <w:rFonts w:ascii="Times New Roman" w:eastAsia="Times New Roman" w:hAnsi="Times New Roman"/>
          <w:lang w:val="sr-Cyrl-RS"/>
        </w:rPr>
      </w:pPr>
    </w:p>
    <w:p w14:paraId="34350098" w14:textId="719FA31B" w:rsidR="00C42B27" w:rsidRPr="007D2CF0" w:rsidRDefault="00C42B27" w:rsidP="003E3C16">
      <w:pPr>
        <w:rPr>
          <w:rFonts w:ascii="Times New Roman" w:eastAsia="Times New Roman" w:hAnsi="Times New Roman"/>
          <w:lang w:val="sr-Cyrl-RS"/>
        </w:rPr>
      </w:pPr>
    </w:p>
    <w:p w14:paraId="6CB93EDD" w14:textId="77777777" w:rsidR="00C42B27" w:rsidRPr="007D2CF0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4BD2A78" w14:textId="77777777" w:rsidR="00C42B27" w:rsidRPr="007D2CF0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EE9F555" w14:textId="77777777" w:rsidR="00C42B27" w:rsidRPr="007D2CF0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BBD0ED5" w14:textId="77777777" w:rsidR="00C42B27" w:rsidRPr="007D2CF0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2D1D5C5A" w14:textId="77777777" w:rsidR="00C42B27" w:rsidRPr="007D2CF0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183F2127" w14:textId="77777777" w:rsidR="00C42B27" w:rsidRPr="007D2CF0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799DAC8" w14:textId="77777777" w:rsidR="00C42B27" w:rsidRPr="007D2CF0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7AAEF5D3" w14:textId="77777777" w:rsidR="00C42B27" w:rsidRPr="007D2CF0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642D39AF" w14:textId="77777777" w:rsidR="00C42B27" w:rsidRPr="007D2CF0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9FBD68B" w14:textId="77777777" w:rsidR="00C42B27" w:rsidRPr="007D2CF0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81320AD" w14:textId="77777777" w:rsidR="00C42B27" w:rsidRPr="007D2CF0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3ECF64E9" w14:textId="77777777" w:rsidR="00C42B27" w:rsidRPr="007D2CF0" w:rsidRDefault="00C42B27" w:rsidP="00C42B27">
      <w:pPr>
        <w:rPr>
          <w:rFonts w:ascii="Times New Roman" w:eastAsia="Times New Roman" w:hAnsi="Times New Roman"/>
          <w:lang w:val="sr-Cyrl-RS"/>
        </w:rPr>
      </w:pPr>
    </w:p>
    <w:p w14:paraId="5586F75C" w14:textId="00F88E36" w:rsidR="003E3C16" w:rsidRPr="007D2CF0" w:rsidRDefault="003E3C16" w:rsidP="00C42B27">
      <w:pPr>
        <w:tabs>
          <w:tab w:val="left" w:pos="3180"/>
        </w:tabs>
        <w:rPr>
          <w:rFonts w:ascii="Times New Roman" w:eastAsia="Times New Roman" w:hAnsi="Times New Roman"/>
          <w:lang w:val="sr-Cyrl-RS"/>
        </w:rPr>
      </w:pPr>
    </w:p>
    <w:sectPr w:rsidR="003E3C16" w:rsidRPr="007D2CF0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7C072" w14:textId="77777777" w:rsidR="00C63642" w:rsidRDefault="00C63642" w:rsidP="002A202F">
      <w:r>
        <w:separator/>
      </w:r>
    </w:p>
  </w:endnote>
  <w:endnote w:type="continuationSeparator" w:id="0">
    <w:p w14:paraId="5C606CF2" w14:textId="77777777" w:rsidR="00C63642" w:rsidRDefault="00C6364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6DCA62F1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56C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6582D" w14:textId="77777777" w:rsidR="00C63642" w:rsidRDefault="00C63642" w:rsidP="002A202F">
      <w:r>
        <w:separator/>
      </w:r>
    </w:p>
  </w:footnote>
  <w:footnote w:type="continuationSeparator" w:id="0">
    <w:p w14:paraId="6B18DADE" w14:textId="77777777" w:rsidR="00C63642" w:rsidRDefault="00C63642" w:rsidP="002A202F">
      <w:r>
        <w:continuationSeparator/>
      </w:r>
    </w:p>
  </w:footnote>
  <w:footnote w:id="1">
    <w:p w14:paraId="19D00F3B" w14:textId="791EB6F7" w:rsidR="00255BE3" w:rsidRPr="006868EE" w:rsidRDefault="00255BE3" w:rsidP="00255BE3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22"/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bookmarkStart w:id="0" w:name="_Hlk528085978"/>
      <w:r w:rsidRPr="006868EE">
        <w:rPr>
          <w:i/>
          <w:sz w:val="18"/>
          <w:szCs w:val="22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</w:t>
      </w:r>
      <w:r w:rsidRPr="006868EE">
        <w:rPr>
          <w:rFonts w:eastAsia="Calibri"/>
          <w:b/>
          <w:i/>
          <w:sz w:val="18"/>
          <w:szCs w:val="22"/>
          <w:lang w:val="sr-Cyrl-RS"/>
        </w:rPr>
        <w:t xml:space="preserve"> </w:t>
      </w:r>
      <w:r w:rsidRPr="006868EE">
        <w:rPr>
          <w:i/>
          <w:sz w:val="18"/>
          <w:szCs w:val="22"/>
          <w:lang w:val="sr-Cyrl-RS"/>
        </w:rPr>
        <w:t>Уредбе о прибављању и уступању података о чињеницама о којима се води службена евиденција (</w:t>
      </w:r>
      <w:r w:rsidR="00510753" w:rsidRPr="00510753">
        <w:rPr>
          <w:i/>
          <w:iCs/>
          <w:sz w:val="18"/>
          <w:szCs w:val="22"/>
        </w:rPr>
        <w:fldChar w:fldCharType="begin"/>
      </w:r>
      <w:r w:rsidR="00510753" w:rsidRPr="00510753">
        <w:rPr>
          <w:i/>
          <w:iCs/>
          <w:sz w:val="18"/>
          <w:szCs w:val="22"/>
          <w:lang w:val="sr-Cyrl-RS"/>
        </w:rPr>
        <w:instrText xml:space="preserve"> </w:instrText>
      </w:r>
      <w:r w:rsidR="00510753" w:rsidRPr="00510753">
        <w:rPr>
          <w:i/>
          <w:iCs/>
          <w:sz w:val="18"/>
          <w:szCs w:val="22"/>
        </w:rPr>
        <w:instrText>HYPERLINK</w:instrText>
      </w:r>
      <w:r w:rsidR="00510753" w:rsidRPr="00510753">
        <w:rPr>
          <w:i/>
          <w:iCs/>
          <w:sz w:val="18"/>
          <w:szCs w:val="22"/>
          <w:lang w:val="sr-Cyrl-RS"/>
        </w:rPr>
        <w:instrText xml:space="preserve"> "</w:instrText>
      </w:r>
      <w:r w:rsidR="00510753" w:rsidRPr="00510753">
        <w:rPr>
          <w:i/>
          <w:iCs/>
          <w:sz w:val="18"/>
          <w:szCs w:val="22"/>
        </w:rPr>
        <w:instrText>http</w:instrText>
      </w:r>
      <w:r w:rsidR="00510753" w:rsidRPr="00510753">
        <w:rPr>
          <w:i/>
          <w:iCs/>
          <w:sz w:val="18"/>
          <w:szCs w:val="22"/>
          <w:lang w:val="sr-Cyrl-RS"/>
        </w:rPr>
        <w:instrText>://</w:instrText>
      </w:r>
      <w:r w:rsidR="00510753" w:rsidRPr="00510753">
        <w:rPr>
          <w:i/>
          <w:iCs/>
          <w:sz w:val="18"/>
          <w:szCs w:val="22"/>
        </w:rPr>
        <w:instrText>mduls</w:instrText>
      </w:r>
      <w:r w:rsidR="00510753" w:rsidRPr="00510753">
        <w:rPr>
          <w:i/>
          <w:iCs/>
          <w:sz w:val="18"/>
          <w:szCs w:val="22"/>
          <w:lang w:val="sr-Cyrl-RS"/>
        </w:rPr>
        <w:instrText>.</w:instrText>
      </w:r>
      <w:r w:rsidR="00510753" w:rsidRPr="00510753">
        <w:rPr>
          <w:i/>
          <w:iCs/>
          <w:sz w:val="18"/>
          <w:szCs w:val="22"/>
        </w:rPr>
        <w:instrText>gov</w:instrText>
      </w:r>
      <w:r w:rsidR="00510753" w:rsidRPr="00510753">
        <w:rPr>
          <w:i/>
          <w:iCs/>
          <w:sz w:val="18"/>
          <w:szCs w:val="22"/>
          <w:lang w:val="sr-Cyrl-RS"/>
        </w:rPr>
        <w:instrText>.</w:instrText>
      </w:r>
      <w:r w:rsidR="00510753" w:rsidRPr="00510753">
        <w:rPr>
          <w:i/>
          <w:iCs/>
          <w:sz w:val="18"/>
          <w:szCs w:val="22"/>
        </w:rPr>
        <w:instrText>rs</w:instrText>
      </w:r>
      <w:r w:rsidR="00510753" w:rsidRPr="00510753">
        <w:rPr>
          <w:i/>
          <w:iCs/>
          <w:sz w:val="18"/>
          <w:szCs w:val="22"/>
          <w:lang w:val="sr-Cyrl-RS"/>
        </w:rPr>
        <w:instrText>/</w:instrText>
      </w:r>
      <w:r w:rsidR="00510753" w:rsidRPr="00510753">
        <w:rPr>
          <w:i/>
          <w:iCs/>
          <w:sz w:val="18"/>
          <w:szCs w:val="22"/>
        </w:rPr>
        <w:instrText>reforma</w:instrText>
      </w:r>
      <w:r w:rsidR="00510753" w:rsidRPr="00510753">
        <w:rPr>
          <w:i/>
          <w:iCs/>
          <w:sz w:val="18"/>
          <w:szCs w:val="22"/>
          <w:lang w:val="sr-Cyrl-RS"/>
        </w:rPr>
        <w:instrText>-</w:instrText>
      </w:r>
      <w:r w:rsidR="00510753" w:rsidRPr="00510753">
        <w:rPr>
          <w:i/>
          <w:iCs/>
          <w:sz w:val="18"/>
          <w:szCs w:val="22"/>
        </w:rPr>
        <w:instrText>javne</w:instrText>
      </w:r>
      <w:r w:rsidR="00510753" w:rsidRPr="00510753">
        <w:rPr>
          <w:i/>
          <w:iCs/>
          <w:sz w:val="18"/>
          <w:szCs w:val="22"/>
          <w:lang w:val="sr-Cyrl-RS"/>
        </w:rPr>
        <w:instrText>-</w:instrText>
      </w:r>
      <w:r w:rsidR="00510753" w:rsidRPr="00510753">
        <w:rPr>
          <w:i/>
          <w:iCs/>
          <w:sz w:val="18"/>
          <w:szCs w:val="22"/>
        </w:rPr>
        <w:instrText>uprave</w:instrText>
      </w:r>
      <w:r w:rsidR="00510753" w:rsidRPr="00510753">
        <w:rPr>
          <w:i/>
          <w:iCs/>
          <w:sz w:val="18"/>
          <w:szCs w:val="22"/>
          <w:lang w:val="sr-Cyrl-RS"/>
        </w:rPr>
        <w:instrText>/</w:instrText>
      </w:r>
      <w:r w:rsidR="00510753" w:rsidRPr="00510753">
        <w:rPr>
          <w:i/>
          <w:iCs/>
          <w:sz w:val="18"/>
          <w:szCs w:val="22"/>
        </w:rPr>
        <w:instrText>reforma</w:instrText>
      </w:r>
      <w:r w:rsidR="00510753" w:rsidRPr="00510753">
        <w:rPr>
          <w:i/>
          <w:iCs/>
          <w:sz w:val="18"/>
          <w:szCs w:val="22"/>
          <w:lang w:val="sr-Cyrl-RS"/>
        </w:rPr>
        <w:instrText>-</w:instrText>
      </w:r>
      <w:r w:rsidR="00510753" w:rsidRPr="00510753">
        <w:rPr>
          <w:i/>
          <w:iCs/>
          <w:sz w:val="18"/>
          <w:szCs w:val="22"/>
        </w:rPr>
        <w:instrText>upravnog</w:instrText>
      </w:r>
      <w:r w:rsidR="00510753" w:rsidRPr="00510753">
        <w:rPr>
          <w:i/>
          <w:iCs/>
          <w:sz w:val="18"/>
          <w:szCs w:val="22"/>
          <w:lang w:val="sr-Cyrl-RS"/>
        </w:rPr>
        <w:instrText>-</w:instrText>
      </w:r>
      <w:r w:rsidR="00510753" w:rsidRPr="00510753">
        <w:rPr>
          <w:i/>
          <w:iCs/>
          <w:sz w:val="18"/>
          <w:szCs w:val="22"/>
        </w:rPr>
        <w:instrText>postupka</w:instrText>
      </w:r>
      <w:r w:rsidR="00510753" w:rsidRPr="00510753">
        <w:rPr>
          <w:i/>
          <w:iCs/>
          <w:sz w:val="18"/>
          <w:szCs w:val="22"/>
          <w:lang w:val="sr-Cyrl-RS"/>
        </w:rPr>
        <w:instrText>/</w:instrText>
      </w:r>
      <w:r w:rsidR="00510753" w:rsidRPr="00510753">
        <w:rPr>
          <w:i/>
          <w:iCs/>
          <w:sz w:val="18"/>
          <w:szCs w:val="22"/>
        </w:rPr>
        <w:instrText>podrska</w:instrText>
      </w:r>
      <w:r w:rsidR="00510753" w:rsidRPr="00510753">
        <w:rPr>
          <w:i/>
          <w:iCs/>
          <w:sz w:val="18"/>
          <w:szCs w:val="22"/>
          <w:lang w:val="sr-Cyrl-RS"/>
        </w:rPr>
        <w:instrText>-</w:instrText>
      </w:r>
      <w:r w:rsidR="00510753" w:rsidRPr="00510753">
        <w:rPr>
          <w:i/>
          <w:iCs/>
          <w:sz w:val="18"/>
          <w:szCs w:val="22"/>
        </w:rPr>
        <w:instrText>zaposlenima</w:instrText>
      </w:r>
      <w:r w:rsidR="00510753" w:rsidRPr="00510753">
        <w:rPr>
          <w:i/>
          <w:iCs/>
          <w:sz w:val="18"/>
          <w:szCs w:val="22"/>
          <w:lang w:val="sr-Cyrl-RS"/>
        </w:rPr>
        <w:instrText>-</w:instrText>
      </w:r>
      <w:r w:rsidR="00510753" w:rsidRPr="00510753">
        <w:rPr>
          <w:i/>
          <w:iCs/>
          <w:sz w:val="18"/>
          <w:szCs w:val="22"/>
        </w:rPr>
        <w:instrText>u</w:instrText>
      </w:r>
      <w:r w:rsidR="00510753" w:rsidRPr="00510753">
        <w:rPr>
          <w:i/>
          <w:iCs/>
          <w:sz w:val="18"/>
          <w:szCs w:val="22"/>
          <w:lang w:val="sr-Cyrl-RS"/>
        </w:rPr>
        <w:instrText>-</w:instrText>
      </w:r>
      <w:r w:rsidR="00510753" w:rsidRPr="00510753">
        <w:rPr>
          <w:i/>
          <w:iCs/>
          <w:sz w:val="18"/>
          <w:szCs w:val="22"/>
        </w:rPr>
        <w:instrText>koriscenju</w:instrText>
      </w:r>
      <w:r w:rsidR="00510753" w:rsidRPr="00510753">
        <w:rPr>
          <w:i/>
          <w:iCs/>
          <w:sz w:val="18"/>
          <w:szCs w:val="22"/>
          <w:lang w:val="sr-Cyrl-RS"/>
        </w:rPr>
        <w:instrText>-</w:instrText>
      </w:r>
      <w:r w:rsidR="00510753" w:rsidRPr="00510753">
        <w:rPr>
          <w:i/>
          <w:iCs/>
          <w:sz w:val="18"/>
          <w:szCs w:val="22"/>
        </w:rPr>
        <w:instrText>ezup</w:instrText>
      </w:r>
      <w:r w:rsidR="00510753" w:rsidRPr="00510753">
        <w:rPr>
          <w:i/>
          <w:iCs/>
          <w:sz w:val="18"/>
          <w:szCs w:val="22"/>
          <w:lang w:val="sr-Cyrl-RS"/>
        </w:rPr>
        <w:instrText>-</w:instrText>
      </w:r>
      <w:r w:rsidR="00510753" w:rsidRPr="00510753">
        <w:rPr>
          <w:i/>
          <w:iCs/>
          <w:sz w:val="18"/>
          <w:szCs w:val="22"/>
        </w:rPr>
        <w:instrText>a</w:instrText>
      </w:r>
      <w:r w:rsidR="00510753" w:rsidRPr="00510753">
        <w:rPr>
          <w:i/>
          <w:iCs/>
          <w:sz w:val="18"/>
          <w:szCs w:val="22"/>
          <w:lang w:val="sr-Cyrl-RS"/>
        </w:rPr>
        <w:instrText>/" \</w:instrText>
      </w:r>
      <w:r w:rsidR="00510753" w:rsidRPr="00510753">
        <w:rPr>
          <w:i/>
          <w:iCs/>
          <w:sz w:val="18"/>
          <w:szCs w:val="22"/>
        </w:rPr>
        <w:instrText>t</w:instrText>
      </w:r>
      <w:r w:rsidR="00510753" w:rsidRPr="00510753">
        <w:rPr>
          <w:i/>
          <w:iCs/>
          <w:sz w:val="18"/>
          <w:szCs w:val="22"/>
          <w:lang w:val="sr-Cyrl-RS"/>
        </w:rPr>
        <w:instrText xml:space="preserve"> "_</w:instrText>
      </w:r>
      <w:r w:rsidR="00510753" w:rsidRPr="00510753">
        <w:rPr>
          <w:i/>
          <w:iCs/>
          <w:sz w:val="18"/>
          <w:szCs w:val="22"/>
        </w:rPr>
        <w:instrText>blank</w:instrText>
      </w:r>
      <w:r w:rsidR="00510753" w:rsidRPr="00510753">
        <w:rPr>
          <w:i/>
          <w:iCs/>
          <w:sz w:val="18"/>
          <w:szCs w:val="22"/>
          <w:lang w:val="sr-Cyrl-RS"/>
        </w:rPr>
        <w:instrText xml:space="preserve">" </w:instrText>
      </w:r>
      <w:r w:rsidR="00510753" w:rsidRPr="00510753">
        <w:rPr>
          <w:i/>
          <w:iCs/>
          <w:sz w:val="18"/>
          <w:szCs w:val="22"/>
        </w:rPr>
        <w:fldChar w:fldCharType="separate"/>
      </w:r>
      <w:r w:rsidR="00510753" w:rsidRPr="00510753">
        <w:rPr>
          <w:rStyle w:val="Hyperlink"/>
          <w:i/>
          <w:iCs/>
          <w:sz w:val="18"/>
          <w:szCs w:val="22"/>
        </w:rPr>
        <w:t>http</w:t>
      </w:r>
      <w:r w:rsidR="00510753" w:rsidRPr="00510753">
        <w:rPr>
          <w:rStyle w:val="Hyperlink"/>
          <w:i/>
          <w:iCs/>
          <w:sz w:val="18"/>
          <w:szCs w:val="22"/>
          <w:lang w:val="sr-Cyrl-RS"/>
        </w:rPr>
        <w:t>://</w:t>
      </w:r>
      <w:proofErr w:type="spellStart"/>
      <w:r w:rsidR="00510753" w:rsidRPr="00510753">
        <w:rPr>
          <w:rStyle w:val="Hyperlink"/>
          <w:i/>
          <w:iCs/>
          <w:sz w:val="18"/>
          <w:szCs w:val="22"/>
        </w:rPr>
        <w:t>mduls</w:t>
      </w:r>
      <w:proofErr w:type="spellEnd"/>
      <w:r w:rsidR="00510753" w:rsidRPr="00510753">
        <w:rPr>
          <w:rStyle w:val="Hyperlink"/>
          <w:i/>
          <w:iCs/>
          <w:sz w:val="18"/>
          <w:szCs w:val="22"/>
          <w:lang w:val="sr-Cyrl-RS"/>
        </w:rPr>
        <w:t>.</w:t>
      </w:r>
      <w:proofErr w:type="spellStart"/>
      <w:r w:rsidR="00510753" w:rsidRPr="00510753">
        <w:rPr>
          <w:rStyle w:val="Hyperlink"/>
          <w:i/>
          <w:iCs/>
          <w:sz w:val="18"/>
          <w:szCs w:val="22"/>
        </w:rPr>
        <w:t>gov</w:t>
      </w:r>
      <w:proofErr w:type="spellEnd"/>
      <w:r w:rsidR="00510753" w:rsidRPr="00510753">
        <w:rPr>
          <w:rStyle w:val="Hyperlink"/>
          <w:i/>
          <w:iCs/>
          <w:sz w:val="18"/>
          <w:szCs w:val="22"/>
          <w:lang w:val="sr-Cyrl-RS"/>
        </w:rPr>
        <w:t>.</w:t>
      </w:r>
      <w:proofErr w:type="spellStart"/>
      <w:r w:rsidR="00510753" w:rsidRPr="00510753">
        <w:rPr>
          <w:rStyle w:val="Hyperlink"/>
          <w:i/>
          <w:iCs/>
          <w:sz w:val="18"/>
          <w:szCs w:val="22"/>
        </w:rPr>
        <w:t>rs</w:t>
      </w:r>
      <w:proofErr w:type="spellEnd"/>
      <w:r w:rsidR="00510753" w:rsidRPr="00510753">
        <w:rPr>
          <w:rStyle w:val="Hyperlink"/>
          <w:i/>
          <w:iCs/>
          <w:sz w:val="18"/>
          <w:szCs w:val="22"/>
          <w:lang w:val="sr-Cyrl-RS"/>
        </w:rPr>
        <w:t>/</w:t>
      </w:r>
      <w:proofErr w:type="spellStart"/>
      <w:r w:rsidR="00510753" w:rsidRPr="00510753">
        <w:rPr>
          <w:rStyle w:val="Hyperlink"/>
          <w:i/>
          <w:iCs/>
          <w:sz w:val="18"/>
          <w:szCs w:val="22"/>
        </w:rPr>
        <w:t>reforma</w:t>
      </w:r>
      <w:proofErr w:type="spellEnd"/>
      <w:r w:rsidR="00510753" w:rsidRPr="00510753">
        <w:rPr>
          <w:rStyle w:val="Hyperlink"/>
          <w:i/>
          <w:iCs/>
          <w:sz w:val="18"/>
          <w:szCs w:val="22"/>
          <w:lang w:val="sr-Cyrl-RS"/>
        </w:rPr>
        <w:t>-</w:t>
      </w:r>
      <w:proofErr w:type="spellStart"/>
      <w:r w:rsidR="00510753" w:rsidRPr="00510753">
        <w:rPr>
          <w:rStyle w:val="Hyperlink"/>
          <w:i/>
          <w:iCs/>
          <w:sz w:val="18"/>
          <w:szCs w:val="22"/>
        </w:rPr>
        <w:t>javne</w:t>
      </w:r>
      <w:proofErr w:type="spellEnd"/>
      <w:r w:rsidR="00510753" w:rsidRPr="00510753">
        <w:rPr>
          <w:rStyle w:val="Hyperlink"/>
          <w:i/>
          <w:iCs/>
          <w:sz w:val="18"/>
          <w:szCs w:val="22"/>
          <w:lang w:val="sr-Cyrl-RS"/>
        </w:rPr>
        <w:t>-</w:t>
      </w:r>
      <w:proofErr w:type="spellStart"/>
      <w:r w:rsidR="00510753" w:rsidRPr="00510753">
        <w:rPr>
          <w:rStyle w:val="Hyperlink"/>
          <w:i/>
          <w:iCs/>
          <w:sz w:val="18"/>
          <w:szCs w:val="22"/>
        </w:rPr>
        <w:t>uprave</w:t>
      </w:r>
      <w:proofErr w:type="spellEnd"/>
      <w:r w:rsidR="00510753" w:rsidRPr="00510753">
        <w:rPr>
          <w:rStyle w:val="Hyperlink"/>
          <w:i/>
          <w:iCs/>
          <w:sz w:val="18"/>
          <w:szCs w:val="22"/>
          <w:lang w:val="sr-Cyrl-RS"/>
        </w:rPr>
        <w:t>/</w:t>
      </w:r>
      <w:proofErr w:type="spellStart"/>
      <w:r w:rsidR="00510753" w:rsidRPr="00510753">
        <w:rPr>
          <w:rStyle w:val="Hyperlink"/>
          <w:i/>
          <w:iCs/>
          <w:sz w:val="18"/>
          <w:szCs w:val="22"/>
        </w:rPr>
        <w:t>reforma</w:t>
      </w:r>
      <w:proofErr w:type="spellEnd"/>
      <w:r w:rsidR="00510753" w:rsidRPr="00510753">
        <w:rPr>
          <w:rStyle w:val="Hyperlink"/>
          <w:i/>
          <w:iCs/>
          <w:sz w:val="18"/>
          <w:szCs w:val="22"/>
          <w:lang w:val="sr-Cyrl-RS"/>
        </w:rPr>
        <w:t>-</w:t>
      </w:r>
      <w:proofErr w:type="spellStart"/>
      <w:r w:rsidR="00510753" w:rsidRPr="00510753">
        <w:rPr>
          <w:rStyle w:val="Hyperlink"/>
          <w:i/>
          <w:iCs/>
          <w:sz w:val="18"/>
          <w:szCs w:val="22"/>
        </w:rPr>
        <w:t>upravnog</w:t>
      </w:r>
      <w:proofErr w:type="spellEnd"/>
      <w:r w:rsidR="00510753" w:rsidRPr="00510753">
        <w:rPr>
          <w:rStyle w:val="Hyperlink"/>
          <w:i/>
          <w:iCs/>
          <w:sz w:val="18"/>
          <w:szCs w:val="22"/>
          <w:lang w:val="sr-Cyrl-RS"/>
        </w:rPr>
        <w:t>-</w:t>
      </w:r>
      <w:proofErr w:type="spellStart"/>
      <w:r w:rsidR="00510753" w:rsidRPr="00510753">
        <w:rPr>
          <w:rStyle w:val="Hyperlink"/>
          <w:i/>
          <w:iCs/>
          <w:sz w:val="18"/>
          <w:szCs w:val="22"/>
        </w:rPr>
        <w:t>postupka</w:t>
      </w:r>
      <w:proofErr w:type="spellEnd"/>
      <w:r w:rsidR="00510753" w:rsidRPr="00510753">
        <w:rPr>
          <w:rStyle w:val="Hyperlink"/>
          <w:i/>
          <w:iCs/>
          <w:sz w:val="18"/>
          <w:szCs w:val="22"/>
          <w:lang w:val="sr-Cyrl-RS"/>
        </w:rPr>
        <w:t>/</w:t>
      </w:r>
      <w:proofErr w:type="spellStart"/>
      <w:r w:rsidR="00510753" w:rsidRPr="00510753">
        <w:rPr>
          <w:rStyle w:val="Hyperlink"/>
          <w:i/>
          <w:iCs/>
          <w:sz w:val="18"/>
          <w:szCs w:val="22"/>
        </w:rPr>
        <w:t>podrska</w:t>
      </w:r>
      <w:proofErr w:type="spellEnd"/>
      <w:r w:rsidR="00510753" w:rsidRPr="00510753">
        <w:rPr>
          <w:rStyle w:val="Hyperlink"/>
          <w:i/>
          <w:iCs/>
          <w:sz w:val="18"/>
          <w:szCs w:val="22"/>
          <w:lang w:val="sr-Cyrl-RS"/>
        </w:rPr>
        <w:t>-</w:t>
      </w:r>
      <w:proofErr w:type="spellStart"/>
      <w:r w:rsidR="00510753" w:rsidRPr="00510753">
        <w:rPr>
          <w:rStyle w:val="Hyperlink"/>
          <w:i/>
          <w:iCs/>
          <w:sz w:val="18"/>
          <w:szCs w:val="22"/>
        </w:rPr>
        <w:t>zaposlenima</w:t>
      </w:r>
      <w:proofErr w:type="spellEnd"/>
      <w:r w:rsidR="00510753" w:rsidRPr="00510753">
        <w:rPr>
          <w:rStyle w:val="Hyperlink"/>
          <w:i/>
          <w:iCs/>
          <w:sz w:val="18"/>
          <w:szCs w:val="22"/>
          <w:lang w:val="sr-Cyrl-RS"/>
        </w:rPr>
        <w:t>-</w:t>
      </w:r>
      <w:r w:rsidR="00510753" w:rsidRPr="00510753">
        <w:rPr>
          <w:rStyle w:val="Hyperlink"/>
          <w:i/>
          <w:iCs/>
          <w:sz w:val="18"/>
          <w:szCs w:val="22"/>
        </w:rPr>
        <w:t>u</w:t>
      </w:r>
      <w:r w:rsidR="00510753" w:rsidRPr="00510753">
        <w:rPr>
          <w:rStyle w:val="Hyperlink"/>
          <w:i/>
          <w:iCs/>
          <w:sz w:val="18"/>
          <w:szCs w:val="22"/>
          <w:lang w:val="sr-Cyrl-RS"/>
        </w:rPr>
        <w:t>-</w:t>
      </w:r>
      <w:proofErr w:type="spellStart"/>
      <w:r w:rsidR="00510753" w:rsidRPr="00510753">
        <w:rPr>
          <w:rStyle w:val="Hyperlink"/>
          <w:i/>
          <w:iCs/>
          <w:sz w:val="18"/>
          <w:szCs w:val="22"/>
        </w:rPr>
        <w:t>koriscenju</w:t>
      </w:r>
      <w:proofErr w:type="spellEnd"/>
      <w:r w:rsidR="00510753" w:rsidRPr="00510753">
        <w:rPr>
          <w:rStyle w:val="Hyperlink"/>
          <w:i/>
          <w:iCs/>
          <w:sz w:val="18"/>
          <w:szCs w:val="22"/>
          <w:lang w:val="sr-Cyrl-RS"/>
        </w:rPr>
        <w:t>-</w:t>
      </w:r>
      <w:proofErr w:type="spellStart"/>
      <w:r w:rsidR="00510753" w:rsidRPr="00510753">
        <w:rPr>
          <w:rStyle w:val="Hyperlink"/>
          <w:i/>
          <w:iCs/>
          <w:sz w:val="18"/>
          <w:szCs w:val="22"/>
        </w:rPr>
        <w:t>ezup</w:t>
      </w:r>
      <w:proofErr w:type="spellEnd"/>
      <w:r w:rsidR="00510753" w:rsidRPr="00510753">
        <w:rPr>
          <w:rStyle w:val="Hyperlink"/>
          <w:i/>
          <w:iCs/>
          <w:sz w:val="18"/>
          <w:szCs w:val="22"/>
          <w:lang w:val="sr-Cyrl-RS"/>
        </w:rPr>
        <w:t>-</w:t>
      </w:r>
      <w:r w:rsidR="00510753" w:rsidRPr="00510753">
        <w:rPr>
          <w:rStyle w:val="Hyperlink"/>
          <w:i/>
          <w:iCs/>
          <w:sz w:val="18"/>
          <w:szCs w:val="22"/>
        </w:rPr>
        <w:t>a</w:t>
      </w:r>
      <w:r w:rsidR="00510753" w:rsidRPr="00510753">
        <w:rPr>
          <w:rStyle w:val="Hyperlink"/>
          <w:i/>
          <w:iCs/>
          <w:sz w:val="18"/>
          <w:szCs w:val="22"/>
          <w:lang w:val="sr-Cyrl-RS"/>
        </w:rPr>
        <w:t>/</w:t>
      </w:r>
      <w:r w:rsidR="00510753" w:rsidRPr="00510753">
        <w:rPr>
          <w:i/>
          <w:sz w:val="18"/>
          <w:szCs w:val="22"/>
          <w:lang w:val="sr-Cyrl-RS"/>
        </w:rPr>
        <w:fldChar w:fldCharType="end"/>
      </w:r>
      <w:r w:rsidR="00510753" w:rsidRPr="00510753">
        <w:rPr>
          <w:i/>
          <w:iCs/>
          <w:sz w:val="18"/>
          <w:szCs w:val="22"/>
        </w:rPr>
        <w:t> </w:t>
      </w:r>
      <w:r w:rsidRPr="006868EE">
        <w:rPr>
          <w:i/>
          <w:sz w:val="18"/>
          <w:szCs w:val="22"/>
          <w:lang w:val="sr-Cyrl-RS"/>
        </w:rPr>
        <w:t xml:space="preserve">). </w:t>
      </w:r>
    </w:p>
    <w:bookmarkEnd w:id="0"/>
    <w:p w14:paraId="399ED127" w14:textId="20CAA95D" w:rsidR="00255BE3" w:rsidRPr="00255BE3" w:rsidRDefault="00255BE3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875D1"/>
    <w:multiLevelType w:val="multilevel"/>
    <w:tmpl w:val="F0CC4E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1E5F"/>
    <w:multiLevelType w:val="hybridMultilevel"/>
    <w:tmpl w:val="B9CAF2BA"/>
    <w:lvl w:ilvl="0" w:tplc="9514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1373CF"/>
    <w:multiLevelType w:val="hybridMultilevel"/>
    <w:tmpl w:val="3BE2C5A6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5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2778E"/>
    <w:multiLevelType w:val="hybridMultilevel"/>
    <w:tmpl w:val="82BAAB0A"/>
    <w:lvl w:ilvl="0" w:tplc="0809000F">
      <w:start w:val="1"/>
      <w:numFmt w:val="decimal"/>
      <w:lvlText w:val="%1."/>
      <w:lvlJc w:val="left"/>
      <w:pPr>
        <w:ind w:left="691" w:hanging="360"/>
      </w:pPr>
      <w:rPr>
        <w:rFonts w:hint="default"/>
      </w:rPr>
    </w:lvl>
    <w:lvl w:ilvl="1" w:tplc="14462ACC">
      <w:start w:val="1"/>
      <w:numFmt w:val="decimal"/>
      <w:lvlText w:val="%2."/>
      <w:lvlJc w:val="left"/>
      <w:pPr>
        <w:ind w:left="1406" w:hanging="696"/>
      </w:pPr>
      <w:rPr>
        <w:rFonts w:hint="default"/>
        <w:b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9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554CDF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5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83F6A"/>
    <w:multiLevelType w:val="hybridMultilevel"/>
    <w:tmpl w:val="2CEA78D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BAB424B"/>
    <w:multiLevelType w:val="hybridMultilevel"/>
    <w:tmpl w:val="31723258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B420BECE">
      <w:start w:val="7"/>
      <w:numFmt w:val="bullet"/>
      <w:lvlText w:val="•"/>
      <w:lvlJc w:val="left"/>
      <w:pPr>
        <w:ind w:left="1747" w:hanging="696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18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0" w15:restartNumberingAfterBreak="0">
    <w:nsid w:val="43E73C94"/>
    <w:multiLevelType w:val="hybridMultilevel"/>
    <w:tmpl w:val="66924B88"/>
    <w:lvl w:ilvl="0" w:tplc="08090001">
      <w:start w:val="1"/>
      <w:numFmt w:val="bullet"/>
      <w:lvlText w:val=""/>
      <w:lvlJc w:val="left"/>
      <w:pPr>
        <w:ind w:left="1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1" w:hanging="360"/>
      </w:pPr>
      <w:rPr>
        <w:rFonts w:ascii="Wingdings" w:hAnsi="Wingdings" w:hint="default"/>
      </w:rPr>
    </w:lvl>
  </w:abstractNum>
  <w:abstractNum w:abstractNumId="2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2" w15:restartNumberingAfterBreak="0">
    <w:nsid w:val="496F7D59"/>
    <w:multiLevelType w:val="hybridMultilevel"/>
    <w:tmpl w:val="464AD6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E7553C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DB540E"/>
    <w:multiLevelType w:val="multilevel"/>
    <w:tmpl w:val="7FDA3F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AA5E83"/>
    <w:multiLevelType w:val="hybridMultilevel"/>
    <w:tmpl w:val="43D47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FF16A7"/>
    <w:multiLevelType w:val="hybridMultilevel"/>
    <w:tmpl w:val="5A2E1B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022A47"/>
    <w:multiLevelType w:val="hybridMultilevel"/>
    <w:tmpl w:val="3B5484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843129"/>
    <w:multiLevelType w:val="hybridMultilevel"/>
    <w:tmpl w:val="3B2EA01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5"/>
  </w:num>
  <w:num w:numId="4">
    <w:abstractNumId w:val="11"/>
  </w:num>
  <w:num w:numId="5">
    <w:abstractNumId w:val="7"/>
  </w:num>
  <w:num w:numId="6">
    <w:abstractNumId w:val="24"/>
  </w:num>
  <w:num w:numId="7">
    <w:abstractNumId w:val="42"/>
  </w:num>
  <w:num w:numId="8">
    <w:abstractNumId w:val="19"/>
  </w:num>
  <w:num w:numId="9">
    <w:abstractNumId w:val="37"/>
  </w:num>
  <w:num w:numId="10">
    <w:abstractNumId w:val="34"/>
  </w:num>
  <w:num w:numId="11">
    <w:abstractNumId w:val="32"/>
  </w:num>
  <w:num w:numId="12">
    <w:abstractNumId w:val="30"/>
  </w:num>
  <w:num w:numId="13">
    <w:abstractNumId w:val="27"/>
  </w:num>
  <w:num w:numId="14">
    <w:abstractNumId w:val="35"/>
  </w:num>
  <w:num w:numId="15">
    <w:abstractNumId w:val="29"/>
  </w:num>
  <w:num w:numId="16">
    <w:abstractNumId w:val="21"/>
  </w:num>
  <w:num w:numId="17">
    <w:abstractNumId w:val="18"/>
  </w:num>
  <w:num w:numId="18">
    <w:abstractNumId w:val="39"/>
  </w:num>
  <w:num w:numId="19">
    <w:abstractNumId w:val="13"/>
  </w:num>
  <w:num w:numId="20">
    <w:abstractNumId w:val="43"/>
  </w:num>
  <w:num w:numId="21">
    <w:abstractNumId w:val="14"/>
  </w:num>
  <w:num w:numId="22">
    <w:abstractNumId w:val="10"/>
  </w:num>
  <w:num w:numId="23">
    <w:abstractNumId w:val="28"/>
  </w:num>
  <w:num w:numId="24">
    <w:abstractNumId w:val="2"/>
  </w:num>
  <w:num w:numId="25">
    <w:abstractNumId w:val="17"/>
  </w:num>
  <w:num w:numId="26">
    <w:abstractNumId w:val="8"/>
  </w:num>
  <w:num w:numId="27">
    <w:abstractNumId w:val="1"/>
  </w:num>
  <w:num w:numId="28">
    <w:abstractNumId w:val="3"/>
  </w:num>
  <w:num w:numId="29">
    <w:abstractNumId w:val="38"/>
  </w:num>
  <w:num w:numId="30">
    <w:abstractNumId w:val="20"/>
  </w:num>
  <w:num w:numId="31">
    <w:abstractNumId w:val="40"/>
  </w:num>
  <w:num w:numId="32">
    <w:abstractNumId w:val="26"/>
  </w:num>
  <w:num w:numId="33">
    <w:abstractNumId w:val="5"/>
  </w:num>
  <w:num w:numId="34">
    <w:abstractNumId w:val="4"/>
  </w:num>
  <w:num w:numId="35">
    <w:abstractNumId w:val="31"/>
  </w:num>
  <w:num w:numId="36">
    <w:abstractNumId w:val="9"/>
  </w:num>
  <w:num w:numId="37">
    <w:abstractNumId w:val="41"/>
  </w:num>
  <w:num w:numId="38">
    <w:abstractNumId w:val="36"/>
  </w:num>
  <w:num w:numId="39">
    <w:abstractNumId w:val="6"/>
  </w:num>
  <w:num w:numId="40">
    <w:abstractNumId w:val="16"/>
  </w:num>
  <w:num w:numId="41">
    <w:abstractNumId w:val="12"/>
  </w:num>
  <w:num w:numId="42">
    <w:abstractNumId w:val="33"/>
  </w:num>
  <w:num w:numId="43">
    <w:abstractNumId w:val="23"/>
  </w:num>
  <w:num w:numId="44">
    <w:abstractNumId w:val="22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0306"/>
    <w:rsid w:val="00023EF9"/>
    <w:rsid w:val="00026C2F"/>
    <w:rsid w:val="00027945"/>
    <w:rsid w:val="00034CDF"/>
    <w:rsid w:val="00036812"/>
    <w:rsid w:val="00044F35"/>
    <w:rsid w:val="00044F63"/>
    <w:rsid w:val="00050616"/>
    <w:rsid w:val="00061070"/>
    <w:rsid w:val="0007083A"/>
    <w:rsid w:val="00083340"/>
    <w:rsid w:val="00083993"/>
    <w:rsid w:val="00092B84"/>
    <w:rsid w:val="0009542A"/>
    <w:rsid w:val="000A1FBE"/>
    <w:rsid w:val="000A53F3"/>
    <w:rsid w:val="000A5CDC"/>
    <w:rsid w:val="000B2791"/>
    <w:rsid w:val="000B54D7"/>
    <w:rsid w:val="000B55AC"/>
    <w:rsid w:val="000B5E72"/>
    <w:rsid w:val="000C06D8"/>
    <w:rsid w:val="000C58A7"/>
    <w:rsid w:val="000D5029"/>
    <w:rsid w:val="000D7EB5"/>
    <w:rsid w:val="000E2036"/>
    <w:rsid w:val="000E6C12"/>
    <w:rsid w:val="000F5E72"/>
    <w:rsid w:val="0011530F"/>
    <w:rsid w:val="001156BA"/>
    <w:rsid w:val="00121AD2"/>
    <w:rsid w:val="00131F2C"/>
    <w:rsid w:val="00144CEE"/>
    <w:rsid w:val="0015182D"/>
    <w:rsid w:val="00161847"/>
    <w:rsid w:val="00170CA7"/>
    <w:rsid w:val="00174E77"/>
    <w:rsid w:val="0017653D"/>
    <w:rsid w:val="001953AC"/>
    <w:rsid w:val="0019551C"/>
    <w:rsid w:val="001969BA"/>
    <w:rsid w:val="001A023F"/>
    <w:rsid w:val="001A3FAC"/>
    <w:rsid w:val="001A5A97"/>
    <w:rsid w:val="001A6472"/>
    <w:rsid w:val="001D0EDE"/>
    <w:rsid w:val="001D20E2"/>
    <w:rsid w:val="001D7BFA"/>
    <w:rsid w:val="001E0D47"/>
    <w:rsid w:val="001E38DE"/>
    <w:rsid w:val="001F7B31"/>
    <w:rsid w:val="0020601F"/>
    <w:rsid w:val="0021261F"/>
    <w:rsid w:val="00212DA5"/>
    <w:rsid w:val="0021347C"/>
    <w:rsid w:val="00216148"/>
    <w:rsid w:val="00226012"/>
    <w:rsid w:val="002323AC"/>
    <w:rsid w:val="00255BE3"/>
    <w:rsid w:val="00261404"/>
    <w:rsid w:val="00275E2A"/>
    <w:rsid w:val="0028308E"/>
    <w:rsid w:val="00285980"/>
    <w:rsid w:val="00287AFC"/>
    <w:rsid w:val="00287CFF"/>
    <w:rsid w:val="00296938"/>
    <w:rsid w:val="002A202F"/>
    <w:rsid w:val="002A5164"/>
    <w:rsid w:val="002B19B4"/>
    <w:rsid w:val="002B7102"/>
    <w:rsid w:val="002C57A6"/>
    <w:rsid w:val="002D4078"/>
    <w:rsid w:val="002E16FB"/>
    <w:rsid w:val="002E218A"/>
    <w:rsid w:val="002E7C2E"/>
    <w:rsid w:val="002F1BEC"/>
    <w:rsid w:val="002F4757"/>
    <w:rsid w:val="0031340C"/>
    <w:rsid w:val="00322199"/>
    <w:rsid w:val="003223C7"/>
    <w:rsid w:val="00326555"/>
    <w:rsid w:val="0033381A"/>
    <w:rsid w:val="003410E0"/>
    <w:rsid w:val="003466BE"/>
    <w:rsid w:val="00350EAD"/>
    <w:rsid w:val="003651DB"/>
    <w:rsid w:val="003715A0"/>
    <w:rsid w:val="0037171F"/>
    <w:rsid w:val="00376FD1"/>
    <w:rsid w:val="00383EE2"/>
    <w:rsid w:val="003857EA"/>
    <w:rsid w:val="0039002C"/>
    <w:rsid w:val="00395BB3"/>
    <w:rsid w:val="003B44DB"/>
    <w:rsid w:val="003B4BC9"/>
    <w:rsid w:val="003B6298"/>
    <w:rsid w:val="003E2EB1"/>
    <w:rsid w:val="003E3531"/>
    <w:rsid w:val="003E3C16"/>
    <w:rsid w:val="003F11FF"/>
    <w:rsid w:val="004005B4"/>
    <w:rsid w:val="00401C7A"/>
    <w:rsid w:val="00402F38"/>
    <w:rsid w:val="00407D96"/>
    <w:rsid w:val="004257FB"/>
    <w:rsid w:val="00427B1A"/>
    <w:rsid w:val="00432495"/>
    <w:rsid w:val="004365F8"/>
    <w:rsid w:val="00444DA7"/>
    <w:rsid w:val="004531C4"/>
    <w:rsid w:val="00457882"/>
    <w:rsid w:val="00463CC7"/>
    <w:rsid w:val="00465A72"/>
    <w:rsid w:val="00472D28"/>
    <w:rsid w:val="004809C4"/>
    <w:rsid w:val="00480E6E"/>
    <w:rsid w:val="00482AA6"/>
    <w:rsid w:val="0048433C"/>
    <w:rsid w:val="004847B1"/>
    <w:rsid w:val="0049545B"/>
    <w:rsid w:val="004B07D1"/>
    <w:rsid w:val="004B7EF8"/>
    <w:rsid w:val="004C1E43"/>
    <w:rsid w:val="004D0C94"/>
    <w:rsid w:val="004D3BD0"/>
    <w:rsid w:val="004D45B1"/>
    <w:rsid w:val="004D68A7"/>
    <w:rsid w:val="004E29D1"/>
    <w:rsid w:val="004E5F7C"/>
    <w:rsid w:val="00500566"/>
    <w:rsid w:val="005073A3"/>
    <w:rsid w:val="00510753"/>
    <w:rsid w:val="00513BFE"/>
    <w:rsid w:val="00523608"/>
    <w:rsid w:val="00525C0A"/>
    <w:rsid w:val="00535608"/>
    <w:rsid w:val="005460B7"/>
    <w:rsid w:val="00556688"/>
    <w:rsid w:val="0056162B"/>
    <w:rsid w:val="005652A1"/>
    <w:rsid w:val="0056707B"/>
    <w:rsid w:val="005673B4"/>
    <w:rsid w:val="0057014A"/>
    <w:rsid w:val="00574461"/>
    <w:rsid w:val="00581A9D"/>
    <w:rsid w:val="005865D5"/>
    <w:rsid w:val="00587BAC"/>
    <w:rsid w:val="005935BC"/>
    <w:rsid w:val="00595C7F"/>
    <w:rsid w:val="00596166"/>
    <w:rsid w:val="005A2503"/>
    <w:rsid w:val="005A5CB0"/>
    <w:rsid w:val="005A6C6D"/>
    <w:rsid w:val="005B339B"/>
    <w:rsid w:val="005B49DA"/>
    <w:rsid w:val="005B4F04"/>
    <w:rsid w:val="005B7CB9"/>
    <w:rsid w:val="005C346E"/>
    <w:rsid w:val="005D0023"/>
    <w:rsid w:val="005E21C4"/>
    <w:rsid w:val="005E7E97"/>
    <w:rsid w:val="005F0B30"/>
    <w:rsid w:val="005F4D59"/>
    <w:rsid w:val="0060001C"/>
    <w:rsid w:val="00600D31"/>
    <w:rsid w:val="0060786A"/>
    <w:rsid w:val="00621751"/>
    <w:rsid w:val="006223DE"/>
    <w:rsid w:val="006237FE"/>
    <w:rsid w:val="0062772C"/>
    <w:rsid w:val="00627AF7"/>
    <w:rsid w:val="00632540"/>
    <w:rsid w:val="00633EFC"/>
    <w:rsid w:val="00633F73"/>
    <w:rsid w:val="00635454"/>
    <w:rsid w:val="00645199"/>
    <w:rsid w:val="00645850"/>
    <w:rsid w:val="00664303"/>
    <w:rsid w:val="0068090C"/>
    <w:rsid w:val="00690031"/>
    <w:rsid w:val="00692071"/>
    <w:rsid w:val="00694598"/>
    <w:rsid w:val="00694B28"/>
    <w:rsid w:val="00695022"/>
    <w:rsid w:val="006A581C"/>
    <w:rsid w:val="006C5349"/>
    <w:rsid w:val="006C5F2A"/>
    <w:rsid w:val="006C662C"/>
    <w:rsid w:val="006C7167"/>
    <w:rsid w:val="006F0B60"/>
    <w:rsid w:val="006F4A5C"/>
    <w:rsid w:val="007021D5"/>
    <w:rsid w:val="007045D5"/>
    <w:rsid w:val="00710038"/>
    <w:rsid w:val="00715F5C"/>
    <w:rsid w:val="007177AE"/>
    <w:rsid w:val="007278C1"/>
    <w:rsid w:val="00733493"/>
    <w:rsid w:val="00737F1D"/>
    <w:rsid w:val="00751522"/>
    <w:rsid w:val="0076211E"/>
    <w:rsid w:val="00782816"/>
    <w:rsid w:val="007831C7"/>
    <w:rsid w:val="00785A46"/>
    <w:rsid w:val="007861E3"/>
    <w:rsid w:val="007940D6"/>
    <w:rsid w:val="007A05F9"/>
    <w:rsid w:val="007A26D4"/>
    <w:rsid w:val="007B0E25"/>
    <w:rsid w:val="007B1740"/>
    <w:rsid w:val="007C297F"/>
    <w:rsid w:val="007C61B5"/>
    <w:rsid w:val="007D1596"/>
    <w:rsid w:val="007D2CF0"/>
    <w:rsid w:val="007D3889"/>
    <w:rsid w:val="007D39E4"/>
    <w:rsid w:val="007D43A7"/>
    <w:rsid w:val="007D5FAF"/>
    <w:rsid w:val="007E1695"/>
    <w:rsid w:val="007F2023"/>
    <w:rsid w:val="007F204C"/>
    <w:rsid w:val="007F2E24"/>
    <w:rsid w:val="00804060"/>
    <w:rsid w:val="00815C17"/>
    <w:rsid w:val="008166C9"/>
    <w:rsid w:val="00824E43"/>
    <w:rsid w:val="0082679E"/>
    <w:rsid w:val="00833D8C"/>
    <w:rsid w:val="00833F48"/>
    <w:rsid w:val="00834C9A"/>
    <w:rsid w:val="00841ACC"/>
    <w:rsid w:val="00843E2C"/>
    <w:rsid w:val="0084708C"/>
    <w:rsid w:val="00852739"/>
    <w:rsid w:val="00856CC5"/>
    <w:rsid w:val="008629CC"/>
    <w:rsid w:val="00865EBB"/>
    <w:rsid w:val="00876146"/>
    <w:rsid w:val="0087652B"/>
    <w:rsid w:val="00876725"/>
    <w:rsid w:val="00886C36"/>
    <w:rsid w:val="00886D5B"/>
    <w:rsid w:val="008A20C1"/>
    <w:rsid w:val="008A6AC8"/>
    <w:rsid w:val="008A7D05"/>
    <w:rsid w:val="008C5591"/>
    <w:rsid w:val="008D04A6"/>
    <w:rsid w:val="008D4C1A"/>
    <w:rsid w:val="008D7778"/>
    <w:rsid w:val="008F0867"/>
    <w:rsid w:val="008F172F"/>
    <w:rsid w:val="008F2044"/>
    <w:rsid w:val="008F2BE1"/>
    <w:rsid w:val="008F3306"/>
    <w:rsid w:val="008F4DD1"/>
    <w:rsid w:val="009056DB"/>
    <w:rsid w:val="00910E40"/>
    <w:rsid w:val="00915EE6"/>
    <w:rsid w:val="00921BB6"/>
    <w:rsid w:val="00947592"/>
    <w:rsid w:val="00950280"/>
    <w:rsid w:val="009574DF"/>
    <w:rsid w:val="0097696A"/>
    <w:rsid w:val="0098258A"/>
    <w:rsid w:val="00991A18"/>
    <w:rsid w:val="00994A16"/>
    <w:rsid w:val="009A30D3"/>
    <w:rsid w:val="009C0972"/>
    <w:rsid w:val="009C1106"/>
    <w:rsid w:val="009D03A7"/>
    <w:rsid w:val="009E0479"/>
    <w:rsid w:val="009F334D"/>
    <w:rsid w:val="00A0102E"/>
    <w:rsid w:val="00A0303F"/>
    <w:rsid w:val="00A0392B"/>
    <w:rsid w:val="00A05B45"/>
    <w:rsid w:val="00A06736"/>
    <w:rsid w:val="00A075F3"/>
    <w:rsid w:val="00A12960"/>
    <w:rsid w:val="00A1570D"/>
    <w:rsid w:val="00A22386"/>
    <w:rsid w:val="00A2725C"/>
    <w:rsid w:val="00A27ABC"/>
    <w:rsid w:val="00A33405"/>
    <w:rsid w:val="00A56B75"/>
    <w:rsid w:val="00A71C04"/>
    <w:rsid w:val="00A85213"/>
    <w:rsid w:val="00A94C1B"/>
    <w:rsid w:val="00AA0017"/>
    <w:rsid w:val="00AA425A"/>
    <w:rsid w:val="00AA4BC5"/>
    <w:rsid w:val="00AB09B3"/>
    <w:rsid w:val="00AB5CC6"/>
    <w:rsid w:val="00AC02D1"/>
    <w:rsid w:val="00AE1A12"/>
    <w:rsid w:val="00AE7CA3"/>
    <w:rsid w:val="00AF2E73"/>
    <w:rsid w:val="00B05E86"/>
    <w:rsid w:val="00B06019"/>
    <w:rsid w:val="00B07409"/>
    <w:rsid w:val="00B1006E"/>
    <w:rsid w:val="00B147AC"/>
    <w:rsid w:val="00B14A75"/>
    <w:rsid w:val="00B178FB"/>
    <w:rsid w:val="00B17D3B"/>
    <w:rsid w:val="00B20741"/>
    <w:rsid w:val="00B5252A"/>
    <w:rsid w:val="00B5683C"/>
    <w:rsid w:val="00B57D2B"/>
    <w:rsid w:val="00B63DB1"/>
    <w:rsid w:val="00B65B29"/>
    <w:rsid w:val="00B67138"/>
    <w:rsid w:val="00B6715C"/>
    <w:rsid w:val="00B704A7"/>
    <w:rsid w:val="00B81CFE"/>
    <w:rsid w:val="00B840CE"/>
    <w:rsid w:val="00B903AE"/>
    <w:rsid w:val="00B9157F"/>
    <w:rsid w:val="00B95225"/>
    <w:rsid w:val="00BA55D3"/>
    <w:rsid w:val="00BA56C7"/>
    <w:rsid w:val="00BA6759"/>
    <w:rsid w:val="00BA7204"/>
    <w:rsid w:val="00BB3E92"/>
    <w:rsid w:val="00BB45DD"/>
    <w:rsid w:val="00BD75E8"/>
    <w:rsid w:val="00BE0D77"/>
    <w:rsid w:val="00BE39B8"/>
    <w:rsid w:val="00C0295C"/>
    <w:rsid w:val="00C03C06"/>
    <w:rsid w:val="00C121EC"/>
    <w:rsid w:val="00C12C65"/>
    <w:rsid w:val="00C136DC"/>
    <w:rsid w:val="00C15584"/>
    <w:rsid w:val="00C42B27"/>
    <w:rsid w:val="00C445E2"/>
    <w:rsid w:val="00C63642"/>
    <w:rsid w:val="00C7129D"/>
    <w:rsid w:val="00C748D1"/>
    <w:rsid w:val="00C82093"/>
    <w:rsid w:val="00C91014"/>
    <w:rsid w:val="00C92D8E"/>
    <w:rsid w:val="00CB1A4E"/>
    <w:rsid w:val="00CB5A92"/>
    <w:rsid w:val="00CC29F6"/>
    <w:rsid w:val="00CC48FF"/>
    <w:rsid w:val="00CD2287"/>
    <w:rsid w:val="00CD42AD"/>
    <w:rsid w:val="00CD47EC"/>
    <w:rsid w:val="00CD5BBB"/>
    <w:rsid w:val="00CE0685"/>
    <w:rsid w:val="00D06ABC"/>
    <w:rsid w:val="00D20AFD"/>
    <w:rsid w:val="00D217BF"/>
    <w:rsid w:val="00D427F6"/>
    <w:rsid w:val="00D60C59"/>
    <w:rsid w:val="00D73628"/>
    <w:rsid w:val="00D73918"/>
    <w:rsid w:val="00D967D7"/>
    <w:rsid w:val="00DA0E18"/>
    <w:rsid w:val="00DA125D"/>
    <w:rsid w:val="00DA68A8"/>
    <w:rsid w:val="00DB2794"/>
    <w:rsid w:val="00DB604A"/>
    <w:rsid w:val="00DB73FB"/>
    <w:rsid w:val="00DC0F2A"/>
    <w:rsid w:val="00DC4BC2"/>
    <w:rsid w:val="00DC7451"/>
    <w:rsid w:val="00DC7A12"/>
    <w:rsid w:val="00DD42C1"/>
    <w:rsid w:val="00DE057D"/>
    <w:rsid w:val="00E0020F"/>
    <w:rsid w:val="00E1017A"/>
    <w:rsid w:val="00E118C7"/>
    <w:rsid w:val="00E1427B"/>
    <w:rsid w:val="00E14E0D"/>
    <w:rsid w:val="00E22B8B"/>
    <w:rsid w:val="00E40DF0"/>
    <w:rsid w:val="00E4267B"/>
    <w:rsid w:val="00E47DAC"/>
    <w:rsid w:val="00E47DF3"/>
    <w:rsid w:val="00E50721"/>
    <w:rsid w:val="00E6121E"/>
    <w:rsid w:val="00E63C8A"/>
    <w:rsid w:val="00E65B85"/>
    <w:rsid w:val="00E70BF6"/>
    <w:rsid w:val="00E750CE"/>
    <w:rsid w:val="00E800D7"/>
    <w:rsid w:val="00E91CBD"/>
    <w:rsid w:val="00EB617F"/>
    <w:rsid w:val="00ED7583"/>
    <w:rsid w:val="00EE1EB5"/>
    <w:rsid w:val="00EE5584"/>
    <w:rsid w:val="00F00317"/>
    <w:rsid w:val="00F11C98"/>
    <w:rsid w:val="00F12E47"/>
    <w:rsid w:val="00F17354"/>
    <w:rsid w:val="00F223B2"/>
    <w:rsid w:val="00F53241"/>
    <w:rsid w:val="00F61CF7"/>
    <w:rsid w:val="00F67790"/>
    <w:rsid w:val="00F74844"/>
    <w:rsid w:val="00FA0A4B"/>
    <w:rsid w:val="00FB1A1B"/>
    <w:rsid w:val="00FB645B"/>
    <w:rsid w:val="00FC09D6"/>
    <w:rsid w:val="00FC34EC"/>
    <w:rsid w:val="00FC3F69"/>
    <w:rsid w:val="00FC5312"/>
    <w:rsid w:val="00FD3964"/>
    <w:rsid w:val="00FD3D18"/>
    <w:rsid w:val="00FE6503"/>
    <w:rsid w:val="00FF30B7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0A5AFD79-23A5-4FA7-8782-C7B096AA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79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33E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3EFC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33EFC"/>
    <w:rPr>
      <w:vertAlign w:val="superscript"/>
    </w:rPr>
  </w:style>
  <w:style w:type="paragraph" w:customStyle="1" w:styleId="odluka-zakon">
    <w:name w:val="odluka-zakon"/>
    <w:basedOn w:val="Normal"/>
    <w:rsid w:val="009769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B47A0-F128-4596-885F-4A704F5B9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Ognjen Bogdanović</cp:lastModifiedBy>
  <cp:revision>25</cp:revision>
  <cp:lastPrinted>2018-09-10T06:55:00Z</cp:lastPrinted>
  <dcterms:created xsi:type="dcterms:W3CDTF">2019-03-01T11:35:00Z</dcterms:created>
  <dcterms:modified xsi:type="dcterms:W3CDTF">2019-04-10T13:28:00Z</dcterms:modified>
</cp:coreProperties>
</file>