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EF0C6" w14:textId="2A2B2A42" w:rsidR="000E2036" w:rsidRPr="00F07437" w:rsidRDefault="00026028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F07437">
        <w:rPr>
          <w:b/>
          <w:sz w:val="22"/>
          <w:szCs w:val="22"/>
          <w:lang w:val="sr-Cyrl-RS"/>
        </w:rPr>
        <w:t>ПОЈЕДНОСТАВЉЕЊЕ ПОСТУПКА ИЗДАВАЊА ОДОБРЕЊА ЗА ВИШЕКРАТНУ НАБАВКУ И УПОТРЕБУ ЕКСПЛОЗИВНИХ МАТЕРИЈА</w:t>
      </w:r>
    </w:p>
    <w:p w14:paraId="2986C640" w14:textId="77777777" w:rsidR="0021261F" w:rsidRPr="00F07437" w:rsidRDefault="0021261F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230"/>
      </w:tblGrid>
      <w:tr w:rsidR="000E2036" w:rsidRPr="00F07437" w14:paraId="1976FB87" w14:textId="77777777" w:rsidTr="001B772F">
        <w:trPr>
          <w:trHeight w:val="888"/>
        </w:trPr>
        <w:tc>
          <w:tcPr>
            <w:tcW w:w="2830" w:type="dxa"/>
            <w:shd w:val="clear" w:color="auto" w:fill="DBE5F1" w:themeFill="accent1" w:themeFillTint="33"/>
            <w:vAlign w:val="center"/>
          </w:tcPr>
          <w:p w14:paraId="11F785D1" w14:textId="77777777" w:rsidR="000E2036" w:rsidRPr="00F07437" w:rsidRDefault="000E2036" w:rsidP="001D7BFA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0743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230" w:type="dxa"/>
            <w:vAlign w:val="center"/>
          </w:tcPr>
          <w:p w14:paraId="5FD56B01" w14:textId="7016271E" w:rsidR="000E2036" w:rsidRPr="00F07437" w:rsidRDefault="001B772F" w:rsidP="001B772F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07437">
              <w:rPr>
                <w:sz w:val="22"/>
                <w:szCs w:val="22"/>
                <w:lang w:val="sr-Cyrl-RS"/>
              </w:rPr>
              <w:t xml:space="preserve">Одобрењe за </w:t>
            </w:r>
            <w:r w:rsidR="0034540E" w:rsidRPr="00F07437">
              <w:rPr>
                <w:sz w:val="22"/>
                <w:szCs w:val="22"/>
                <w:lang w:val="sr-Cyrl-RS"/>
              </w:rPr>
              <w:t xml:space="preserve">вишекратну </w:t>
            </w:r>
            <w:r w:rsidRPr="00F07437">
              <w:rPr>
                <w:sz w:val="22"/>
                <w:szCs w:val="22"/>
                <w:lang w:val="sr-Cyrl-RS"/>
              </w:rPr>
              <w:t>набавку и употребу експлозивних материја</w:t>
            </w:r>
          </w:p>
        </w:tc>
      </w:tr>
      <w:tr w:rsidR="000E2036" w:rsidRPr="00F07437" w14:paraId="7A6AA442" w14:textId="77777777" w:rsidTr="00201546">
        <w:trPr>
          <w:trHeight w:val="418"/>
        </w:trPr>
        <w:tc>
          <w:tcPr>
            <w:tcW w:w="2830" w:type="dxa"/>
            <w:shd w:val="clear" w:color="auto" w:fill="DBE5F1" w:themeFill="accent1" w:themeFillTint="33"/>
            <w:vAlign w:val="center"/>
          </w:tcPr>
          <w:p w14:paraId="049C2EAE" w14:textId="77777777" w:rsidR="000E2036" w:rsidRPr="00F07437" w:rsidRDefault="000E2036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07437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230" w:type="dxa"/>
            <w:vAlign w:val="center"/>
          </w:tcPr>
          <w:p w14:paraId="76B78B5F" w14:textId="7F1C31B0" w:rsidR="000E2036" w:rsidRPr="00F07437" w:rsidRDefault="0021261F" w:rsidP="006F4A5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F07437">
              <w:rPr>
                <w:bCs/>
                <w:color w:val="000000" w:themeColor="text1"/>
                <w:sz w:val="22"/>
                <w:szCs w:val="22"/>
                <w:lang w:val="sr-Cyrl-RS"/>
              </w:rPr>
              <w:t>03.00.00</w:t>
            </w:r>
            <w:r w:rsidR="00B92966" w:rsidRPr="00F07437">
              <w:rPr>
                <w:bCs/>
                <w:color w:val="000000" w:themeColor="text1"/>
                <w:sz w:val="22"/>
                <w:szCs w:val="22"/>
                <w:lang w:val="en-GB"/>
              </w:rPr>
              <w:t>8</w:t>
            </w:r>
            <w:r w:rsidR="0034540E" w:rsidRPr="00F07437">
              <w:rPr>
                <w:bCs/>
                <w:color w:val="000000" w:themeColor="text1"/>
                <w:sz w:val="22"/>
                <w:szCs w:val="22"/>
                <w:lang w:val="sr-Cyrl-RS"/>
              </w:rPr>
              <w:t>6</w:t>
            </w:r>
          </w:p>
        </w:tc>
      </w:tr>
      <w:tr w:rsidR="00275E2A" w:rsidRPr="00F07437" w14:paraId="2CEE52A6" w14:textId="77777777" w:rsidTr="00201546">
        <w:tc>
          <w:tcPr>
            <w:tcW w:w="2830" w:type="dxa"/>
            <w:shd w:val="clear" w:color="auto" w:fill="DBE5F1" w:themeFill="accent1" w:themeFillTint="33"/>
            <w:vAlign w:val="center"/>
          </w:tcPr>
          <w:p w14:paraId="682C75C7" w14:textId="77777777" w:rsidR="00275E2A" w:rsidRPr="00F07437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07437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F07437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07437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230" w:type="dxa"/>
            <w:vAlign w:val="center"/>
          </w:tcPr>
          <w:p w14:paraId="5795E7E6" w14:textId="70564AC0" w:rsidR="00092B84" w:rsidRPr="00F07437" w:rsidRDefault="0021261F" w:rsidP="006F4A5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07437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275E2A" w:rsidRPr="00F07437" w14:paraId="10DA1CD3" w14:textId="77777777" w:rsidTr="00201546">
        <w:tc>
          <w:tcPr>
            <w:tcW w:w="2830" w:type="dxa"/>
            <w:shd w:val="clear" w:color="auto" w:fill="DBE5F1" w:themeFill="accent1" w:themeFillTint="33"/>
            <w:vAlign w:val="center"/>
          </w:tcPr>
          <w:p w14:paraId="4DE579F4" w14:textId="77777777" w:rsidR="00275E2A" w:rsidRPr="00F07437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07437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F07437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F07437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230" w:type="dxa"/>
            <w:vAlign w:val="center"/>
          </w:tcPr>
          <w:p w14:paraId="2CCB5DCC" w14:textId="22D8E3A8" w:rsidR="00645199" w:rsidRPr="00F07437" w:rsidRDefault="001B772F" w:rsidP="00916D4A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321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промету експлозивних материја </w:t>
            </w:r>
            <w:r w:rsidR="00916D4A"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(„Сл. гласник РС“ бр. 30/1985, 6/1989, 53/1991, 16/1993-др. закон), 31/1993- др. закон, 41/1993 - др. закон) 24/1994-др. закон, 28/1996-др. закон, 68/2002, РС 101/2005- др. закон)  </w:t>
            </w:r>
            <w:r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D73918" w:rsidRPr="00F07437" w14:paraId="724CF23D" w14:textId="77777777" w:rsidTr="00201546">
        <w:tc>
          <w:tcPr>
            <w:tcW w:w="2830" w:type="dxa"/>
            <w:shd w:val="clear" w:color="auto" w:fill="DBE5F1" w:themeFill="accent1" w:themeFillTint="33"/>
            <w:vAlign w:val="center"/>
          </w:tcPr>
          <w:p w14:paraId="1A908998" w14:textId="55BF2242" w:rsidR="00D73918" w:rsidRPr="00F07437" w:rsidRDefault="00D73918" w:rsidP="001D7BF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F0743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F0743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F0743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F0743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F0743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да би се спровеле препоруке</w:t>
            </w:r>
          </w:p>
        </w:tc>
        <w:tc>
          <w:tcPr>
            <w:tcW w:w="6230" w:type="dxa"/>
            <w:vAlign w:val="center"/>
          </w:tcPr>
          <w:p w14:paraId="55CB4618" w14:textId="0119EED5" w:rsidR="00D73918" w:rsidRPr="00F07437" w:rsidRDefault="004E30D7" w:rsidP="004E30D7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потребно променити /донети/укинути прописе.</w:t>
            </w:r>
          </w:p>
        </w:tc>
      </w:tr>
      <w:tr w:rsidR="00F90DFD" w:rsidRPr="00F07437" w14:paraId="58812BCA" w14:textId="77777777" w:rsidTr="00201546">
        <w:tc>
          <w:tcPr>
            <w:tcW w:w="2830" w:type="dxa"/>
            <w:shd w:val="clear" w:color="auto" w:fill="DBE5F1" w:themeFill="accent1" w:themeFillTint="33"/>
            <w:vAlign w:val="center"/>
          </w:tcPr>
          <w:p w14:paraId="0CF6011B" w14:textId="0E1BBDD3" w:rsidR="00F90DFD" w:rsidRPr="00F07437" w:rsidRDefault="00F90DFD" w:rsidP="00F90DF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07437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230" w:type="dxa"/>
          </w:tcPr>
          <w:p w14:paraId="19A48B50" w14:textId="679EB8C4" w:rsidR="00F90DFD" w:rsidRPr="00F07437" w:rsidRDefault="00EE1432" w:rsidP="0037370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07437">
              <w:rPr>
                <w:sz w:val="22"/>
                <w:szCs w:val="22"/>
                <w:lang w:val="sr-Cyrl-RS"/>
              </w:rPr>
              <w:t xml:space="preserve">Четврти квартал 2019. </w:t>
            </w:r>
            <w:r w:rsidR="00373706" w:rsidRPr="00F07437">
              <w:rPr>
                <w:sz w:val="22"/>
                <w:szCs w:val="22"/>
                <w:lang w:val="sr-Cyrl-RS"/>
              </w:rPr>
              <w:t xml:space="preserve">године </w:t>
            </w:r>
          </w:p>
        </w:tc>
      </w:tr>
      <w:tr w:rsidR="00275E2A" w:rsidRPr="00F07437" w14:paraId="539113B1" w14:textId="77777777" w:rsidTr="00201546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F0743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07437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F07437" w14:paraId="4635A4BE" w14:textId="77777777" w:rsidTr="00201546">
        <w:tc>
          <w:tcPr>
            <w:tcW w:w="9060" w:type="dxa"/>
            <w:gridSpan w:val="2"/>
          </w:tcPr>
          <w:p w14:paraId="724839A9" w14:textId="4FBABCC2" w:rsidR="0009542A" w:rsidRPr="00F07437" w:rsidRDefault="0021261F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ствара административно оптерећење и трошкове привредним друштвима и другим правним лицима, на шта указује бројна документација</w:t>
            </w:r>
            <w:r w:rsidR="00D2394E"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коју привредни субјек</w:t>
            </w:r>
            <w:r w:rsidR="00B51912"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>т</w:t>
            </w:r>
            <w:r w:rsidR="00D2394E"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подноси</w:t>
            </w:r>
            <w:r w:rsidRPr="00F0743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, </w:t>
            </w:r>
            <w:r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уз непоштовање обавезе прибављања података које издају други јавни органи, по службеној дужности. Сходно томе, нарушено </w:t>
            </w:r>
            <w:r w:rsidR="00DA68A8"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 </w:t>
            </w:r>
            <w:r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>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4BCB02C2" w14:textId="449E063B" w:rsidR="00DA68A8" w:rsidRPr="00F07437" w:rsidRDefault="00DA68A8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Такође, привредним субјектима није омогућен</w:t>
            </w:r>
            <w:r w:rsidR="001F068D"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електронско подношење захтева, као ни</w:t>
            </w: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адекватан приступ информацијама о начину подношења и решавања захтева, што води до непредвидивости самог поступка.     </w:t>
            </w:r>
          </w:p>
        </w:tc>
      </w:tr>
      <w:tr w:rsidR="00275E2A" w:rsidRPr="00F07437" w14:paraId="31663FC5" w14:textId="77777777" w:rsidTr="00201546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12FDE5D1" w14:textId="77777777" w:rsidR="00275E2A" w:rsidRPr="00F0743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07437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F07437" w14:paraId="7C9122B7" w14:textId="77777777" w:rsidTr="001B772F">
        <w:trPr>
          <w:trHeight w:val="1124"/>
        </w:trPr>
        <w:tc>
          <w:tcPr>
            <w:tcW w:w="9062" w:type="dxa"/>
            <w:shd w:val="clear" w:color="auto" w:fill="auto"/>
          </w:tcPr>
          <w:p w14:paraId="799352E9" w14:textId="7B14D98C" w:rsidR="00AC02D1" w:rsidRPr="00F07437" w:rsidRDefault="00AC02D1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60"/>
              <w:gridCol w:w="1886"/>
              <w:gridCol w:w="2014"/>
              <w:gridCol w:w="1774"/>
            </w:tblGrid>
            <w:tr w:rsidR="00CD47EC" w:rsidRPr="00F07437" w14:paraId="158799B9" w14:textId="77777777" w:rsidTr="004E30D7">
              <w:trPr>
                <w:trHeight w:val="1056"/>
              </w:trPr>
              <w:tc>
                <w:tcPr>
                  <w:tcW w:w="17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4EF54B9" w14:textId="77777777" w:rsidR="00CD47EC" w:rsidRPr="00F0743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0743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C921ADE" w14:textId="77777777" w:rsidR="00CD47EC" w:rsidRPr="00F0743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0743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0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C1D926F" w14:textId="77777777" w:rsidR="00CD47EC" w:rsidRPr="00F0743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0743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CD47EC" w:rsidRPr="00F07437" w14:paraId="7D283877" w14:textId="77777777" w:rsidTr="004E30D7">
              <w:trPr>
                <w:trHeight w:val="288"/>
              </w:trPr>
              <w:tc>
                <w:tcPr>
                  <w:tcW w:w="17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21092E" w14:textId="77777777" w:rsidR="00CD47EC" w:rsidRPr="00F07437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469DB51" w14:textId="77777777" w:rsidR="00CD47EC" w:rsidRPr="00F0743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0743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C0F6F59" w14:textId="77777777" w:rsidR="00CD47EC" w:rsidRPr="00F0743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0743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04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2F504B" w14:textId="77777777" w:rsidR="00CD47EC" w:rsidRPr="00F07437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CD47EC" w:rsidRPr="00F07437" w14:paraId="02758F13" w14:textId="77777777" w:rsidTr="004E30D7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0B2AAA" w14:textId="77777777" w:rsidR="00CD47EC" w:rsidRPr="00F07437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0743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7071EE" w14:textId="77777777" w:rsidR="00CD47EC" w:rsidRPr="00F0743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0743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CF9DD0" w14:textId="77777777" w:rsidR="00CD47EC" w:rsidRPr="00F0743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F0743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E6130C" w14:textId="77777777" w:rsidR="00CD47EC" w:rsidRPr="00F0743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0743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F07437" w14:paraId="155282AD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E623F4" w14:textId="77777777" w:rsidR="00CD47EC" w:rsidRPr="00F07437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0743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Образац административног захтева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FDF951" w14:textId="77777777" w:rsidR="00CD47EC" w:rsidRPr="00F0743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0743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F07437" w14:paraId="044CEA79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6BF00E" w14:textId="4F231A2F" w:rsidR="00CD47EC" w:rsidRPr="00F07437" w:rsidRDefault="002E218A" w:rsidP="00DC45C0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F07437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Увођење обрасца захтева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E50E51" w14:textId="77777777" w:rsidR="00CD47EC" w:rsidRPr="00F0743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0743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633355" w14:textId="77777777" w:rsidR="00CD47EC" w:rsidRPr="00F0743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0743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B53206" w14:textId="77777777" w:rsidR="00CD47EC" w:rsidRPr="00F0743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0743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812834" w:rsidRPr="00F07437" w14:paraId="3AEAC30D" w14:textId="77777777" w:rsidTr="00812834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4AA7B8" w14:textId="599B243E" w:rsidR="00812834" w:rsidRPr="00F07437" w:rsidRDefault="00812834" w:rsidP="00D2394E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F0743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08928B" w14:textId="77777777" w:rsidR="00812834" w:rsidRPr="00F07437" w:rsidRDefault="00812834" w:rsidP="00D2394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D2394E" w:rsidRPr="00F07437" w14:paraId="5A962818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EEE2D0" w14:textId="2FCA3EBC" w:rsidR="00D2394E" w:rsidRPr="00F07437" w:rsidRDefault="00D2394E" w:rsidP="00D2394E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F07437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Елиминација документације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801C42" w14:textId="77777777" w:rsidR="00D2394E" w:rsidRPr="00F07437" w:rsidRDefault="00D2394E" w:rsidP="00D2394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BC8C986" w14:textId="7CD56E76" w:rsidR="00D2394E" w:rsidRPr="00F07437" w:rsidRDefault="00D2394E" w:rsidP="00D2394E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F0743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E7E057" w14:textId="77777777" w:rsidR="00D2394E" w:rsidRPr="00F07437" w:rsidRDefault="00D2394E" w:rsidP="00D2394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812834" w:rsidRPr="00F07437" w14:paraId="21EBC019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D867B4" w14:textId="790B87ED" w:rsidR="00812834" w:rsidRPr="00F07437" w:rsidRDefault="00812834" w:rsidP="00D2394E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</w:pPr>
                  <w:r w:rsidRPr="00F07437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Промена форме документа</w:t>
                  </w:r>
                  <w:r w:rsidR="00DC45C0" w:rsidRPr="00F07437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0F16D2" w14:textId="77777777" w:rsidR="00812834" w:rsidRPr="00F07437" w:rsidRDefault="00812834" w:rsidP="00D2394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EB3322" w14:textId="552E2C94" w:rsidR="00812834" w:rsidRPr="00F07437" w:rsidRDefault="00812834" w:rsidP="00D2394E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F07437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1565B5" w14:textId="77777777" w:rsidR="00812834" w:rsidRPr="00F07437" w:rsidRDefault="00812834" w:rsidP="00D2394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2E218A" w:rsidRPr="00F07437" w14:paraId="1962C509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5A29A0" w14:textId="77E57AB8" w:rsidR="002E218A" w:rsidRPr="00F07437" w:rsidRDefault="00E8699F" w:rsidP="002E218A">
                  <w:pPr>
                    <w:pStyle w:val="NormalWeb"/>
                    <w:spacing w:before="0" w:beforeAutospacing="0" w:after="0" w:afterAutospacing="0"/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F07437"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lastRenderedPageBreak/>
                    <w:t>Електронско подношење захтева</w:t>
                  </w:r>
                </w:p>
              </w:tc>
              <w:tc>
                <w:tcPr>
                  <w:tcW w:w="10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FBA8EF" w14:textId="27531217" w:rsidR="002E218A" w:rsidRPr="00F07437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8C8915" w14:textId="38E9D393" w:rsidR="002E218A" w:rsidRPr="00F07437" w:rsidRDefault="00E8699F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F0743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739D35" w14:textId="7D66725C" w:rsidR="002E218A" w:rsidRPr="00F07437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32A845F9" w14:textId="48C65F53" w:rsidR="007D39E4" w:rsidRPr="00F07437" w:rsidRDefault="007D39E4" w:rsidP="00886C36">
            <w:pPr>
              <w:spacing w:after="120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3964" w:rsidRPr="00F07437" w14:paraId="4FBA2E7F" w14:textId="77777777" w:rsidTr="008A20C1">
        <w:trPr>
          <w:trHeight w:val="391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139C151" w14:textId="77777777" w:rsidR="00FD3964" w:rsidRPr="00F07437" w:rsidRDefault="00FD3964" w:rsidP="007D39E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07437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F07437" w14:paraId="72ECB386" w14:textId="77777777" w:rsidTr="00C23C32">
        <w:tc>
          <w:tcPr>
            <w:tcW w:w="9062" w:type="dxa"/>
          </w:tcPr>
          <w:p w14:paraId="3E637809" w14:textId="40998E4B" w:rsidR="00287AFC" w:rsidRPr="00F07437" w:rsidRDefault="00287AFC" w:rsidP="00287AFC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3D1F8B05" w14:textId="7017068E" w:rsidR="00833F48" w:rsidRPr="00F07437" w:rsidRDefault="00833F48" w:rsidP="008A20C1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F07437">
              <w:rPr>
                <w:b/>
                <w:sz w:val="22"/>
                <w:szCs w:val="22"/>
                <w:u w:val="single"/>
                <w:lang w:val="sr-Cyrl-RS"/>
              </w:rPr>
              <w:t>Прибављање података по службеној дужности</w:t>
            </w:r>
          </w:p>
          <w:p w14:paraId="2A5C12E8" w14:textId="43903385" w:rsidR="0097696A" w:rsidRPr="00F07437" w:rsidRDefault="0097696A" w:rsidP="0097696A">
            <w:pPr>
              <w:pStyle w:val="odluka-zakon"/>
              <w:shd w:val="clear" w:color="auto" w:fill="FFFFFF"/>
              <w:spacing w:before="225" w:after="225"/>
              <w:jc w:val="both"/>
              <w:rPr>
                <w:sz w:val="22"/>
                <w:szCs w:val="22"/>
                <w:lang w:val="sr-Cyrl-RS"/>
              </w:rPr>
            </w:pPr>
            <w:r w:rsidRPr="00F07437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3655938C" w14:textId="77777777" w:rsidR="0034540E" w:rsidRPr="00F07437" w:rsidRDefault="00B92966" w:rsidP="0034540E">
            <w:pPr>
              <w:pStyle w:val="ListParagraph"/>
              <w:numPr>
                <w:ilvl w:val="0"/>
                <w:numId w:val="43"/>
              </w:numPr>
              <w:spacing w:before="120" w:after="120"/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Документ </w:t>
            </w:r>
            <w:r w:rsidR="009336F9" w:rsidRPr="00F0743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1</w:t>
            </w:r>
            <w:r w:rsidRPr="00F0743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: </w:t>
            </w:r>
            <w:r w:rsidR="001B772F" w:rsidRPr="00F0743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Решење за бављење прометом</w:t>
            </w:r>
            <w:r w:rsidR="009336F9" w:rsidRPr="00F0743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34540E" w:rsidRPr="00F0743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експлозивних материја</w:t>
            </w:r>
            <w:r w:rsidR="0034540E" w:rsidRPr="00F07437"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0FB9FF10" w14:textId="17D2BD5A" w:rsidR="009336F9" w:rsidRPr="00F07437" w:rsidRDefault="009336F9" w:rsidP="009336F9">
            <w:pPr>
              <w:pStyle w:val="ListParagraph"/>
              <w:numPr>
                <w:ilvl w:val="0"/>
                <w:numId w:val="43"/>
              </w:numPr>
              <w:spacing w:before="120" w:after="120"/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Документ 2: Решење за стављање у промет експлозивних материја</w:t>
            </w:r>
            <w:r w:rsidRPr="00F07437"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29E11C13" w14:textId="7300642C" w:rsidR="001B772F" w:rsidRPr="00F07437" w:rsidRDefault="001B772F" w:rsidP="001B772F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Како ова документ</w:t>
            </w:r>
            <w:r w:rsidR="009336F9" w:rsidRPr="00F07437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а</w:t>
            </w: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издаје МУП, Сектор за ванредне ситуације, Управа за превентивну заштиту, предлаже се елиминација његовог подношења, с обзиром на чињеницу да се може обавити увид у интерне евиденције Министарства о издатим одобрењима. </w:t>
            </w:r>
          </w:p>
          <w:p w14:paraId="15D68760" w14:textId="00CCE313" w:rsidR="00695CBC" w:rsidRPr="00F07437" w:rsidRDefault="001B772F" w:rsidP="009336F9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Како би се ово омогућило, у обрасцу захтева је потребно затражити неопходне информације, за које је потребно утврдити ову чињеницу (бр. и датум издавања </w:t>
            </w:r>
            <w:r w:rsidR="009336F9" w:rsidRPr="00F07437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решењa за бављење прометом</w:t>
            </w:r>
            <w:r w:rsidR="0034540E" w:rsidRPr="00F07437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="0034540E" w:rsidRPr="00F0743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експлозивних материја</w:t>
            </w:r>
            <w:r w:rsidR="009336F9" w:rsidRPr="00F07437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, бр. и датум издавања решењa </w:t>
            </w:r>
            <w:r w:rsidR="009336F9" w:rsidRPr="00F0743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за стављање у промет експлозивних материја</w:t>
            </w: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и сл.).</w:t>
            </w:r>
          </w:p>
          <w:p w14:paraId="1D7B3312" w14:textId="26018D47" w:rsidR="00B147AC" w:rsidRPr="00F07437" w:rsidRDefault="00B147AC" w:rsidP="00B147AC">
            <w:pPr>
              <w:pStyle w:val="NormalWeb"/>
              <w:jc w:val="both"/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</w:pPr>
            <w:r w:rsidRPr="00F07437">
              <w:rPr>
                <w:rFonts w:eastAsia="Calibri"/>
                <w:b/>
                <w:sz w:val="22"/>
                <w:szCs w:val="22"/>
                <w:lang w:val="sr-Cyrl-RS"/>
              </w:rPr>
              <w:t xml:space="preserve">За примену препорука за прибављање података по службеној дужности, није неопходна измена прописа, будући да, у складу са чланом 215. ЗОУП-а,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евиденција, супротно одредбама чл. 9. и 103. овог закона, </w:t>
            </w:r>
            <w:r w:rsidRPr="00F07437"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  <w:t xml:space="preserve">престају да важе истеком 90 дана од дана ступања на снагу овог закона. </w:t>
            </w:r>
          </w:p>
          <w:p w14:paraId="0DA9A7DD" w14:textId="77777777" w:rsidR="00DC45C0" w:rsidRPr="00F07437" w:rsidRDefault="00DC45C0" w:rsidP="00CC48FF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F07437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 xml:space="preserve">Образац </w:t>
            </w:r>
            <w:r w:rsidRPr="00F07437">
              <w:rPr>
                <w:b/>
                <w:bCs/>
                <w:color w:val="000000" w:themeColor="text1"/>
                <w:sz w:val="22"/>
                <w:szCs w:val="22"/>
                <w:u w:val="single"/>
                <w:lang w:val="sr-Cyrl-RS"/>
              </w:rPr>
              <w:t>административног захтева</w:t>
            </w:r>
          </w:p>
          <w:p w14:paraId="5DF4B83F" w14:textId="77777777" w:rsidR="00DC45C0" w:rsidRPr="00F07437" w:rsidRDefault="00DC45C0" w:rsidP="00DC45C0">
            <w:pPr>
              <w:pStyle w:val="NormalWeb"/>
              <w:spacing w:before="0" w:beforeAutospacing="0" w:after="0" w:afterAutospacing="0"/>
              <w:rPr>
                <w:b/>
                <w:bCs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09DE7EA1" w14:textId="47BB6248" w:rsidR="00DA68A8" w:rsidRPr="00F07437" w:rsidRDefault="00833F48" w:rsidP="00DC45C0">
            <w:pPr>
              <w:pStyle w:val="NormalWeb"/>
              <w:spacing w:before="0" w:beforeAutospacing="0" w:after="0" w:afterAutospacing="0"/>
              <w:rPr>
                <w:i/>
                <w:color w:val="000000" w:themeColor="text1"/>
                <w:sz w:val="22"/>
                <w:szCs w:val="22"/>
                <w:lang w:val="sr-Cyrl-RS"/>
              </w:rPr>
            </w:pPr>
            <w:r w:rsidRPr="00F07437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Увођење обрасца захтева</w:t>
            </w:r>
          </w:p>
          <w:p w14:paraId="40D01857" w14:textId="4D13C0F6" w:rsidR="00833F48" w:rsidRPr="00F07437" w:rsidRDefault="00833F48" w:rsidP="00DA68A8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F07437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4F06187D" w14:textId="77777777" w:rsidR="00DA68A8" w:rsidRPr="00F07437" w:rsidRDefault="00DA68A8" w:rsidP="00DA68A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508F5998" w14:textId="05CC4D01" w:rsidR="00CC48FF" w:rsidRPr="00F07437" w:rsidRDefault="00CC48FF" w:rsidP="00CC48FF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0E580D6D" w14:textId="77777777" w:rsidR="00F07437" w:rsidRPr="00F07437" w:rsidRDefault="00F07437" w:rsidP="00F07437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6307BEA0" w14:textId="77777777" w:rsidR="00F07437" w:rsidRPr="00F07437" w:rsidRDefault="00F07437" w:rsidP="00F07437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F0743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3B28EA86" w14:textId="77777777" w:rsidR="00F07437" w:rsidRPr="00F07437" w:rsidRDefault="00F07437" w:rsidP="00F07437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2BB9EDD3" w14:textId="77777777" w:rsidR="00F07437" w:rsidRPr="00F07437" w:rsidRDefault="00F07437" w:rsidP="00F07437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матични број, адреса електронске поште);</w:t>
            </w:r>
          </w:p>
          <w:p w14:paraId="16E574A6" w14:textId="77777777" w:rsidR="00F07437" w:rsidRPr="00F07437" w:rsidRDefault="00F07437" w:rsidP="00F07437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 (</w:t>
            </w: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бр. и датум издавања решењa за бављење прометом, бр. и датум издавања решењa </w:t>
            </w:r>
            <w:r w:rsidRPr="00F0743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за стављање у промет експлозивних материја</w:t>
            </w: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  <w:r w:rsidRPr="00F0743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7BB8B23B" w14:textId="77777777" w:rsidR="00F07437" w:rsidRPr="00F07437" w:rsidRDefault="00F07437" w:rsidP="00F07437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779A8EE5" w14:textId="77777777" w:rsidR="00F07437" w:rsidRPr="00F07437" w:rsidRDefault="00F07437" w:rsidP="00F07437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7F68E4FE" w14:textId="77777777" w:rsidR="00F07437" w:rsidRPr="00F07437" w:rsidRDefault="00F07437" w:rsidP="00F07437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7625E393" w14:textId="77777777" w:rsidR="00F07437" w:rsidRPr="00F07437" w:rsidRDefault="00F07437" w:rsidP="00F07437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26986F9F" w14:textId="77777777" w:rsidR="00F07437" w:rsidRPr="00F07437" w:rsidRDefault="00F07437" w:rsidP="00F07437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40FEEBEC" w14:textId="77777777" w:rsidR="00F07437" w:rsidRPr="00F07437" w:rsidRDefault="00F07437" w:rsidP="00F07437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0EAD8950" w14:textId="77777777" w:rsidR="00F07437" w:rsidRPr="00F07437" w:rsidRDefault="00F07437" w:rsidP="00F0743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32798DF7" w14:textId="77777777" w:rsidR="00F07437" w:rsidRPr="00F07437" w:rsidRDefault="00F07437" w:rsidP="00F0743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7C4816A4" w14:textId="77777777" w:rsidR="00F07437" w:rsidRPr="00F07437" w:rsidRDefault="00F07437" w:rsidP="00F07437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74999094" w14:textId="77777777" w:rsidR="00F07437" w:rsidRPr="00F07437" w:rsidRDefault="00F07437" w:rsidP="00F07437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424C7979" w14:textId="77777777" w:rsidR="00F07437" w:rsidRPr="00F07437" w:rsidRDefault="00F07437" w:rsidP="00F07437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0ADCEC9B" w14:textId="77777777" w:rsidR="00F07437" w:rsidRPr="00F07437" w:rsidRDefault="00F07437" w:rsidP="00F07437">
            <w:pPr>
              <w:numPr>
                <w:ilvl w:val="1"/>
                <w:numId w:val="32"/>
              </w:numPr>
              <w:ind w:left="885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586D9B06" w14:textId="77777777" w:rsidR="00F07437" w:rsidRPr="00F07437" w:rsidRDefault="00F07437" w:rsidP="00F0743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FE10F2A" w14:textId="77777777" w:rsidR="00F07437" w:rsidRPr="00F07437" w:rsidRDefault="00F07437" w:rsidP="00F0743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80FC43A" w14:textId="77777777" w:rsidR="00F07437" w:rsidRPr="00F07437" w:rsidRDefault="00F07437" w:rsidP="00F0743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0FE7DC96" w14:textId="77777777" w:rsidR="00F07437" w:rsidRPr="00F07437" w:rsidRDefault="00F07437" w:rsidP="00F0743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D060F2E" w14:textId="77777777" w:rsidR="00F07437" w:rsidRPr="00F07437" w:rsidRDefault="00F07437" w:rsidP="00F07437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7C812363" w14:textId="77777777" w:rsidR="00F07437" w:rsidRPr="00F07437" w:rsidRDefault="00F07437" w:rsidP="00F07437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01377857" w14:textId="77777777" w:rsidR="00F07437" w:rsidRPr="00F07437" w:rsidRDefault="00F07437" w:rsidP="00F07437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48106052" w14:textId="77777777" w:rsidR="00F07437" w:rsidRPr="00F07437" w:rsidRDefault="00F07437" w:rsidP="00F07437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374C04E7" w14:textId="77777777" w:rsidR="00F07437" w:rsidRPr="00F07437" w:rsidRDefault="00F07437" w:rsidP="00F07437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7A64F26C" w14:textId="77777777" w:rsidR="00F07437" w:rsidRPr="00F07437" w:rsidRDefault="00F07437" w:rsidP="00F07437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0DB517A4" w14:textId="77777777" w:rsidR="00F07437" w:rsidRPr="00F07437" w:rsidRDefault="00F07437" w:rsidP="00F07437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7758B289" w14:textId="77777777" w:rsidR="00F07437" w:rsidRPr="00F07437" w:rsidRDefault="00F07437" w:rsidP="00F07437">
            <w:pPr>
              <w:pStyle w:val="ListParagraph"/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13327A5" w14:textId="77777777" w:rsidR="00CC48FF" w:rsidRPr="00F07437" w:rsidRDefault="00CC48FF" w:rsidP="00CC48FF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 обрасца захтева.</w:t>
            </w:r>
          </w:p>
          <w:p w14:paraId="0284C275" w14:textId="77777777" w:rsidR="00CC48FF" w:rsidRPr="00F07437" w:rsidRDefault="00CC48FF" w:rsidP="00CC48FF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28F4F11" w14:textId="0753C0C4" w:rsidR="00833F48" w:rsidRPr="00F07437" w:rsidRDefault="00833F48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</w:t>
            </w:r>
            <w:r w:rsidR="00CC48FF" w:rsidRPr="00F0743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потребна</w:t>
            </w:r>
            <w:r w:rsidRPr="00F0743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измена прописа. </w:t>
            </w:r>
          </w:p>
          <w:p w14:paraId="36B831EB" w14:textId="77777777" w:rsidR="00DF7C11" w:rsidRPr="00F07437" w:rsidRDefault="00DF7C11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5A3956AD" w14:textId="77777777" w:rsidR="00D2394E" w:rsidRPr="00F07437" w:rsidRDefault="00D2394E" w:rsidP="00D2394E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F07437">
              <w:rPr>
                <w:b/>
                <w:sz w:val="22"/>
                <w:szCs w:val="22"/>
                <w:u w:val="single"/>
                <w:lang w:val="sr-Cyrl-RS"/>
              </w:rPr>
              <w:t>Документација</w:t>
            </w:r>
          </w:p>
          <w:p w14:paraId="64BF013D" w14:textId="77777777" w:rsidR="00D2394E" w:rsidRPr="00F07437" w:rsidRDefault="00D2394E" w:rsidP="00D2394E">
            <w:pPr>
              <w:pStyle w:val="NormalWeb"/>
              <w:spacing w:before="0" w:beforeAutospacing="0" w:after="0" w:afterAutospacing="0"/>
              <w:ind w:left="99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0E9F6B90" w14:textId="77777777" w:rsidR="00D2394E" w:rsidRPr="00F07437" w:rsidRDefault="00D2394E" w:rsidP="00D2394E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F07437">
              <w:rPr>
                <w:b/>
                <w:i/>
                <w:sz w:val="22"/>
                <w:szCs w:val="22"/>
                <w:lang w:val="sr-Cyrl-RS"/>
              </w:rPr>
              <w:t>Елиминација документације</w:t>
            </w:r>
          </w:p>
          <w:p w14:paraId="14EE2418" w14:textId="77777777" w:rsidR="00D2394E" w:rsidRPr="00F07437" w:rsidRDefault="00D2394E" w:rsidP="00D2394E">
            <w:pPr>
              <w:pStyle w:val="NormalWeb"/>
              <w:spacing w:before="0" w:beforeAutospacing="0" w:after="0" w:afterAutospacing="0"/>
              <w:ind w:left="99"/>
              <w:jc w:val="both"/>
              <w:rPr>
                <w:i/>
                <w:sz w:val="22"/>
                <w:szCs w:val="22"/>
                <w:lang w:val="sr-Cyrl-RS"/>
              </w:rPr>
            </w:pPr>
          </w:p>
          <w:p w14:paraId="275048F0" w14:textId="400ED89C" w:rsidR="00D2394E" w:rsidRPr="00F07437" w:rsidRDefault="00D2394E" w:rsidP="00D2394E">
            <w:pPr>
              <w:pStyle w:val="NormalWeb"/>
              <w:numPr>
                <w:ilvl w:val="0"/>
                <w:numId w:val="44"/>
              </w:numPr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07437">
              <w:rPr>
                <w:b/>
                <w:sz w:val="22"/>
                <w:szCs w:val="22"/>
                <w:lang w:val="sr-Cyrl-RS"/>
              </w:rPr>
              <w:t>Документ 6: Захтев за издавање одобрења за вишекратну набавку и употребу експлозивних материја</w:t>
            </w:r>
          </w:p>
          <w:p w14:paraId="78433F69" w14:textId="323D697C" w:rsidR="00D2394E" w:rsidRPr="00F07437" w:rsidRDefault="00D2394E" w:rsidP="00D2394E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07437">
              <w:rPr>
                <w:sz w:val="22"/>
                <w:szCs w:val="22"/>
                <w:lang w:val="sr-Cyrl-RS"/>
              </w:rPr>
              <w:t xml:space="preserve">Како се захтев за издавање одобрења за вишекратну набавку и употребу експлозивних материја подноси у слободној форми, те како је дата препорука да се за захтев уведе </w:t>
            </w:r>
            <w:r w:rsidRPr="00F07437">
              <w:rPr>
                <w:sz w:val="22"/>
                <w:szCs w:val="22"/>
                <w:lang w:val="sr-Cyrl-RS"/>
              </w:rPr>
              <w:lastRenderedPageBreak/>
              <w:t xml:space="preserve">стандардна форма обрасца (видети тачку 3.2), то се предлаже елиминација документа захтева који у слободној форми сачињава подносилац. </w:t>
            </w:r>
          </w:p>
          <w:p w14:paraId="46E4863F" w14:textId="7B07FC06" w:rsidR="00D2394E" w:rsidRPr="00F07437" w:rsidRDefault="00D2394E" w:rsidP="00D2394E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F07437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F07437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F07437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7C5C6C16" w14:textId="77777777" w:rsidR="001A35A7" w:rsidRPr="00F07437" w:rsidRDefault="001A35A7" w:rsidP="00D2394E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5F80E2FB" w14:textId="10B054E5" w:rsidR="00BC20F4" w:rsidRPr="00F07437" w:rsidRDefault="00BC20F4" w:rsidP="00BC20F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F07437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Промена форме докумен</w:t>
            </w:r>
            <w:r w:rsidR="00DC45C0" w:rsidRPr="00F07437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тације</w:t>
            </w:r>
          </w:p>
          <w:p w14:paraId="6E90AF71" w14:textId="3BC9D524" w:rsidR="00BC20F4" w:rsidRPr="00F07437" w:rsidRDefault="00BC20F4" w:rsidP="00BC20F4">
            <w:pPr>
              <w:pStyle w:val="NormalWeb"/>
              <w:ind w:left="270"/>
              <w:jc w:val="both"/>
              <w:rPr>
                <w:b/>
                <w:sz w:val="22"/>
                <w:szCs w:val="22"/>
                <w:lang w:val="sr-Cyrl-RS"/>
              </w:rPr>
            </w:pPr>
            <w:r w:rsidRPr="00F07437">
              <w:rPr>
                <w:b/>
                <w:sz w:val="22"/>
                <w:szCs w:val="22"/>
                <w:lang w:val="sr-Cyrl-RS"/>
              </w:rPr>
              <w:t>•</w:t>
            </w:r>
            <w:r w:rsidRPr="00F07437">
              <w:rPr>
                <w:b/>
                <w:sz w:val="22"/>
                <w:szCs w:val="22"/>
                <w:lang w:val="sr-Cyrl-RS"/>
              </w:rPr>
              <w:tab/>
              <w:t>Документ 7 и 8: Доказ о уплати републичкe административнe таксe за захтев и решње</w:t>
            </w:r>
          </w:p>
          <w:p w14:paraId="05A00638" w14:textId="128994D7" w:rsidR="0072311D" w:rsidRPr="00F07437" w:rsidRDefault="0072311D" w:rsidP="0072311D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органи </w:t>
            </w:r>
            <w:r w:rsidR="001A35A7"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често траже </w:t>
            </w:r>
            <w:r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671B44D8" w14:textId="77777777" w:rsidR="0072311D" w:rsidRPr="00F07437" w:rsidRDefault="0072311D" w:rsidP="0072311D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F07437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1C2CFCA5" w14:textId="77777777" w:rsidR="0072311D" w:rsidRPr="00F07437" w:rsidRDefault="0072311D" w:rsidP="0072311D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hAnsi="Times New Roman"/>
                <w:sz w:val="22"/>
                <w:szCs w:val="22"/>
              </w:rPr>
              <w:t>K</w:t>
            </w:r>
            <w:r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F07437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F07437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04E5082F" w14:textId="77777777" w:rsidR="0072311D" w:rsidRPr="00F07437" w:rsidRDefault="0072311D" w:rsidP="0072311D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1779610" w14:textId="77777777" w:rsidR="0072311D" w:rsidRPr="00F07437" w:rsidRDefault="0072311D" w:rsidP="0072311D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43C4DD59" w14:textId="77777777" w:rsidR="0072311D" w:rsidRPr="00F07437" w:rsidRDefault="0072311D" w:rsidP="0072311D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26C6AA2" w14:textId="77777777" w:rsidR="0072311D" w:rsidRPr="00F07437" w:rsidRDefault="0072311D" w:rsidP="0072311D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4443B7BF" w14:textId="77777777" w:rsidR="0072311D" w:rsidRPr="00F07437" w:rsidRDefault="0072311D" w:rsidP="0072311D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4ECEDA1" w14:textId="77777777" w:rsidR="0072311D" w:rsidRPr="00F07437" w:rsidRDefault="0072311D" w:rsidP="0072311D">
            <w:pPr>
              <w:pStyle w:val="ListParagraph"/>
              <w:numPr>
                <w:ilvl w:val="0"/>
                <w:numId w:val="45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</w:t>
            </w:r>
          </w:p>
          <w:p w14:paraId="40653220" w14:textId="77777777" w:rsidR="0072311D" w:rsidRPr="00F07437" w:rsidRDefault="0072311D" w:rsidP="0072311D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540BA30" w14:textId="5D6D7077" w:rsidR="0072311D" w:rsidRPr="00F07437" w:rsidRDefault="0072311D" w:rsidP="0072311D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>Трећи начин је да се омогући систем електронског плаћања преко портала е-</w:t>
            </w:r>
            <w:r w:rsidR="001A35A7"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>праве.</w:t>
            </w:r>
          </w:p>
          <w:p w14:paraId="1F337EA2" w14:textId="77777777" w:rsidR="0072311D" w:rsidRPr="00F07437" w:rsidRDefault="0072311D" w:rsidP="0072311D">
            <w:pPr>
              <w:pStyle w:val="ListParagraph"/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CF24756" w14:textId="4D3978E6" w:rsidR="0072311D" w:rsidRPr="00F07437" w:rsidRDefault="0072311D" w:rsidP="00BC20F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07437">
              <w:rPr>
                <w:sz w:val="22"/>
                <w:szCs w:val="22"/>
                <w:lang w:val="sr-Cyrl-RS"/>
              </w:rPr>
              <w:t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</w:t>
            </w:r>
          </w:p>
          <w:p w14:paraId="75A7A30D" w14:textId="77777777" w:rsidR="0072311D" w:rsidRPr="00F07437" w:rsidRDefault="0072311D" w:rsidP="00BC20F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158DC832" w14:textId="77777777" w:rsidR="00BC20F4" w:rsidRPr="00F07437" w:rsidRDefault="00BC20F4" w:rsidP="00BC20F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07437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36D7F311" w14:textId="77777777" w:rsidR="00D96460" w:rsidRPr="00F07437" w:rsidRDefault="00D96460" w:rsidP="00DF7C11">
            <w:p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12A71C4F" w14:textId="77777777" w:rsidR="004E30D7" w:rsidRPr="00F07437" w:rsidRDefault="004E30D7" w:rsidP="004E30D7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F07437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2FF5C589" w14:textId="77777777" w:rsidR="004E30D7" w:rsidRPr="00F07437" w:rsidRDefault="004E30D7" w:rsidP="004E30D7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поштом или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02A7F383" w14:textId="77777777" w:rsidR="004E30D7" w:rsidRPr="00F07437" w:rsidRDefault="004E30D7" w:rsidP="004E30D7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 xml:space="preserve">За примену ове препоруке, није потребна измена прописа. </w:t>
            </w:r>
          </w:p>
          <w:p w14:paraId="7DEC725F" w14:textId="16ED8AE0" w:rsidR="00CB5A92" w:rsidRPr="00F07437" w:rsidRDefault="00CB5A92" w:rsidP="005325A9">
            <w:pPr>
              <w:pStyle w:val="NormalWeb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75E2A" w:rsidRPr="00F07437" w14:paraId="675008AD" w14:textId="77777777" w:rsidTr="005325A9">
        <w:trPr>
          <w:trHeight w:val="625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DB0162F" w14:textId="77777777" w:rsidR="00275E2A" w:rsidRPr="00F07437" w:rsidRDefault="00275E2A" w:rsidP="007940D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07437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F07437">
              <w:rPr>
                <w:b/>
                <w:sz w:val="22"/>
                <w:szCs w:val="22"/>
                <w:lang w:val="sr-Cyrl-RS"/>
              </w:rPr>
              <w:t>У</w:t>
            </w:r>
            <w:r w:rsidRPr="00F07437">
              <w:rPr>
                <w:b/>
                <w:sz w:val="22"/>
                <w:szCs w:val="22"/>
                <w:lang w:val="sr-Cyrl-RS"/>
              </w:rPr>
              <w:t>КЕ СА НАЦРТОМ  ПРОПИСА ЧИЈА СЕ ИЗМЕНА</w:t>
            </w:r>
            <w:r w:rsidR="002A202F" w:rsidRPr="00F07437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F07437">
              <w:rPr>
                <w:b/>
                <w:sz w:val="22"/>
                <w:szCs w:val="22"/>
                <w:lang w:val="sr-Cyrl-RS"/>
              </w:rPr>
              <w:t xml:space="preserve">ПРЕДЛАЖЕ  </w:t>
            </w:r>
            <w:r w:rsidRPr="00F07437">
              <w:rPr>
                <w:i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5325A9" w:rsidRPr="00F07437" w14:paraId="243310FD" w14:textId="77777777" w:rsidTr="005325A9">
        <w:tc>
          <w:tcPr>
            <w:tcW w:w="9060" w:type="dxa"/>
          </w:tcPr>
          <w:p w14:paraId="7420878B" w14:textId="77777777" w:rsidR="005325A9" w:rsidRPr="00F07437" w:rsidRDefault="005325A9" w:rsidP="005325A9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EFCCA7F" w14:textId="77777777" w:rsidR="005325A9" w:rsidRPr="00F07437" w:rsidRDefault="005325A9" w:rsidP="005325A9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694F59C0" w14:textId="77777777" w:rsidR="005325A9" w:rsidRPr="00F07437" w:rsidRDefault="005325A9" w:rsidP="005325A9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</w:p>
        </w:tc>
      </w:tr>
      <w:tr w:rsidR="005325A9" w:rsidRPr="00F07437" w14:paraId="1251D6FF" w14:textId="77777777" w:rsidTr="005325A9">
        <w:trPr>
          <w:trHeight w:val="508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561F8583" w14:textId="77777777" w:rsidR="005325A9" w:rsidRPr="00F07437" w:rsidRDefault="005325A9" w:rsidP="005325A9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07437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5325A9" w:rsidRPr="00F07437" w14:paraId="585359C0" w14:textId="77777777" w:rsidTr="005325A9">
        <w:trPr>
          <w:trHeight w:val="708"/>
        </w:trPr>
        <w:tc>
          <w:tcPr>
            <w:tcW w:w="9060" w:type="dxa"/>
          </w:tcPr>
          <w:p w14:paraId="375C8B33" w14:textId="77777777" w:rsidR="005325A9" w:rsidRPr="00F07437" w:rsidRDefault="005325A9" w:rsidP="005325A9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454E516" w14:textId="77777777" w:rsidR="005325A9" w:rsidRPr="00F07437" w:rsidRDefault="005325A9" w:rsidP="005325A9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28DA4344" w14:textId="4A05D6F7" w:rsidR="005325A9" w:rsidRPr="00F07437" w:rsidRDefault="005325A9" w:rsidP="005325A9">
            <w:pPr>
              <w:pStyle w:val="NormalWeb"/>
              <w:spacing w:before="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5325A9" w:rsidRPr="00F07437" w14:paraId="6F69BD61" w14:textId="77777777" w:rsidTr="005325A9">
        <w:trPr>
          <w:trHeight w:val="409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10A6F09F" w14:textId="77777777" w:rsidR="005325A9" w:rsidRPr="00F07437" w:rsidRDefault="005325A9" w:rsidP="005325A9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07437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5325A9" w:rsidRPr="00F07437" w14:paraId="162E5FCE" w14:textId="77777777" w:rsidTr="005325A9">
        <w:trPr>
          <w:trHeight w:val="567"/>
        </w:trPr>
        <w:tc>
          <w:tcPr>
            <w:tcW w:w="9060" w:type="dxa"/>
            <w:shd w:val="clear" w:color="auto" w:fill="auto"/>
          </w:tcPr>
          <w:p w14:paraId="24C5F60E" w14:textId="49A7A8C3" w:rsidR="00EE4189" w:rsidRPr="00F07437" w:rsidRDefault="00EE4189" w:rsidP="0024147A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12.506.345,48 РСД. Усвајање и примена препорука ће донети привредним субјектима годишње директне уштеде од 675.230,18 РСД или 5.551,88 ЕУР. Ове уштеде износе 5,4% укупних директних трошкова привредних субјеката у поступку.</w:t>
            </w:r>
          </w:p>
          <w:p w14:paraId="597D2C22" w14:textId="77777777" w:rsidR="00EE4189" w:rsidRPr="00F07437" w:rsidRDefault="00EE4189" w:rsidP="0024147A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693263A" w14:textId="35F22D86" w:rsidR="005325A9" w:rsidRPr="00F07437" w:rsidRDefault="00EE4189" w:rsidP="0024147A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поједностављењу поступка, смањењу документације</w:t>
            </w:r>
            <w:r w:rsidR="00824D96"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привредне субјекте</w:t>
            </w:r>
            <w:r w:rsidRPr="00F07437">
              <w:rPr>
                <w:rFonts w:ascii="Times New Roman" w:hAnsi="Times New Roman"/>
                <w:sz w:val="22"/>
                <w:szCs w:val="22"/>
                <w:lang w:val="sr-Cyrl-RS"/>
              </w:rPr>
              <w:t>. Препорукама се утиче на побољшање пословног амбијента.</w:t>
            </w:r>
          </w:p>
        </w:tc>
      </w:tr>
    </w:tbl>
    <w:p w14:paraId="34BD2A78" w14:textId="77777777" w:rsidR="00C42B27" w:rsidRPr="00F0743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EE9F555" w14:textId="77777777" w:rsidR="00C42B27" w:rsidRPr="00F0743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BBD0ED5" w14:textId="77777777" w:rsidR="00C42B27" w:rsidRPr="00F0743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2D1D5C5A" w14:textId="77777777" w:rsidR="00C42B27" w:rsidRPr="00F0743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183F2127" w14:textId="77777777" w:rsidR="00C42B27" w:rsidRPr="00F0743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799DAC8" w14:textId="77777777" w:rsidR="00C42B27" w:rsidRPr="00F0743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AAEF5D3" w14:textId="77777777" w:rsidR="00C42B27" w:rsidRPr="00F0743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42D39AF" w14:textId="77777777" w:rsidR="00C42B27" w:rsidRPr="00F0743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9FBD68B" w14:textId="77777777" w:rsidR="00C42B27" w:rsidRPr="00F0743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81320AD" w14:textId="77777777" w:rsidR="00C42B27" w:rsidRPr="00F0743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ECF64E9" w14:textId="77777777" w:rsidR="00C42B27" w:rsidRPr="00F0743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586F75C" w14:textId="00F88E36" w:rsidR="003E3C16" w:rsidRPr="00F07437" w:rsidRDefault="003E3C16" w:rsidP="00C42B27">
      <w:pPr>
        <w:tabs>
          <w:tab w:val="left" w:pos="3180"/>
        </w:tabs>
        <w:rPr>
          <w:rFonts w:ascii="Times New Roman" w:eastAsia="Times New Roman" w:hAnsi="Times New Roman"/>
          <w:lang w:val="sr-Cyrl-RS"/>
        </w:rPr>
      </w:pPr>
    </w:p>
    <w:sectPr w:rsidR="003E3C16" w:rsidRPr="00F07437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F728A" w14:textId="77777777" w:rsidR="000B4168" w:rsidRDefault="000B4168" w:rsidP="002A202F">
      <w:r>
        <w:separator/>
      </w:r>
    </w:p>
  </w:endnote>
  <w:endnote w:type="continuationSeparator" w:id="0">
    <w:p w14:paraId="4C3F659D" w14:textId="77777777" w:rsidR="000B4168" w:rsidRDefault="000B4168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D5CE395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743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1E2A64" w14:textId="77777777" w:rsidR="000B4168" w:rsidRDefault="000B4168" w:rsidP="002A202F">
      <w:r>
        <w:separator/>
      </w:r>
    </w:p>
  </w:footnote>
  <w:footnote w:type="continuationSeparator" w:id="0">
    <w:p w14:paraId="27DE4D33" w14:textId="77777777" w:rsidR="000B4168" w:rsidRDefault="000B4168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5D1"/>
    <w:multiLevelType w:val="multilevel"/>
    <w:tmpl w:val="F0CC4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D1E5F"/>
    <w:multiLevelType w:val="hybridMultilevel"/>
    <w:tmpl w:val="B9CAF2BA"/>
    <w:lvl w:ilvl="0" w:tplc="9514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373CF"/>
    <w:multiLevelType w:val="hybridMultilevel"/>
    <w:tmpl w:val="3BE2C5A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2778E"/>
    <w:multiLevelType w:val="hybridMultilevel"/>
    <w:tmpl w:val="60B474F0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06" w:hanging="696"/>
      </w:pPr>
      <w:rPr>
        <w:rFonts w:ascii="Symbol" w:hAnsi="Symbol" w:hint="default"/>
        <w:b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9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156CB"/>
    <w:multiLevelType w:val="hybridMultilevel"/>
    <w:tmpl w:val="D3F877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05B38"/>
    <w:multiLevelType w:val="hybridMultilevel"/>
    <w:tmpl w:val="F1783A5C"/>
    <w:lvl w:ilvl="0" w:tplc="565208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B1476A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83F6A"/>
    <w:multiLevelType w:val="hybridMultilevel"/>
    <w:tmpl w:val="2CEA78D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3BAB424B"/>
    <w:multiLevelType w:val="hybridMultilevel"/>
    <w:tmpl w:val="31723258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B420BECE">
      <w:start w:val="7"/>
      <w:numFmt w:val="bullet"/>
      <w:lvlText w:val="•"/>
      <w:lvlJc w:val="left"/>
      <w:pPr>
        <w:ind w:left="1747" w:hanging="696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2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B540E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AA5E83"/>
    <w:multiLevelType w:val="hybridMultilevel"/>
    <w:tmpl w:val="43D47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34665"/>
    <w:multiLevelType w:val="hybridMultilevel"/>
    <w:tmpl w:val="C74414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5022A47"/>
    <w:multiLevelType w:val="hybridMultilevel"/>
    <w:tmpl w:val="3B5484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843129"/>
    <w:multiLevelType w:val="hybridMultilevel"/>
    <w:tmpl w:val="3B2EA0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25"/>
  </w:num>
  <w:num w:numId="4">
    <w:abstractNumId w:val="13"/>
  </w:num>
  <w:num w:numId="5">
    <w:abstractNumId w:val="7"/>
  </w:num>
  <w:num w:numId="6">
    <w:abstractNumId w:val="24"/>
  </w:num>
  <w:num w:numId="7">
    <w:abstractNumId w:val="42"/>
  </w:num>
  <w:num w:numId="8">
    <w:abstractNumId w:val="21"/>
  </w:num>
  <w:num w:numId="9">
    <w:abstractNumId w:val="37"/>
  </w:num>
  <w:num w:numId="10">
    <w:abstractNumId w:val="33"/>
  </w:num>
  <w:num w:numId="11">
    <w:abstractNumId w:val="32"/>
  </w:num>
  <w:num w:numId="12">
    <w:abstractNumId w:val="30"/>
  </w:num>
  <w:num w:numId="13">
    <w:abstractNumId w:val="27"/>
  </w:num>
  <w:num w:numId="14">
    <w:abstractNumId w:val="34"/>
  </w:num>
  <w:num w:numId="15">
    <w:abstractNumId w:val="29"/>
  </w:num>
  <w:num w:numId="16">
    <w:abstractNumId w:val="23"/>
  </w:num>
  <w:num w:numId="17">
    <w:abstractNumId w:val="20"/>
  </w:num>
  <w:num w:numId="18">
    <w:abstractNumId w:val="39"/>
  </w:num>
  <w:num w:numId="19">
    <w:abstractNumId w:val="14"/>
  </w:num>
  <w:num w:numId="20">
    <w:abstractNumId w:val="43"/>
  </w:num>
  <w:num w:numId="21">
    <w:abstractNumId w:val="16"/>
  </w:num>
  <w:num w:numId="22">
    <w:abstractNumId w:val="10"/>
  </w:num>
  <w:num w:numId="23">
    <w:abstractNumId w:val="28"/>
  </w:num>
  <w:num w:numId="24">
    <w:abstractNumId w:val="2"/>
  </w:num>
  <w:num w:numId="25">
    <w:abstractNumId w:val="19"/>
  </w:num>
  <w:num w:numId="26">
    <w:abstractNumId w:val="8"/>
  </w:num>
  <w:num w:numId="27">
    <w:abstractNumId w:val="1"/>
  </w:num>
  <w:num w:numId="28">
    <w:abstractNumId w:val="3"/>
  </w:num>
  <w:num w:numId="29">
    <w:abstractNumId w:val="38"/>
  </w:num>
  <w:num w:numId="30">
    <w:abstractNumId w:val="22"/>
  </w:num>
  <w:num w:numId="31">
    <w:abstractNumId w:val="40"/>
  </w:num>
  <w:num w:numId="32">
    <w:abstractNumId w:val="26"/>
  </w:num>
  <w:num w:numId="33">
    <w:abstractNumId w:val="5"/>
  </w:num>
  <w:num w:numId="34">
    <w:abstractNumId w:val="4"/>
  </w:num>
  <w:num w:numId="35">
    <w:abstractNumId w:val="31"/>
  </w:num>
  <w:num w:numId="36">
    <w:abstractNumId w:val="9"/>
  </w:num>
  <w:num w:numId="37">
    <w:abstractNumId w:val="41"/>
  </w:num>
  <w:num w:numId="38">
    <w:abstractNumId w:val="36"/>
  </w:num>
  <w:num w:numId="39">
    <w:abstractNumId w:val="6"/>
  </w:num>
  <w:num w:numId="40">
    <w:abstractNumId w:val="18"/>
  </w:num>
  <w:num w:numId="41">
    <w:abstractNumId w:val="15"/>
  </w:num>
  <w:num w:numId="42">
    <w:abstractNumId w:val="12"/>
  </w:num>
  <w:num w:numId="43">
    <w:abstractNumId w:val="11"/>
  </w:num>
  <w:num w:numId="44">
    <w:abstractNumId w:val="35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1445B"/>
    <w:rsid w:val="00020306"/>
    <w:rsid w:val="00023EF9"/>
    <w:rsid w:val="00026028"/>
    <w:rsid w:val="00026C2F"/>
    <w:rsid w:val="00027945"/>
    <w:rsid w:val="00034CDF"/>
    <w:rsid w:val="00036812"/>
    <w:rsid w:val="00044F35"/>
    <w:rsid w:val="00044F63"/>
    <w:rsid w:val="00050616"/>
    <w:rsid w:val="00061070"/>
    <w:rsid w:val="000828D6"/>
    <w:rsid w:val="00083993"/>
    <w:rsid w:val="00090066"/>
    <w:rsid w:val="00092B84"/>
    <w:rsid w:val="0009542A"/>
    <w:rsid w:val="000A53F3"/>
    <w:rsid w:val="000A5CDC"/>
    <w:rsid w:val="000B2791"/>
    <w:rsid w:val="000B33F4"/>
    <w:rsid w:val="000B4168"/>
    <w:rsid w:val="000B54D7"/>
    <w:rsid w:val="000B55AC"/>
    <w:rsid w:val="000D5029"/>
    <w:rsid w:val="000D53DD"/>
    <w:rsid w:val="000D7EB5"/>
    <w:rsid w:val="000E2036"/>
    <w:rsid w:val="000F5E72"/>
    <w:rsid w:val="001156BA"/>
    <w:rsid w:val="00121AD2"/>
    <w:rsid w:val="00144CEE"/>
    <w:rsid w:val="0015182D"/>
    <w:rsid w:val="00161847"/>
    <w:rsid w:val="00170CA7"/>
    <w:rsid w:val="001953AC"/>
    <w:rsid w:val="001969BA"/>
    <w:rsid w:val="001A023F"/>
    <w:rsid w:val="001A35A7"/>
    <w:rsid w:val="001A3FAC"/>
    <w:rsid w:val="001A6472"/>
    <w:rsid w:val="001B772F"/>
    <w:rsid w:val="001D0EDE"/>
    <w:rsid w:val="001D20E2"/>
    <w:rsid w:val="001D7BFA"/>
    <w:rsid w:val="001E059B"/>
    <w:rsid w:val="001E38DE"/>
    <w:rsid w:val="001F068D"/>
    <w:rsid w:val="001F7B31"/>
    <w:rsid w:val="00201546"/>
    <w:rsid w:val="0020601F"/>
    <w:rsid w:val="0021261F"/>
    <w:rsid w:val="00212DA5"/>
    <w:rsid w:val="0021347C"/>
    <w:rsid w:val="00216148"/>
    <w:rsid w:val="00226012"/>
    <w:rsid w:val="002323AC"/>
    <w:rsid w:val="0024147A"/>
    <w:rsid w:val="00261404"/>
    <w:rsid w:val="00275E2A"/>
    <w:rsid w:val="00281BF1"/>
    <w:rsid w:val="00285980"/>
    <w:rsid w:val="00287AFC"/>
    <w:rsid w:val="00296938"/>
    <w:rsid w:val="002A202F"/>
    <w:rsid w:val="002A5164"/>
    <w:rsid w:val="002B19B4"/>
    <w:rsid w:val="002B7102"/>
    <w:rsid w:val="002C341B"/>
    <w:rsid w:val="002D4078"/>
    <w:rsid w:val="002E16FB"/>
    <w:rsid w:val="002E218A"/>
    <w:rsid w:val="002F1BEC"/>
    <w:rsid w:val="002F4757"/>
    <w:rsid w:val="0031340C"/>
    <w:rsid w:val="00322199"/>
    <w:rsid w:val="003223C7"/>
    <w:rsid w:val="00326555"/>
    <w:rsid w:val="003410E0"/>
    <w:rsid w:val="0034540E"/>
    <w:rsid w:val="00350EAD"/>
    <w:rsid w:val="003609BA"/>
    <w:rsid w:val="003651DB"/>
    <w:rsid w:val="003715A0"/>
    <w:rsid w:val="0037171F"/>
    <w:rsid w:val="00373706"/>
    <w:rsid w:val="00376FD1"/>
    <w:rsid w:val="00383EE2"/>
    <w:rsid w:val="0039002C"/>
    <w:rsid w:val="003B44DB"/>
    <w:rsid w:val="003B4BC9"/>
    <w:rsid w:val="003B6298"/>
    <w:rsid w:val="003E2EB1"/>
    <w:rsid w:val="003E3C16"/>
    <w:rsid w:val="003F3C5E"/>
    <w:rsid w:val="004005B4"/>
    <w:rsid w:val="00407D96"/>
    <w:rsid w:val="004145FF"/>
    <w:rsid w:val="004257FB"/>
    <w:rsid w:val="00432495"/>
    <w:rsid w:val="004365F8"/>
    <w:rsid w:val="00444DA7"/>
    <w:rsid w:val="004531C4"/>
    <w:rsid w:val="00457882"/>
    <w:rsid w:val="00463CC7"/>
    <w:rsid w:val="00465A72"/>
    <w:rsid w:val="004809C4"/>
    <w:rsid w:val="00482AA6"/>
    <w:rsid w:val="0048433C"/>
    <w:rsid w:val="004847B1"/>
    <w:rsid w:val="0049545B"/>
    <w:rsid w:val="004B07D1"/>
    <w:rsid w:val="004C1E43"/>
    <w:rsid w:val="004D0C94"/>
    <w:rsid w:val="004D3BD0"/>
    <w:rsid w:val="004D45B1"/>
    <w:rsid w:val="004D68A7"/>
    <w:rsid w:val="004E29D1"/>
    <w:rsid w:val="004E30D7"/>
    <w:rsid w:val="004E5F7C"/>
    <w:rsid w:val="00500566"/>
    <w:rsid w:val="005073A3"/>
    <w:rsid w:val="00513BFE"/>
    <w:rsid w:val="00523608"/>
    <w:rsid w:val="00525C0A"/>
    <w:rsid w:val="005325A9"/>
    <w:rsid w:val="00535608"/>
    <w:rsid w:val="0054233F"/>
    <w:rsid w:val="00544FB6"/>
    <w:rsid w:val="005460B7"/>
    <w:rsid w:val="00556688"/>
    <w:rsid w:val="0056162B"/>
    <w:rsid w:val="0056707B"/>
    <w:rsid w:val="00581A9D"/>
    <w:rsid w:val="005865D5"/>
    <w:rsid w:val="00596166"/>
    <w:rsid w:val="005A2503"/>
    <w:rsid w:val="005A3161"/>
    <w:rsid w:val="005B49DA"/>
    <w:rsid w:val="005B4F04"/>
    <w:rsid w:val="005B7CB9"/>
    <w:rsid w:val="005D0023"/>
    <w:rsid w:val="005E21C4"/>
    <w:rsid w:val="005E7E97"/>
    <w:rsid w:val="005F4D59"/>
    <w:rsid w:val="0060001C"/>
    <w:rsid w:val="00600D31"/>
    <w:rsid w:val="0060786A"/>
    <w:rsid w:val="00621751"/>
    <w:rsid w:val="006237FE"/>
    <w:rsid w:val="00627AF7"/>
    <w:rsid w:val="00632540"/>
    <w:rsid w:val="00633EFC"/>
    <w:rsid w:val="00633F73"/>
    <w:rsid w:val="00635454"/>
    <w:rsid w:val="00645199"/>
    <w:rsid w:val="00645850"/>
    <w:rsid w:val="00664303"/>
    <w:rsid w:val="00692071"/>
    <w:rsid w:val="00694B28"/>
    <w:rsid w:val="00695CBC"/>
    <w:rsid w:val="006C5349"/>
    <w:rsid w:val="006C5F2A"/>
    <w:rsid w:val="006C662C"/>
    <w:rsid w:val="006C7167"/>
    <w:rsid w:val="006D1355"/>
    <w:rsid w:val="006E24BA"/>
    <w:rsid w:val="006F4A5C"/>
    <w:rsid w:val="00715F5C"/>
    <w:rsid w:val="007177AE"/>
    <w:rsid w:val="0072311D"/>
    <w:rsid w:val="007278C1"/>
    <w:rsid w:val="00733493"/>
    <w:rsid w:val="00737F1D"/>
    <w:rsid w:val="00751522"/>
    <w:rsid w:val="0076211E"/>
    <w:rsid w:val="00782816"/>
    <w:rsid w:val="007831C7"/>
    <w:rsid w:val="00785A46"/>
    <w:rsid w:val="007861E3"/>
    <w:rsid w:val="007940D6"/>
    <w:rsid w:val="007A05F9"/>
    <w:rsid w:val="007B0E25"/>
    <w:rsid w:val="007B1740"/>
    <w:rsid w:val="007C61B5"/>
    <w:rsid w:val="007D1596"/>
    <w:rsid w:val="007D3889"/>
    <w:rsid w:val="007D39E4"/>
    <w:rsid w:val="007D43A7"/>
    <w:rsid w:val="007E1695"/>
    <w:rsid w:val="007E5605"/>
    <w:rsid w:val="007F204C"/>
    <w:rsid w:val="00804060"/>
    <w:rsid w:val="00812834"/>
    <w:rsid w:val="00815C17"/>
    <w:rsid w:val="008166C9"/>
    <w:rsid w:val="00824D96"/>
    <w:rsid w:val="00824E43"/>
    <w:rsid w:val="00833D8C"/>
    <w:rsid w:val="00833F48"/>
    <w:rsid w:val="00834C9A"/>
    <w:rsid w:val="00841ACC"/>
    <w:rsid w:val="00843E2C"/>
    <w:rsid w:val="0084708C"/>
    <w:rsid w:val="00847143"/>
    <w:rsid w:val="00852739"/>
    <w:rsid w:val="00856CC5"/>
    <w:rsid w:val="0086091C"/>
    <w:rsid w:val="008629CC"/>
    <w:rsid w:val="00865EBB"/>
    <w:rsid w:val="00876146"/>
    <w:rsid w:val="0087652B"/>
    <w:rsid w:val="00886C36"/>
    <w:rsid w:val="008A20C1"/>
    <w:rsid w:val="008A5344"/>
    <w:rsid w:val="008A6AC8"/>
    <w:rsid w:val="008A7D05"/>
    <w:rsid w:val="008C5591"/>
    <w:rsid w:val="008D04A6"/>
    <w:rsid w:val="008D4C1A"/>
    <w:rsid w:val="008D7778"/>
    <w:rsid w:val="008F0867"/>
    <w:rsid w:val="008F172F"/>
    <w:rsid w:val="008F2044"/>
    <w:rsid w:val="008F2BE1"/>
    <w:rsid w:val="008F3306"/>
    <w:rsid w:val="008F4DD1"/>
    <w:rsid w:val="009056DB"/>
    <w:rsid w:val="00915EE6"/>
    <w:rsid w:val="00916D4A"/>
    <w:rsid w:val="009336F9"/>
    <w:rsid w:val="00947592"/>
    <w:rsid w:val="00950280"/>
    <w:rsid w:val="0097696A"/>
    <w:rsid w:val="00991A18"/>
    <w:rsid w:val="00994A16"/>
    <w:rsid w:val="009A1071"/>
    <w:rsid w:val="009A30D3"/>
    <w:rsid w:val="009A3AD5"/>
    <w:rsid w:val="009B004B"/>
    <w:rsid w:val="009B3882"/>
    <w:rsid w:val="009D03A7"/>
    <w:rsid w:val="009E0479"/>
    <w:rsid w:val="00A0102E"/>
    <w:rsid w:val="00A06736"/>
    <w:rsid w:val="00A12960"/>
    <w:rsid w:val="00A1570D"/>
    <w:rsid w:val="00A22386"/>
    <w:rsid w:val="00A2725C"/>
    <w:rsid w:val="00A56B75"/>
    <w:rsid w:val="00A71C04"/>
    <w:rsid w:val="00A94C1B"/>
    <w:rsid w:val="00AA0017"/>
    <w:rsid w:val="00AA425A"/>
    <w:rsid w:val="00AA4BC5"/>
    <w:rsid w:val="00AB09B3"/>
    <w:rsid w:val="00AB5CC6"/>
    <w:rsid w:val="00AC02D1"/>
    <w:rsid w:val="00AE1A12"/>
    <w:rsid w:val="00AE7CA3"/>
    <w:rsid w:val="00B03DB6"/>
    <w:rsid w:val="00B05E86"/>
    <w:rsid w:val="00B06019"/>
    <w:rsid w:val="00B07409"/>
    <w:rsid w:val="00B1006E"/>
    <w:rsid w:val="00B147AC"/>
    <w:rsid w:val="00B14A75"/>
    <w:rsid w:val="00B178FB"/>
    <w:rsid w:val="00B20741"/>
    <w:rsid w:val="00B366CF"/>
    <w:rsid w:val="00B51912"/>
    <w:rsid w:val="00B5252A"/>
    <w:rsid w:val="00B57D2B"/>
    <w:rsid w:val="00B63DB1"/>
    <w:rsid w:val="00B67138"/>
    <w:rsid w:val="00B6715C"/>
    <w:rsid w:val="00B704A7"/>
    <w:rsid w:val="00B737B4"/>
    <w:rsid w:val="00B81BCF"/>
    <w:rsid w:val="00B81CFE"/>
    <w:rsid w:val="00B903AE"/>
    <w:rsid w:val="00B9157F"/>
    <w:rsid w:val="00B92966"/>
    <w:rsid w:val="00B95225"/>
    <w:rsid w:val="00BA55D3"/>
    <w:rsid w:val="00BA6759"/>
    <w:rsid w:val="00BA7204"/>
    <w:rsid w:val="00BB3E92"/>
    <w:rsid w:val="00BB45DD"/>
    <w:rsid w:val="00BC20F4"/>
    <w:rsid w:val="00C0220B"/>
    <w:rsid w:val="00C0295C"/>
    <w:rsid w:val="00C03C06"/>
    <w:rsid w:val="00C11124"/>
    <w:rsid w:val="00C121EC"/>
    <w:rsid w:val="00C12C65"/>
    <w:rsid w:val="00C14A0A"/>
    <w:rsid w:val="00C16AD4"/>
    <w:rsid w:val="00C42B27"/>
    <w:rsid w:val="00C445E2"/>
    <w:rsid w:val="00C7129D"/>
    <w:rsid w:val="00C748D1"/>
    <w:rsid w:val="00C82093"/>
    <w:rsid w:val="00C91014"/>
    <w:rsid w:val="00C97C3E"/>
    <w:rsid w:val="00CB1A4E"/>
    <w:rsid w:val="00CB5A92"/>
    <w:rsid w:val="00CC29F6"/>
    <w:rsid w:val="00CC48FF"/>
    <w:rsid w:val="00CD2287"/>
    <w:rsid w:val="00CD47EC"/>
    <w:rsid w:val="00CD5BBB"/>
    <w:rsid w:val="00CE0685"/>
    <w:rsid w:val="00D033A9"/>
    <w:rsid w:val="00D2055A"/>
    <w:rsid w:val="00D217BF"/>
    <w:rsid w:val="00D2394E"/>
    <w:rsid w:val="00D60C59"/>
    <w:rsid w:val="00D73628"/>
    <w:rsid w:val="00D73918"/>
    <w:rsid w:val="00D864CB"/>
    <w:rsid w:val="00D96460"/>
    <w:rsid w:val="00D967D7"/>
    <w:rsid w:val="00DA125D"/>
    <w:rsid w:val="00DA68A8"/>
    <w:rsid w:val="00DB2794"/>
    <w:rsid w:val="00DB604A"/>
    <w:rsid w:val="00DC0F2A"/>
    <w:rsid w:val="00DC45C0"/>
    <w:rsid w:val="00DC4BC2"/>
    <w:rsid w:val="00DD42C1"/>
    <w:rsid w:val="00DE057D"/>
    <w:rsid w:val="00DF7C11"/>
    <w:rsid w:val="00E0020F"/>
    <w:rsid w:val="00E118C7"/>
    <w:rsid w:val="00E1427B"/>
    <w:rsid w:val="00E14E0D"/>
    <w:rsid w:val="00E22B8B"/>
    <w:rsid w:val="00E40DF0"/>
    <w:rsid w:val="00E4267B"/>
    <w:rsid w:val="00E47DAC"/>
    <w:rsid w:val="00E50721"/>
    <w:rsid w:val="00E63C8A"/>
    <w:rsid w:val="00E67732"/>
    <w:rsid w:val="00E70BF6"/>
    <w:rsid w:val="00E750CE"/>
    <w:rsid w:val="00E800D7"/>
    <w:rsid w:val="00E8699F"/>
    <w:rsid w:val="00EB617F"/>
    <w:rsid w:val="00ED68E9"/>
    <w:rsid w:val="00EE1432"/>
    <w:rsid w:val="00EE4189"/>
    <w:rsid w:val="00EE5584"/>
    <w:rsid w:val="00F07437"/>
    <w:rsid w:val="00F11C98"/>
    <w:rsid w:val="00F12E47"/>
    <w:rsid w:val="00F14C53"/>
    <w:rsid w:val="00F17354"/>
    <w:rsid w:val="00F223B2"/>
    <w:rsid w:val="00F53241"/>
    <w:rsid w:val="00F61CF7"/>
    <w:rsid w:val="00F67790"/>
    <w:rsid w:val="00F74844"/>
    <w:rsid w:val="00F90DFD"/>
    <w:rsid w:val="00FA0A4B"/>
    <w:rsid w:val="00FB1A1B"/>
    <w:rsid w:val="00FB645B"/>
    <w:rsid w:val="00FC09D6"/>
    <w:rsid w:val="00FC34EC"/>
    <w:rsid w:val="00FC3F69"/>
    <w:rsid w:val="00FC5312"/>
    <w:rsid w:val="00FD3964"/>
    <w:rsid w:val="00FD3D18"/>
    <w:rsid w:val="00FF30B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794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E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EF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33EFC"/>
    <w:rPr>
      <w:vertAlign w:val="superscript"/>
    </w:rPr>
  </w:style>
  <w:style w:type="paragraph" w:customStyle="1" w:styleId="odluka-zakon">
    <w:name w:val="odluka-zakon"/>
    <w:basedOn w:val="Normal"/>
    <w:rsid w:val="009769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7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7E5CE-E1CC-4671-A0EA-E662003C1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1533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Katarina Milanovic</cp:lastModifiedBy>
  <cp:revision>17</cp:revision>
  <cp:lastPrinted>2018-09-10T06:55:00Z</cp:lastPrinted>
  <dcterms:created xsi:type="dcterms:W3CDTF">2019-03-01T11:56:00Z</dcterms:created>
  <dcterms:modified xsi:type="dcterms:W3CDTF">2019-04-08T11:48:00Z</dcterms:modified>
</cp:coreProperties>
</file>