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0467C266" w:rsidR="000E2036" w:rsidRPr="00645C8E" w:rsidRDefault="00D73460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645C8E">
        <w:rPr>
          <w:b/>
          <w:sz w:val="22"/>
          <w:szCs w:val="22"/>
          <w:lang w:val="sr-Cyrl-RS"/>
        </w:rPr>
        <w:t xml:space="preserve">ПОЈЕДНОСТАВЉЕЊЕ ПОСТУПКА ИЗДАВАЊА ОДОБРЕЊА ЗА ТРАНСПОРТ ЕКСПЛОЗИВНИХ МАТЕРИЈА У УНУТРАШЊЕМ ТРАНСПОРТУ </w:t>
      </w:r>
    </w:p>
    <w:p w14:paraId="2986C640" w14:textId="77777777" w:rsidR="0021261F" w:rsidRPr="00645C8E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230"/>
      </w:tblGrid>
      <w:tr w:rsidR="000E2036" w:rsidRPr="00645C8E" w14:paraId="1976FB87" w14:textId="77777777" w:rsidTr="00201546">
        <w:trPr>
          <w:trHeight w:val="888"/>
        </w:trPr>
        <w:tc>
          <w:tcPr>
            <w:tcW w:w="2830" w:type="dxa"/>
            <w:shd w:val="clear" w:color="auto" w:fill="DBE5F1" w:themeFill="accent1" w:themeFillTint="33"/>
            <w:vAlign w:val="center"/>
          </w:tcPr>
          <w:p w14:paraId="11F785D1" w14:textId="77777777" w:rsidR="000E2036" w:rsidRPr="00645C8E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230" w:type="dxa"/>
          </w:tcPr>
          <w:p w14:paraId="5FD56B01" w14:textId="7DE65D03" w:rsidR="000E2036" w:rsidRPr="00645C8E" w:rsidRDefault="00B92966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45C8E">
              <w:rPr>
                <w:sz w:val="22"/>
                <w:szCs w:val="22"/>
                <w:lang w:val="sr-Cyrl-RS"/>
              </w:rPr>
              <w:t>Одобрењe за транспорт експлозивних материја у унутрашњем транспорту</w:t>
            </w:r>
          </w:p>
        </w:tc>
      </w:tr>
      <w:tr w:rsidR="000E2036" w:rsidRPr="00645C8E" w14:paraId="7A6AA442" w14:textId="77777777" w:rsidTr="00201546">
        <w:trPr>
          <w:trHeight w:val="418"/>
        </w:trPr>
        <w:tc>
          <w:tcPr>
            <w:tcW w:w="2830" w:type="dxa"/>
            <w:shd w:val="clear" w:color="auto" w:fill="DBE5F1" w:themeFill="accent1" w:themeFillTint="33"/>
            <w:vAlign w:val="center"/>
          </w:tcPr>
          <w:p w14:paraId="049C2EAE" w14:textId="77777777" w:rsidR="000E2036" w:rsidRPr="00645C8E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230" w:type="dxa"/>
            <w:vAlign w:val="center"/>
          </w:tcPr>
          <w:p w14:paraId="76B78B5F" w14:textId="5CB00BAC" w:rsidR="000E2036" w:rsidRPr="00645C8E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645C8E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B92966" w:rsidRPr="00645C8E">
              <w:rPr>
                <w:bCs/>
                <w:color w:val="000000" w:themeColor="text1"/>
                <w:sz w:val="22"/>
                <w:szCs w:val="22"/>
                <w:lang w:val="en-GB"/>
              </w:rPr>
              <w:t>82</w:t>
            </w:r>
          </w:p>
        </w:tc>
      </w:tr>
      <w:tr w:rsidR="00275E2A" w:rsidRPr="00645C8E" w14:paraId="2CEE52A6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682C75C7" w14:textId="77777777" w:rsidR="00275E2A" w:rsidRPr="00645C8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645C8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230" w:type="dxa"/>
            <w:vAlign w:val="center"/>
          </w:tcPr>
          <w:p w14:paraId="5795E7E6" w14:textId="70564AC0" w:rsidR="00092B84" w:rsidRPr="00645C8E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45C8E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645C8E" w14:paraId="10DA1CD3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4DE579F4" w14:textId="77777777" w:rsidR="00275E2A" w:rsidRPr="00645C8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645C8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645C8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230" w:type="dxa"/>
            <w:vAlign w:val="center"/>
          </w:tcPr>
          <w:p w14:paraId="2CCB5DCC" w14:textId="05FBA954" w:rsidR="00645199" w:rsidRPr="00645C8E" w:rsidRDefault="00D033A9" w:rsidP="008C7506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транспорту опасне</w:t>
            </w:r>
            <w:r w:rsidR="008C7506"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робе („Сл. гласник РС“, бр. 104/2016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645C8E" w14:paraId="724CF23D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1A908998" w14:textId="55BF2242" w:rsidR="00D73918" w:rsidRPr="00645C8E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645C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645C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645C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645C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645C8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230" w:type="dxa"/>
            <w:vAlign w:val="center"/>
          </w:tcPr>
          <w:p w14:paraId="55CB4618" w14:textId="0792E02A" w:rsidR="00D73918" w:rsidRPr="00645C8E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пропис.</w:t>
            </w:r>
          </w:p>
        </w:tc>
      </w:tr>
      <w:tr w:rsidR="00275E2A" w:rsidRPr="00645C8E" w14:paraId="58812BCA" w14:textId="77777777" w:rsidTr="00201546">
        <w:tc>
          <w:tcPr>
            <w:tcW w:w="2830" w:type="dxa"/>
            <w:shd w:val="clear" w:color="auto" w:fill="DBE5F1" w:themeFill="accent1" w:themeFillTint="33"/>
            <w:vAlign w:val="center"/>
          </w:tcPr>
          <w:p w14:paraId="0CF6011B" w14:textId="0E1BBDD3" w:rsidR="00275E2A" w:rsidRPr="00645C8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645C8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230" w:type="dxa"/>
          </w:tcPr>
          <w:p w14:paraId="19A48B50" w14:textId="3EB0F0F8" w:rsidR="006A4C0F" w:rsidRPr="00645C8E" w:rsidRDefault="00113784" w:rsidP="009B0FD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394F92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645C8E" w14:paraId="539113B1" w14:textId="77777777" w:rsidTr="00201546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645C8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645C8E" w14:paraId="4635A4BE" w14:textId="77777777" w:rsidTr="00201546">
        <w:tc>
          <w:tcPr>
            <w:tcW w:w="9060" w:type="dxa"/>
            <w:gridSpan w:val="2"/>
          </w:tcPr>
          <w:p w14:paraId="4656E014" w14:textId="77777777" w:rsidR="009B0FDF" w:rsidRPr="00645C8E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документација</w:t>
            </w:r>
            <w:r w:rsidR="000C2ED5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привредни субјект подноси</w:t>
            </w:r>
            <w:r w:rsidRPr="00645C8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дужности. </w:t>
            </w:r>
          </w:p>
          <w:p w14:paraId="724839A9" w14:textId="5CB92896" w:rsidR="0009542A" w:rsidRPr="00645C8E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7971E968" w:rsidR="00DA68A8" w:rsidRPr="00645C8E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F26FC9"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645C8E" w14:paraId="31663FC5" w14:textId="77777777" w:rsidTr="0020154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645C8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645C8E" w14:paraId="7C9122B7" w14:textId="77777777" w:rsidTr="0020775E">
        <w:trPr>
          <w:trHeight w:val="1125"/>
        </w:trPr>
        <w:tc>
          <w:tcPr>
            <w:tcW w:w="9062" w:type="dxa"/>
            <w:shd w:val="clear" w:color="auto" w:fill="auto"/>
          </w:tcPr>
          <w:p w14:paraId="799352E9" w14:textId="7B14D98C" w:rsidR="00AC02D1" w:rsidRPr="00645C8E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645C8E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645C8E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645C8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645C8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645C8E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645C8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645C8E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645C8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645C8E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25193F53" w:rsidR="00CD47EC" w:rsidRPr="00645C8E" w:rsidRDefault="002E218A" w:rsidP="005F445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645C8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461A24" w:rsidRPr="00645C8E" w14:paraId="5A852DB0" w14:textId="77777777" w:rsidTr="00461A24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689EDC" w14:textId="6BF1F239" w:rsidR="00461A24" w:rsidRPr="00645C8E" w:rsidRDefault="00461A24" w:rsidP="000C2ED5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F44F5" w14:textId="77777777" w:rsidR="00461A24" w:rsidRPr="00645C8E" w:rsidRDefault="00461A24" w:rsidP="000C2E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0C2ED5" w:rsidRPr="00645C8E" w14:paraId="1D38390B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BB7722" w14:textId="3BE6628D" w:rsidR="000C2ED5" w:rsidRPr="00645C8E" w:rsidRDefault="000C2ED5" w:rsidP="000C2ED5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D63A4F" w14:textId="77777777" w:rsidR="000C2ED5" w:rsidRPr="00645C8E" w:rsidRDefault="000C2ED5" w:rsidP="000C2E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878BD7" w14:textId="105FA028" w:rsidR="000C2ED5" w:rsidRPr="00645C8E" w:rsidRDefault="000C2ED5" w:rsidP="000C2ED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0C9837" w14:textId="77777777" w:rsidR="000C2ED5" w:rsidRPr="00645C8E" w:rsidRDefault="000C2ED5" w:rsidP="000C2E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461A24" w:rsidRPr="00645C8E" w14:paraId="0ACAD99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2EF79D" w14:textId="40E7DB7C" w:rsidR="00461A24" w:rsidRPr="00645C8E" w:rsidRDefault="00461A24" w:rsidP="000C2ED5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5F4453" w:rsidRPr="00645C8E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DE1CD9" w14:textId="77777777" w:rsidR="00461A24" w:rsidRPr="00645C8E" w:rsidRDefault="00461A24" w:rsidP="000C2E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05905E" w14:textId="00DD95BB" w:rsidR="00461A24" w:rsidRPr="00645C8E" w:rsidRDefault="00461A24" w:rsidP="000C2ED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803055" w14:textId="77777777" w:rsidR="00461A24" w:rsidRPr="00645C8E" w:rsidRDefault="00461A24" w:rsidP="000C2ED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645C8E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79620910" w:rsidR="002E218A" w:rsidRPr="00645C8E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645C8E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645C8E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645C8E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645C8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645C8E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645C8E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645C8E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645C8E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645C8E" w14:paraId="72ECB386" w14:textId="77777777" w:rsidTr="00C23C32">
        <w:tc>
          <w:tcPr>
            <w:tcW w:w="9062" w:type="dxa"/>
          </w:tcPr>
          <w:p w14:paraId="3E637809" w14:textId="22AF5466" w:rsidR="00287AFC" w:rsidRPr="00645C8E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645C8E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645C8E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43903385" w:rsidR="0097696A" w:rsidRPr="00645C8E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645C8E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0993993" w14:textId="190EA070" w:rsidR="00B92966" w:rsidRPr="00645C8E" w:rsidRDefault="00B92966" w:rsidP="00B92966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3: Адр сертификат за возача  </w:t>
            </w:r>
          </w:p>
          <w:p w14:paraId="7142AC31" w14:textId="77777777" w:rsidR="00B92966" w:rsidRPr="00645C8E" w:rsidRDefault="00B92966" w:rsidP="00B92966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од </w:t>
            </w:r>
            <w:r w:rsidRPr="00645C8E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Министарства надлежног за послове саобраћаја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25D4D44E" w14:textId="77777777" w:rsidR="00B92966" w:rsidRPr="00645C8E" w:rsidRDefault="00B92966" w:rsidP="00B92966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645C8E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1"/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70E17B97" w14:textId="77777777" w:rsidR="00B92966" w:rsidRPr="00645C8E" w:rsidRDefault="00B92966" w:rsidP="00B92966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буде обезбедило приступ бази) или</w:t>
            </w:r>
          </w:p>
          <w:p w14:paraId="154F4618" w14:textId="77777777" w:rsidR="00B92966" w:rsidRPr="00645C8E" w:rsidRDefault="00B92966" w:rsidP="00B92966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645C8E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1D40D279" w14:textId="77777777" w:rsidR="00B92966" w:rsidRPr="00645C8E" w:rsidRDefault="00B92966" w:rsidP="00B92966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5AD737EF" w14:textId="77777777" w:rsidR="00B92966" w:rsidRPr="00645C8E" w:rsidRDefault="00B92966" w:rsidP="00B92966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(име и презие возача, бр. и датум издавања АДР сертификата и сл.)</w:t>
            </w:r>
          </w:p>
          <w:p w14:paraId="6DEDF0B2" w14:textId="05705FED" w:rsidR="00833F48" w:rsidRPr="00645C8E" w:rsidRDefault="00833F48" w:rsidP="008A20C1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B92966"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5</w:t>
            </w:r>
            <w:r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B92966"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Одобрење за набавку експлозивних материја</w:t>
            </w:r>
          </w:p>
          <w:p w14:paraId="62122F6A" w14:textId="53624039" w:rsidR="00B92966" w:rsidRPr="00645C8E" w:rsidRDefault="00B92966" w:rsidP="00B92966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45C8E">
              <w:rPr>
                <w:sz w:val="22"/>
                <w:szCs w:val="22"/>
                <w:lang w:val="sr-Cyrl-RS"/>
              </w:rPr>
              <w:t xml:space="preserve">Како овај документ издаје МУП, </w:t>
            </w:r>
            <w:r w:rsidRPr="00645C8E">
              <w:rPr>
                <w:rFonts w:eastAsiaTheme="minorHAnsi"/>
                <w:sz w:val="22"/>
                <w:szCs w:val="22"/>
                <w:lang w:val="sr-Cyrl-RS"/>
              </w:rPr>
              <w:t>месно надлежна орг.јединица Сектора по месту складиштења или употребе</w:t>
            </w:r>
            <w:r w:rsidRPr="00645C8E">
              <w:rPr>
                <w:sz w:val="22"/>
                <w:szCs w:val="22"/>
                <w:lang w:val="sr-Cyrl-RS"/>
              </w:rPr>
              <w:t xml:space="preserve">, предлаже се елиминација његовог подношења, с обзиром на чињеницу да се може обавити увид у интерне евиденције Министарства о издатим одобрењима. </w:t>
            </w:r>
          </w:p>
          <w:p w14:paraId="6EB1EC0B" w14:textId="71161D99" w:rsidR="00B92966" w:rsidRPr="00645C8E" w:rsidRDefault="00B92966" w:rsidP="00B92966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одобрења </w:t>
            </w:r>
            <w:r w:rsidRPr="00645C8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 набавку експлозивних материја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 сл.).</w:t>
            </w:r>
          </w:p>
          <w:p w14:paraId="1D7B3312" w14:textId="26018D47" w:rsidR="00B147AC" w:rsidRPr="00645C8E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645C8E">
              <w:rPr>
                <w:rFonts w:eastAsia="Calibri"/>
                <w:b/>
                <w:sz w:val="22"/>
                <w:szCs w:val="22"/>
                <w:lang w:val="sr-Cyrl-RS"/>
              </w:rPr>
              <w:lastRenderedPageBreak/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645C8E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0C57C1CA" w14:textId="77777777" w:rsidR="005F4453" w:rsidRPr="00645C8E" w:rsidRDefault="005F4453" w:rsidP="005F445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45C8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645C8E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>административног захтева</w:t>
            </w:r>
          </w:p>
          <w:p w14:paraId="5689ED3C" w14:textId="77777777" w:rsidR="005F4453" w:rsidRPr="00645C8E" w:rsidRDefault="005F4453" w:rsidP="005F4453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030BA8AA" w:rsidR="00DA68A8" w:rsidRPr="00645C8E" w:rsidRDefault="00833F48" w:rsidP="005F4453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645C8E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645C8E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645C8E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645C8E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645C8E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1CCB9F2" w14:textId="77777777" w:rsidR="00645C8E" w:rsidRPr="00645C8E" w:rsidRDefault="00645C8E" w:rsidP="00645C8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6064DD0" w14:textId="77777777" w:rsidR="00645C8E" w:rsidRPr="00645C8E" w:rsidRDefault="00645C8E" w:rsidP="00645C8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AE3D053" w14:textId="77777777" w:rsidR="00645C8E" w:rsidRPr="00645C8E" w:rsidRDefault="00645C8E" w:rsidP="00645C8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0BBB6A0" w14:textId="77777777" w:rsidR="00645C8E" w:rsidRPr="00645C8E" w:rsidRDefault="00645C8E" w:rsidP="00645C8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1C59F3FD" w14:textId="03A0A40B" w:rsidR="00645C8E" w:rsidRPr="00645C8E" w:rsidRDefault="00645C8E" w:rsidP="00645C8E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име и прези</w:t>
            </w:r>
            <w:r w:rsidR="00E5102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м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е возача, бр. и датум издавања АДР сертификата, бр. и датум издавања одобрења за набавку експлозивних материја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1F1FEE9" w14:textId="77777777" w:rsidR="00645C8E" w:rsidRPr="00645C8E" w:rsidRDefault="00645C8E" w:rsidP="00645C8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BCD0DDA" w14:textId="77777777" w:rsidR="00645C8E" w:rsidRPr="00645C8E" w:rsidRDefault="00645C8E" w:rsidP="00645C8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49962E7" w14:textId="77777777" w:rsidR="00645C8E" w:rsidRPr="00645C8E" w:rsidRDefault="00645C8E" w:rsidP="00645C8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0B73F164" w14:textId="77777777" w:rsidR="00645C8E" w:rsidRPr="00645C8E" w:rsidRDefault="00645C8E" w:rsidP="00645C8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A004904" w14:textId="77777777" w:rsidR="00645C8E" w:rsidRPr="00645C8E" w:rsidRDefault="00645C8E" w:rsidP="00645C8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77FE076D" w14:textId="77777777" w:rsidR="00645C8E" w:rsidRPr="00645C8E" w:rsidRDefault="00645C8E" w:rsidP="00645C8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76FCCDE" w14:textId="77777777" w:rsidR="00645C8E" w:rsidRPr="00645C8E" w:rsidRDefault="00645C8E" w:rsidP="00645C8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7134C9F" w14:textId="77777777" w:rsidR="00645C8E" w:rsidRPr="00645C8E" w:rsidRDefault="00645C8E" w:rsidP="00645C8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A6F3FC9" w14:textId="77777777" w:rsidR="00645C8E" w:rsidRPr="00645C8E" w:rsidRDefault="00645C8E" w:rsidP="00645C8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8EEDB90" w14:textId="77777777" w:rsidR="00645C8E" w:rsidRPr="00645C8E" w:rsidRDefault="00645C8E" w:rsidP="00645C8E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E69D91C" w14:textId="77777777" w:rsidR="00645C8E" w:rsidRPr="00645C8E" w:rsidRDefault="00645C8E" w:rsidP="00645C8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DBAF10B" w14:textId="77777777" w:rsidR="00645C8E" w:rsidRPr="00645C8E" w:rsidRDefault="00645C8E" w:rsidP="00645C8E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7BE2629" w14:textId="77777777" w:rsidR="00645C8E" w:rsidRPr="00645C8E" w:rsidRDefault="00645C8E" w:rsidP="00645C8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4CAD3C8" w14:textId="77777777" w:rsidR="00645C8E" w:rsidRPr="00645C8E" w:rsidRDefault="00645C8E" w:rsidP="00645C8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2B4DD0" w14:textId="77777777" w:rsidR="00645C8E" w:rsidRPr="00645C8E" w:rsidRDefault="00645C8E" w:rsidP="00645C8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Уз образац захтева стоји и писмeна информација о:</w:t>
            </w:r>
          </w:p>
          <w:p w14:paraId="4C54FA35" w14:textId="77777777" w:rsidR="00645C8E" w:rsidRPr="00645C8E" w:rsidRDefault="00645C8E" w:rsidP="00645C8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0F8E54" w14:textId="77777777" w:rsidR="00645C8E" w:rsidRPr="00645C8E" w:rsidRDefault="00645C8E" w:rsidP="00645C8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6D42CDE" w14:textId="77777777" w:rsidR="00645C8E" w:rsidRPr="00645C8E" w:rsidRDefault="00645C8E" w:rsidP="00645C8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4CA2056" w14:textId="77777777" w:rsidR="00645C8E" w:rsidRPr="00645C8E" w:rsidRDefault="00645C8E" w:rsidP="00645C8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594734FE" w14:textId="77777777" w:rsidR="00645C8E" w:rsidRPr="00645C8E" w:rsidRDefault="00645C8E" w:rsidP="00645C8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BC8E57E" w14:textId="77777777" w:rsidR="00645C8E" w:rsidRPr="00645C8E" w:rsidRDefault="00645C8E" w:rsidP="00645C8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518D7DC" w14:textId="77777777" w:rsidR="00645C8E" w:rsidRPr="00645C8E" w:rsidRDefault="00645C8E" w:rsidP="00645C8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51DD888" w14:textId="77777777" w:rsidR="00645C8E" w:rsidRPr="00645C8E" w:rsidRDefault="00645C8E" w:rsidP="00645C8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508A96F" w14:textId="77777777" w:rsidR="00645C8E" w:rsidRPr="00645C8E" w:rsidRDefault="00645C8E" w:rsidP="00645C8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645C8E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645C8E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645C8E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7F679DD3" w14:textId="77777777" w:rsidR="001C3E41" w:rsidRPr="00645C8E" w:rsidRDefault="001C3E41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4C19138" w14:textId="77777777" w:rsidR="000C2ED5" w:rsidRPr="00645C8E" w:rsidRDefault="000C2ED5" w:rsidP="000C2ED5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645C8E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60ECDE25" w14:textId="77777777" w:rsidR="000C2ED5" w:rsidRPr="00645C8E" w:rsidRDefault="000C2ED5" w:rsidP="000C2ED5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A13123F" w14:textId="77777777" w:rsidR="000C2ED5" w:rsidRPr="00645C8E" w:rsidRDefault="000C2ED5" w:rsidP="000C2ED5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645C8E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48AFEECD" w14:textId="77777777" w:rsidR="000C2ED5" w:rsidRPr="00645C8E" w:rsidRDefault="000C2ED5" w:rsidP="000C2ED5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20690850" w14:textId="09CC8A42" w:rsidR="000C2ED5" w:rsidRPr="00645C8E" w:rsidRDefault="000C2ED5" w:rsidP="000C2ED5">
            <w:pPr>
              <w:pStyle w:val="NormalWeb"/>
              <w:numPr>
                <w:ilvl w:val="0"/>
                <w:numId w:val="43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 xml:space="preserve">Документ 1: Захтев </w:t>
            </w:r>
          </w:p>
          <w:p w14:paraId="7870B6BB" w14:textId="40DBA3E5" w:rsidR="000C2ED5" w:rsidRPr="00645C8E" w:rsidRDefault="000C2ED5" w:rsidP="000C2ED5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645C8E">
              <w:rPr>
                <w:sz w:val="22"/>
                <w:szCs w:val="22"/>
                <w:lang w:val="sr-Cyrl-RS"/>
              </w:rPr>
              <w:t xml:space="preserve">Како се захтев за транспорт експлозивних материја у унутрашњем транспорту подноси у слободној форми, те како је дата препорука да се за захтев уведе 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171F23B0" w14:textId="7B961B91" w:rsidR="000C2ED5" w:rsidRPr="00645C8E" w:rsidRDefault="000C2ED5" w:rsidP="000C2ED5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645C8E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645C8E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645C8E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48AC7D84" w14:textId="77777777" w:rsidR="00381648" w:rsidRPr="00645C8E" w:rsidRDefault="00381648" w:rsidP="000C2ED5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2DE07B22" w14:textId="715236BB" w:rsidR="00461A24" w:rsidRPr="00645C8E" w:rsidRDefault="00461A24" w:rsidP="00461A2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645C8E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5F4453" w:rsidRPr="00645C8E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17E08D43" w14:textId="6A9FECF1" w:rsidR="00461A24" w:rsidRPr="00645C8E" w:rsidRDefault="00461A24" w:rsidP="00461A24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•</w:t>
            </w:r>
            <w:r w:rsidRPr="00645C8E">
              <w:rPr>
                <w:b/>
                <w:sz w:val="22"/>
                <w:szCs w:val="22"/>
                <w:lang w:val="sr-Cyrl-RS"/>
              </w:rPr>
              <w:tab/>
              <w:t>Документ 4 и 6: Доказ о уплати републичкe административнe таксe за захтев и решење</w:t>
            </w:r>
          </w:p>
          <w:p w14:paraId="0A32D695" w14:textId="021BEE34" w:rsidR="00675452" w:rsidRPr="00645C8E" w:rsidRDefault="00675452" w:rsidP="00675452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495977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5B5ED198" w14:textId="5FA64423" w:rsidR="00675452" w:rsidRPr="00645C8E" w:rsidRDefault="00675452" w:rsidP="00675452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645C8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F9B8849" w14:textId="77777777" w:rsidR="00675452" w:rsidRPr="00645C8E" w:rsidRDefault="00675452" w:rsidP="006754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</w:rPr>
              <w:t>K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645C8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645C8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6CC85114" w14:textId="77777777" w:rsidR="00675452" w:rsidRPr="00645C8E" w:rsidRDefault="00675452" w:rsidP="00675452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BDB5012" w14:textId="77777777" w:rsidR="00675452" w:rsidRPr="00645C8E" w:rsidRDefault="00675452" w:rsidP="006754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79B9A49" w14:textId="77777777" w:rsidR="00675452" w:rsidRPr="00645C8E" w:rsidRDefault="00675452" w:rsidP="00675452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77A8A87" w14:textId="77777777" w:rsidR="00675452" w:rsidRPr="00645C8E" w:rsidRDefault="00675452" w:rsidP="00675452">
            <w:pPr>
              <w:pStyle w:val="ListParagraph"/>
              <w:numPr>
                <w:ilvl w:val="0"/>
                <w:numId w:val="44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33215D19" w14:textId="77777777" w:rsidR="00675452" w:rsidRPr="00645C8E" w:rsidRDefault="00675452" w:rsidP="00675452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890E7D5" w14:textId="77777777" w:rsidR="00BD32C6" w:rsidRPr="00645C8E" w:rsidRDefault="00675452" w:rsidP="00675452">
            <w:pPr>
              <w:pStyle w:val="ListParagraph"/>
              <w:numPr>
                <w:ilvl w:val="0"/>
                <w:numId w:val="44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269A8E92" w14:textId="77777777" w:rsidR="00BD32C6" w:rsidRPr="00645C8E" w:rsidRDefault="00BD32C6" w:rsidP="00BD32C6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3164FB" w14:textId="56267D56" w:rsidR="00BD32C6" w:rsidRPr="00645C8E" w:rsidRDefault="00675452" w:rsidP="00BD32C6">
            <w:pPr>
              <w:pStyle w:val="ListParagraph"/>
              <w:numPr>
                <w:ilvl w:val="0"/>
                <w:numId w:val="44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D32C6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495977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BD32C6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0D55526E" w14:textId="797DA4C2" w:rsidR="00675452" w:rsidRPr="00645C8E" w:rsidRDefault="00BD32C6" w:rsidP="00BD32C6">
            <w:pPr>
              <w:tabs>
                <w:tab w:val="left" w:pos="300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</w:r>
          </w:p>
          <w:p w14:paraId="1D480F51" w14:textId="77777777" w:rsidR="00675452" w:rsidRPr="00645C8E" w:rsidRDefault="00675452" w:rsidP="006754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70806998" w14:textId="77777777" w:rsidR="00675452" w:rsidRPr="00645C8E" w:rsidRDefault="00675452" w:rsidP="00461A2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F99426F" w14:textId="77777777" w:rsidR="00461A24" w:rsidRPr="00645C8E" w:rsidRDefault="00461A24" w:rsidP="00461A2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ED8FA72" w14:textId="77777777" w:rsidR="00833F48" w:rsidRPr="00645C8E" w:rsidRDefault="00833F48" w:rsidP="001C3E41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2A71C4F" w14:textId="77777777" w:rsidR="004E30D7" w:rsidRPr="00645C8E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45C8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645C8E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DEC725F" w14:textId="45B12C6A" w:rsidR="00CB5A92" w:rsidRPr="00645C8E" w:rsidRDefault="004E30D7" w:rsidP="00EE5F61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645C8E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645C8E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645C8E">
              <w:rPr>
                <w:b/>
                <w:sz w:val="22"/>
                <w:szCs w:val="22"/>
                <w:lang w:val="sr-Cyrl-RS"/>
              </w:rPr>
              <w:t>У</w:t>
            </w:r>
            <w:r w:rsidRPr="00645C8E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645C8E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45C8E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645C8E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645C8E" w14:paraId="243310FD" w14:textId="77777777" w:rsidTr="00275E2A">
        <w:tc>
          <w:tcPr>
            <w:tcW w:w="9062" w:type="dxa"/>
          </w:tcPr>
          <w:p w14:paraId="4CCCD68A" w14:textId="77777777" w:rsidR="007940D6" w:rsidRPr="00645C8E" w:rsidRDefault="007940D6" w:rsidP="001A6472">
            <w:pPr>
              <w:spacing w:after="120"/>
              <w:rPr>
                <w:rFonts w:ascii="Times New Roman" w:hAnsi="Times New Roman"/>
                <w:sz w:val="22"/>
                <w:szCs w:val="22"/>
                <w:lang w:val="sr-Latn-RS"/>
              </w:rPr>
            </w:pPr>
          </w:p>
          <w:p w14:paraId="27603951" w14:textId="77777777" w:rsidR="00EE5F61" w:rsidRPr="00645C8E" w:rsidRDefault="00EE5F61" w:rsidP="00EE5F61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6F4A5C" w:rsidRPr="00645C8E" w:rsidRDefault="006F4A5C" w:rsidP="001A6472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632540" w:rsidRPr="00645C8E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645C8E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32540" w:rsidRPr="00645C8E" w14:paraId="585359C0" w14:textId="77777777" w:rsidTr="000B54D7">
        <w:trPr>
          <w:trHeight w:val="708"/>
        </w:trPr>
        <w:tc>
          <w:tcPr>
            <w:tcW w:w="9062" w:type="dxa"/>
          </w:tcPr>
          <w:p w14:paraId="68B1B765" w14:textId="77777777" w:rsidR="003651DB" w:rsidRPr="00645C8E" w:rsidRDefault="003651DB" w:rsidP="003651DB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</w:p>
          <w:p w14:paraId="264DD8A7" w14:textId="37F615F0" w:rsidR="003651DB" w:rsidRPr="00645C8E" w:rsidRDefault="004E29D1" w:rsidP="00EE5F6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 xml:space="preserve"> </w:t>
            </w:r>
            <w:r w:rsidR="00EE5F61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632540" w:rsidRPr="00645C8E" w:rsidRDefault="00632540" w:rsidP="002A202F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32540" w:rsidRPr="00645C8E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645C8E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45C8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32540" w:rsidRPr="00645C8E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103C3123" w14:textId="683A5AF9" w:rsidR="005F7D38" w:rsidRPr="00645C8E" w:rsidRDefault="005F7D38" w:rsidP="00A03DE8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19.788.115,38 РСД. Усвајање и примена препорука ће донети привредним субјектима годишње директне уштеде од 1.660.038,8 РСД или 13.649,18 ЕУР. Ове уштеде износе 8,39% укупних директних трошкова привредних субјеката у поступку.</w:t>
            </w:r>
          </w:p>
          <w:p w14:paraId="7035B932" w14:textId="77777777" w:rsidR="005F7D38" w:rsidRPr="00645C8E" w:rsidRDefault="005F7D38" w:rsidP="00A03DE8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08B03A1" w14:textId="77777777" w:rsidR="00A94C1B" w:rsidRPr="00645C8E" w:rsidRDefault="005F7D38" w:rsidP="00A03DE8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3D61E2"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645C8E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  <w:p w14:paraId="4693263A" w14:textId="37847BB8" w:rsidR="003D61E2" w:rsidRPr="00645C8E" w:rsidRDefault="003D61E2" w:rsidP="00A03DE8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316DC6AF" w14:textId="77777777" w:rsidR="003E3C16" w:rsidRPr="00645C8E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645C8E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  <w:bookmarkStart w:id="0" w:name="_GoBack"/>
      <w:bookmarkEnd w:id="0"/>
    </w:p>
    <w:sectPr w:rsidR="008629CC" w:rsidRPr="00645C8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38261" w14:textId="77777777" w:rsidR="003A786A" w:rsidRDefault="003A786A" w:rsidP="002A202F">
      <w:r>
        <w:separator/>
      </w:r>
    </w:p>
  </w:endnote>
  <w:endnote w:type="continuationSeparator" w:id="0">
    <w:p w14:paraId="2B407D94" w14:textId="77777777" w:rsidR="003A786A" w:rsidRDefault="003A786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CC1E5A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C8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05233" w14:textId="77777777" w:rsidR="003A786A" w:rsidRDefault="003A786A" w:rsidP="002A202F">
      <w:r>
        <w:separator/>
      </w:r>
    </w:p>
  </w:footnote>
  <w:footnote w:type="continuationSeparator" w:id="0">
    <w:p w14:paraId="5BE7AD6B" w14:textId="77777777" w:rsidR="003A786A" w:rsidRDefault="003A786A" w:rsidP="002A202F">
      <w:r>
        <w:continuationSeparator/>
      </w:r>
    </w:p>
  </w:footnote>
  <w:footnote w:id="1">
    <w:p w14:paraId="0D89ACB6" w14:textId="3E3BDD4E" w:rsidR="00B92966" w:rsidRPr="00924C4E" w:rsidRDefault="00B92966" w:rsidP="00B92966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Уредбе о прибављању и уступању података о чињеницама о којима се води службена евиденција (</w:t>
      </w:r>
      <w:r w:rsidR="00DF6016" w:rsidRPr="00DF6016">
        <w:rPr>
          <w:i/>
          <w:iCs/>
          <w:sz w:val="18"/>
          <w:szCs w:val="18"/>
        </w:rPr>
        <w:fldChar w:fldCharType="begin"/>
      </w:r>
      <w:r w:rsidR="00DF6016" w:rsidRPr="00DF6016">
        <w:rPr>
          <w:i/>
          <w:iCs/>
          <w:sz w:val="18"/>
          <w:szCs w:val="18"/>
          <w:lang w:val="sr-Cyrl-RS"/>
        </w:rPr>
        <w:instrText xml:space="preserve"> </w:instrText>
      </w:r>
      <w:r w:rsidR="00DF6016" w:rsidRPr="00DF6016">
        <w:rPr>
          <w:i/>
          <w:iCs/>
          <w:sz w:val="18"/>
          <w:szCs w:val="18"/>
        </w:rPr>
        <w:instrText>HYPERLINK</w:instrText>
      </w:r>
      <w:r w:rsidR="00DF6016" w:rsidRPr="00DF6016">
        <w:rPr>
          <w:i/>
          <w:iCs/>
          <w:sz w:val="18"/>
          <w:szCs w:val="18"/>
          <w:lang w:val="sr-Cyrl-RS"/>
        </w:rPr>
        <w:instrText xml:space="preserve"> "</w:instrText>
      </w:r>
      <w:r w:rsidR="00DF6016" w:rsidRPr="00DF6016">
        <w:rPr>
          <w:i/>
          <w:iCs/>
          <w:sz w:val="18"/>
          <w:szCs w:val="18"/>
        </w:rPr>
        <w:instrText>http</w:instrText>
      </w:r>
      <w:r w:rsidR="00DF6016" w:rsidRPr="00DF6016">
        <w:rPr>
          <w:i/>
          <w:iCs/>
          <w:sz w:val="18"/>
          <w:szCs w:val="18"/>
          <w:lang w:val="sr-Cyrl-RS"/>
        </w:rPr>
        <w:instrText>://</w:instrText>
      </w:r>
      <w:r w:rsidR="00DF6016" w:rsidRPr="00DF6016">
        <w:rPr>
          <w:i/>
          <w:iCs/>
          <w:sz w:val="18"/>
          <w:szCs w:val="18"/>
        </w:rPr>
        <w:instrText>mduls</w:instrText>
      </w:r>
      <w:r w:rsidR="00DF6016" w:rsidRPr="00DF6016">
        <w:rPr>
          <w:i/>
          <w:iCs/>
          <w:sz w:val="18"/>
          <w:szCs w:val="18"/>
          <w:lang w:val="sr-Cyrl-RS"/>
        </w:rPr>
        <w:instrText>.</w:instrText>
      </w:r>
      <w:r w:rsidR="00DF6016" w:rsidRPr="00DF6016">
        <w:rPr>
          <w:i/>
          <w:iCs/>
          <w:sz w:val="18"/>
          <w:szCs w:val="18"/>
        </w:rPr>
        <w:instrText>gov</w:instrText>
      </w:r>
      <w:r w:rsidR="00DF6016" w:rsidRPr="00DF6016">
        <w:rPr>
          <w:i/>
          <w:iCs/>
          <w:sz w:val="18"/>
          <w:szCs w:val="18"/>
          <w:lang w:val="sr-Cyrl-RS"/>
        </w:rPr>
        <w:instrText>.</w:instrText>
      </w:r>
      <w:r w:rsidR="00DF6016" w:rsidRPr="00DF6016">
        <w:rPr>
          <w:i/>
          <w:iCs/>
          <w:sz w:val="18"/>
          <w:szCs w:val="18"/>
        </w:rPr>
        <w:instrText>rs</w:instrText>
      </w:r>
      <w:r w:rsidR="00DF6016" w:rsidRPr="00DF6016">
        <w:rPr>
          <w:i/>
          <w:iCs/>
          <w:sz w:val="18"/>
          <w:szCs w:val="18"/>
          <w:lang w:val="sr-Cyrl-RS"/>
        </w:rPr>
        <w:instrText>/</w:instrText>
      </w:r>
      <w:r w:rsidR="00DF6016" w:rsidRPr="00DF6016">
        <w:rPr>
          <w:i/>
          <w:iCs/>
          <w:sz w:val="18"/>
          <w:szCs w:val="18"/>
        </w:rPr>
        <w:instrText>reforma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javne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uprave</w:instrText>
      </w:r>
      <w:r w:rsidR="00DF6016" w:rsidRPr="00DF6016">
        <w:rPr>
          <w:i/>
          <w:iCs/>
          <w:sz w:val="18"/>
          <w:szCs w:val="18"/>
          <w:lang w:val="sr-Cyrl-RS"/>
        </w:rPr>
        <w:instrText>/</w:instrText>
      </w:r>
      <w:r w:rsidR="00DF6016" w:rsidRPr="00DF6016">
        <w:rPr>
          <w:i/>
          <w:iCs/>
          <w:sz w:val="18"/>
          <w:szCs w:val="18"/>
        </w:rPr>
        <w:instrText>reforma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upravnog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postupka</w:instrText>
      </w:r>
      <w:r w:rsidR="00DF6016" w:rsidRPr="00DF6016">
        <w:rPr>
          <w:i/>
          <w:iCs/>
          <w:sz w:val="18"/>
          <w:szCs w:val="18"/>
          <w:lang w:val="sr-Cyrl-RS"/>
        </w:rPr>
        <w:instrText>/</w:instrText>
      </w:r>
      <w:r w:rsidR="00DF6016" w:rsidRPr="00DF6016">
        <w:rPr>
          <w:i/>
          <w:iCs/>
          <w:sz w:val="18"/>
          <w:szCs w:val="18"/>
        </w:rPr>
        <w:instrText>podrska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zaposlenima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u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koriscenju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ezup</w:instrText>
      </w:r>
      <w:r w:rsidR="00DF6016" w:rsidRPr="00DF6016">
        <w:rPr>
          <w:i/>
          <w:iCs/>
          <w:sz w:val="18"/>
          <w:szCs w:val="18"/>
          <w:lang w:val="sr-Cyrl-RS"/>
        </w:rPr>
        <w:instrText>-</w:instrText>
      </w:r>
      <w:r w:rsidR="00DF6016" w:rsidRPr="00DF6016">
        <w:rPr>
          <w:i/>
          <w:iCs/>
          <w:sz w:val="18"/>
          <w:szCs w:val="18"/>
        </w:rPr>
        <w:instrText>a</w:instrText>
      </w:r>
      <w:r w:rsidR="00DF6016" w:rsidRPr="00DF6016">
        <w:rPr>
          <w:i/>
          <w:iCs/>
          <w:sz w:val="18"/>
          <w:szCs w:val="18"/>
          <w:lang w:val="sr-Cyrl-RS"/>
        </w:rPr>
        <w:instrText>/" \</w:instrText>
      </w:r>
      <w:r w:rsidR="00DF6016" w:rsidRPr="00DF6016">
        <w:rPr>
          <w:i/>
          <w:iCs/>
          <w:sz w:val="18"/>
          <w:szCs w:val="18"/>
        </w:rPr>
        <w:instrText>t</w:instrText>
      </w:r>
      <w:r w:rsidR="00DF6016" w:rsidRPr="00DF6016">
        <w:rPr>
          <w:i/>
          <w:iCs/>
          <w:sz w:val="18"/>
          <w:szCs w:val="18"/>
          <w:lang w:val="sr-Cyrl-RS"/>
        </w:rPr>
        <w:instrText xml:space="preserve"> "_</w:instrText>
      </w:r>
      <w:r w:rsidR="00DF6016" w:rsidRPr="00DF6016">
        <w:rPr>
          <w:i/>
          <w:iCs/>
          <w:sz w:val="18"/>
          <w:szCs w:val="18"/>
        </w:rPr>
        <w:instrText>blank</w:instrText>
      </w:r>
      <w:r w:rsidR="00DF6016" w:rsidRPr="00DF6016">
        <w:rPr>
          <w:i/>
          <w:iCs/>
          <w:sz w:val="18"/>
          <w:szCs w:val="18"/>
          <w:lang w:val="sr-Cyrl-RS"/>
        </w:rPr>
        <w:instrText xml:space="preserve">" </w:instrText>
      </w:r>
      <w:r w:rsidR="00DF6016" w:rsidRPr="00DF6016">
        <w:rPr>
          <w:i/>
          <w:iCs/>
          <w:sz w:val="18"/>
          <w:szCs w:val="18"/>
        </w:rPr>
        <w:fldChar w:fldCharType="separate"/>
      </w:r>
      <w:r w:rsidR="00DF6016" w:rsidRPr="00DF6016">
        <w:rPr>
          <w:rStyle w:val="Hyperlink"/>
          <w:i/>
          <w:iCs/>
          <w:sz w:val="18"/>
          <w:szCs w:val="18"/>
        </w:rPr>
        <w:t>http</w:t>
      </w:r>
      <w:r w:rsidR="00DF6016" w:rsidRPr="00DF6016">
        <w:rPr>
          <w:rStyle w:val="Hyperlink"/>
          <w:i/>
          <w:iCs/>
          <w:sz w:val="18"/>
          <w:szCs w:val="18"/>
          <w:lang w:val="sr-Cyrl-RS"/>
        </w:rPr>
        <w:t>://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mduls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.</w:t>
      </w:r>
      <w:r w:rsidR="00DF6016" w:rsidRPr="00DF6016">
        <w:rPr>
          <w:rStyle w:val="Hyperlink"/>
          <w:i/>
          <w:iCs/>
          <w:sz w:val="18"/>
          <w:szCs w:val="18"/>
        </w:rPr>
        <w:t>gov</w:t>
      </w:r>
      <w:r w:rsidR="00DF6016" w:rsidRPr="00DF6016">
        <w:rPr>
          <w:rStyle w:val="Hyperlink"/>
          <w:i/>
          <w:iCs/>
          <w:sz w:val="18"/>
          <w:szCs w:val="18"/>
          <w:lang w:val="sr-Cyrl-RS"/>
        </w:rPr>
        <w:t>.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rs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reforma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javne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uprave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reforma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upravnog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postupka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podrska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zaposlenima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r w:rsidR="00DF6016" w:rsidRPr="00DF6016">
        <w:rPr>
          <w:rStyle w:val="Hyperlink"/>
          <w:i/>
          <w:iCs/>
          <w:sz w:val="18"/>
          <w:szCs w:val="18"/>
        </w:rPr>
        <w:t>u</w:t>
      </w:r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koriscenju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DF6016" w:rsidRPr="00DF6016">
        <w:rPr>
          <w:rStyle w:val="Hyperlink"/>
          <w:i/>
          <w:iCs/>
          <w:sz w:val="18"/>
          <w:szCs w:val="18"/>
        </w:rPr>
        <w:t>ezup</w:t>
      </w:r>
      <w:proofErr w:type="spellEnd"/>
      <w:r w:rsidR="00DF6016" w:rsidRPr="00DF6016">
        <w:rPr>
          <w:rStyle w:val="Hyperlink"/>
          <w:i/>
          <w:iCs/>
          <w:sz w:val="18"/>
          <w:szCs w:val="18"/>
          <w:lang w:val="sr-Cyrl-RS"/>
        </w:rPr>
        <w:t>-</w:t>
      </w:r>
      <w:r w:rsidR="00DF6016" w:rsidRPr="00DF6016">
        <w:rPr>
          <w:rStyle w:val="Hyperlink"/>
          <w:i/>
          <w:iCs/>
          <w:sz w:val="18"/>
          <w:szCs w:val="18"/>
        </w:rPr>
        <w:t>a</w:t>
      </w:r>
      <w:r w:rsidR="00DF6016" w:rsidRPr="00DF6016">
        <w:rPr>
          <w:rStyle w:val="Hyperlink"/>
          <w:i/>
          <w:iCs/>
          <w:sz w:val="18"/>
          <w:szCs w:val="18"/>
          <w:lang w:val="sr-Cyrl-RS"/>
        </w:rPr>
        <w:t>/</w:t>
      </w:r>
      <w:r w:rsidR="00DF6016" w:rsidRPr="00DF6016">
        <w:rPr>
          <w:i/>
          <w:sz w:val="18"/>
          <w:szCs w:val="18"/>
          <w:lang w:val="sr-Cyrl-RS"/>
        </w:rPr>
        <w:fldChar w:fldCharType="end"/>
      </w:r>
      <w:r w:rsidRPr="004C1E43">
        <w:rPr>
          <w:i/>
          <w:sz w:val="18"/>
          <w:szCs w:val="18"/>
          <w:lang w:val="sr-Cyrl-RS"/>
        </w:rPr>
        <w:t>).</w:t>
      </w:r>
    </w:p>
    <w:p w14:paraId="75B37045" w14:textId="77777777" w:rsidR="00B92966" w:rsidRPr="00924C4E" w:rsidRDefault="00B92966" w:rsidP="00B92966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4"/>
  </w:num>
  <w:num w:numId="4">
    <w:abstractNumId w:val="12"/>
  </w:num>
  <w:num w:numId="5">
    <w:abstractNumId w:val="7"/>
  </w:num>
  <w:num w:numId="6">
    <w:abstractNumId w:val="23"/>
  </w:num>
  <w:num w:numId="7">
    <w:abstractNumId w:val="41"/>
  </w:num>
  <w:num w:numId="8">
    <w:abstractNumId w:val="20"/>
  </w:num>
  <w:num w:numId="9">
    <w:abstractNumId w:val="36"/>
  </w:num>
  <w:num w:numId="10">
    <w:abstractNumId w:val="32"/>
  </w:num>
  <w:num w:numId="11">
    <w:abstractNumId w:val="31"/>
  </w:num>
  <w:num w:numId="12">
    <w:abstractNumId w:val="29"/>
  </w:num>
  <w:num w:numId="13">
    <w:abstractNumId w:val="26"/>
  </w:num>
  <w:num w:numId="14">
    <w:abstractNumId w:val="33"/>
  </w:num>
  <w:num w:numId="15">
    <w:abstractNumId w:val="28"/>
  </w:num>
  <w:num w:numId="16">
    <w:abstractNumId w:val="22"/>
  </w:num>
  <w:num w:numId="17">
    <w:abstractNumId w:val="19"/>
  </w:num>
  <w:num w:numId="18">
    <w:abstractNumId w:val="38"/>
  </w:num>
  <w:num w:numId="19">
    <w:abstractNumId w:val="13"/>
  </w:num>
  <w:num w:numId="20">
    <w:abstractNumId w:val="42"/>
  </w:num>
  <w:num w:numId="21">
    <w:abstractNumId w:val="15"/>
  </w:num>
  <w:num w:numId="22">
    <w:abstractNumId w:val="10"/>
  </w:num>
  <w:num w:numId="23">
    <w:abstractNumId w:val="27"/>
  </w:num>
  <w:num w:numId="24">
    <w:abstractNumId w:val="2"/>
  </w:num>
  <w:num w:numId="25">
    <w:abstractNumId w:val="18"/>
  </w:num>
  <w:num w:numId="26">
    <w:abstractNumId w:val="8"/>
  </w:num>
  <w:num w:numId="27">
    <w:abstractNumId w:val="1"/>
  </w:num>
  <w:num w:numId="28">
    <w:abstractNumId w:val="3"/>
  </w:num>
  <w:num w:numId="29">
    <w:abstractNumId w:val="37"/>
  </w:num>
  <w:num w:numId="30">
    <w:abstractNumId w:val="21"/>
  </w:num>
  <w:num w:numId="31">
    <w:abstractNumId w:val="39"/>
  </w:num>
  <w:num w:numId="32">
    <w:abstractNumId w:val="25"/>
  </w:num>
  <w:num w:numId="33">
    <w:abstractNumId w:val="5"/>
  </w:num>
  <w:num w:numId="34">
    <w:abstractNumId w:val="4"/>
  </w:num>
  <w:num w:numId="35">
    <w:abstractNumId w:val="30"/>
  </w:num>
  <w:num w:numId="36">
    <w:abstractNumId w:val="9"/>
  </w:num>
  <w:num w:numId="37">
    <w:abstractNumId w:val="40"/>
  </w:num>
  <w:num w:numId="38">
    <w:abstractNumId w:val="35"/>
  </w:num>
  <w:num w:numId="39">
    <w:abstractNumId w:val="6"/>
  </w:num>
  <w:num w:numId="40">
    <w:abstractNumId w:val="17"/>
  </w:num>
  <w:num w:numId="41">
    <w:abstractNumId w:val="14"/>
  </w:num>
  <w:num w:numId="42">
    <w:abstractNumId w:val="11"/>
  </w:num>
  <w:num w:numId="43">
    <w:abstractNumId w:val="34"/>
  </w:num>
  <w:num w:numId="44">
    <w:abstractNumId w:val="0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0306"/>
    <w:rsid w:val="00021E83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2791"/>
    <w:rsid w:val="000B54D7"/>
    <w:rsid w:val="000B55AC"/>
    <w:rsid w:val="000C2ED5"/>
    <w:rsid w:val="000D5029"/>
    <w:rsid w:val="000D7EB5"/>
    <w:rsid w:val="000E2036"/>
    <w:rsid w:val="000F5E72"/>
    <w:rsid w:val="00113784"/>
    <w:rsid w:val="001156BA"/>
    <w:rsid w:val="00121AD2"/>
    <w:rsid w:val="00144CEE"/>
    <w:rsid w:val="0015182D"/>
    <w:rsid w:val="00161847"/>
    <w:rsid w:val="00170CA7"/>
    <w:rsid w:val="001953AC"/>
    <w:rsid w:val="001969BA"/>
    <w:rsid w:val="001A023F"/>
    <w:rsid w:val="001A3FAC"/>
    <w:rsid w:val="001A51AD"/>
    <w:rsid w:val="001A6472"/>
    <w:rsid w:val="001C3E41"/>
    <w:rsid w:val="001D0E60"/>
    <w:rsid w:val="001D0EDE"/>
    <w:rsid w:val="001D20E2"/>
    <w:rsid w:val="001D7BFA"/>
    <w:rsid w:val="001E38DE"/>
    <w:rsid w:val="001F7B31"/>
    <w:rsid w:val="00201546"/>
    <w:rsid w:val="0020601F"/>
    <w:rsid w:val="0020775E"/>
    <w:rsid w:val="0021261F"/>
    <w:rsid w:val="00212DA5"/>
    <w:rsid w:val="0021347C"/>
    <w:rsid w:val="00216148"/>
    <w:rsid w:val="00226012"/>
    <w:rsid w:val="002323AC"/>
    <w:rsid w:val="00261404"/>
    <w:rsid w:val="00275E2A"/>
    <w:rsid w:val="00285980"/>
    <w:rsid w:val="00287AFC"/>
    <w:rsid w:val="00296938"/>
    <w:rsid w:val="002A202F"/>
    <w:rsid w:val="002A5164"/>
    <w:rsid w:val="002B19B4"/>
    <w:rsid w:val="002B7102"/>
    <w:rsid w:val="002C2113"/>
    <w:rsid w:val="002D4078"/>
    <w:rsid w:val="002E16FB"/>
    <w:rsid w:val="002E218A"/>
    <w:rsid w:val="002F1BEC"/>
    <w:rsid w:val="002F4757"/>
    <w:rsid w:val="0031340C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1648"/>
    <w:rsid w:val="00383EE2"/>
    <w:rsid w:val="0039002C"/>
    <w:rsid w:val="00394F92"/>
    <w:rsid w:val="003A59C3"/>
    <w:rsid w:val="003A786A"/>
    <w:rsid w:val="003B08B9"/>
    <w:rsid w:val="003B44DB"/>
    <w:rsid w:val="003B4BC9"/>
    <w:rsid w:val="003B6298"/>
    <w:rsid w:val="003D61E2"/>
    <w:rsid w:val="003E2EB1"/>
    <w:rsid w:val="003E3C16"/>
    <w:rsid w:val="004005B4"/>
    <w:rsid w:val="00407D96"/>
    <w:rsid w:val="004257FB"/>
    <w:rsid w:val="00432495"/>
    <w:rsid w:val="004365F8"/>
    <w:rsid w:val="00444DA7"/>
    <w:rsid w:val="004531C4"/>
    <w:rsid w:val="00457882"/>
    <w:rsid w:val="00461A24"/>
    <w:rsid w:val="00463CC7"/>
    <w:rsid w:val="00465A72"/>
    <w:rsid w:val="004809C4"/>
    <w:rsid w:val="00482AA6"/>
    <w:rsid w:val="0048433C"/>
    <w:rsid w:val="004847B1"/>
    <w:rsid w:val="0049545B"/>
    <w:rsid w:val="00495977"/>
    <w:rsid w:val="004B07D1"/>
    <w:rsid w:val="004C1E43"/>
    <w:rsid w:val="004D0C94"/>
    <w:rsid w:val="004D3BD0"/>
    <w:rsid w:val="004D45B1"/>
    <w:rsid w:val="004D68A7"/>
    <w:rsid w:val="004E29D1"/>
    <w:rsid w:val="004E30D7"/>
    <w:rsid w:val="004E5F7C"/>
    <w:rsid w:val="00500566"/>
    <w:rsid w:val="005073A3"/>
    <w:rsid w:val="00513BFE"/>
    <w:rsid w:val="00523608"/>
    <w:rsid w:val="00525C0A"/>
    <w:rsid w:val="00535608"/>
    <w:rsid w:val="005460B7"/>
    <w:rsid w:val="00556688"/>
    <w:rsid w:val="0056162B"/>
    <w:rsid w:val="0056707B"/>
    <w:rsid w:val="00570C88"/>
    <w:rsid w:val="005801DD"/>
    <w:rsid w:val="00581A9D"/>
    <w:rsid w:val="005865D5"/>
    <w:rsid w:val="00596166"/>
    <w:rsid w:val="005A2503"/>
    <w:rsid w:val="005A3161"/>
    <w:rsid w:val="005B49DA"/>
    <w:rsid w:val="005B4F04"/>
    <w:rsid w:val="005B636C"/>
    <w:rsid w:val="005B7CB9"/>
    <w:rsid w:val="005C6923"/>
    <w:rsid w:val="005D0023"/>
    <w:rsid w:val="005D0EE8"/>
    <w:rsid w:val="005E21C4"/>
    <w:rsid w:val="005E7E97"/>
    <w:rsid w:val="005F4453"/>
    <w:rsid w:val="005F4D59"/>
    <w:rsid w:val="005F7D38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45C8E"/>
    <w:rsid w:val="00664303"/>
    <w:rsid w:val="0067169B"/>
    <w:rsid w:val="00675452"/>
    <w:rsid w:val="00692071"/>
    <w:rsid w:val="00694B28"/>
    <w:rsid w:val="006A4C0F"/>
    <w:rsid w:val="006C5349"/>
    <w:rsid w:val="006C5F2A"/>
    <w:rsid w:val="006C662C"/>
    <w:rsid w:val="006C7167"/>
    <w:rsid w:val="006D1355"/>
    <w:rsid w:val="006F4A5C"/>
    <w:rsid w:val="00715F5C"/>
    <w:rsid w:val="007177AE"/>
    <w:rsid w:val="007278C1"/>
    <w:rsid w:val="00733493"/>
    <w:rsid w:val="00737F1D"/>
    <w:rsid w:val="00751522"/>
    <w:rsid w:val="0076211E"/>
    <w:rsid w:val="007743A4"/>
    <w:rsid w:val="00782816"/>
    <w:rsid w:val="007831C7"/>
    <w:rsid w:val="00785A46"/>
    <w:rsid w:val="007861E3"/>
    <w:rsid w:val="007940D6"/>
    <w:rsid w:val="007A05F9"/>
    <w:rsid w:val="007B0E25"/>
    <w:rsid w:val="007B1740"/>
    <w:rsid w:val="007C61B5"/>
    <w:rsid w:val="007D1596"/>
    <w:rsid w:val="007D3889"/>
    <w:rsid w:val="007D39E4"/>
    <w:rsid w:val="007D43A7"/>
    <w:rsid w:val="007E1695"/>
    <w:rsid w:val="007F204C"/>
    <w:rsid w:val="00804060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6C36"/>
    <w:rsid w:val="008A20C1"/>
    <w:rsid w:val="008A6AC8"/>
    <w:rsid w:val="008A7D05"/>
    <w:rsid w:val="008C5591"/>
    <w:rsid w:val="008C7506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47592"/>
    <w:rsid w:val="00950280"/>
    <w:rsid w:val="00972E63"/>
    <w:rsid w:val="00973C0E"/>
    <w:rsid w:val="0097696A"/>
    <w:rsid w:val="00991A18"/>
    <w:rsid w:val="00994A16"/>
    <w:rsid w:val="009A30D3"/>
    <w:rsid w:val="009A3AD5"/>
    <w:rsid w:val="009B0FDF"/>
    <w:rsid w:val="009D03A7"/>
    <w:rsid w:val="009E0479"/>
    <w:rsid w:val="00A0102E"/>
    <w:rsid w:val="00A02CF3"/>
    <w:rsid w:val="00A03DE8"/>
    <w:rsid w:val="00A06736"/>
    <w:rsid w:val="00A12960"/>
    <w:rsid w:val="00A1570D"/>
    <w:rsid w:val="00A22386"/>
    <w:rsid w:val="00A2725C"/>
    <w:rsid w:val="00A338C7"/>
    <w:rsid w:val="00A43BE5"/>
    <w:rsid w:val="00A56B75"/>
    <w:rsid w:val="00A71C04"/>
    <w:rsid w:val="00A8273C"/>
    <w:rsid w:val="00A873CB"/>
    <w:rsid w:val="00A94C1B"/>
    <w:rsid w:val="00AA0017"/>
    <w:rsid w:val="00AA3FD3"/>
    <w:rsid w:val="00AA425A"/>
    <w:rsid w:val="00AA4BC5"/>
    <w:rsid w:val="00AB09B3"/>
    <w:rsid w:val="00AB5CC6"/>
    <w:rsid w:val="00AC02D1"/>
    <w:rsid w:val="00AC141F"/>
    <w:rsid w:val="00AC4355"/>
    <w:rsid w:val="00AE1A12"/>
    <w:rsid w:val="00AE393D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359E3"/>
    <w:rsid w:val="00B5252A"/>
    <w:rsid w:val="00B57D2B"/>
    <w:rsid w:val="00B63DB1"/>
    <w:rsid w:val="00B67138"/>
    <w:rsid w:val="00B6715C"/>
    <w:rsid w:val="00B704A7"/>
    <w:rsid w:val="00B81CFE"/>
    <w:rsid w:val="00B903AE"/>
    <w:rsid w:val="00B9157F"/>
    <w:rsid w:val="00B92966"/>
    <w:rsid w:val="00B95225"/>
    <w:rsid w:val="00BA55D3"/>
    <w:rsid w:val="00BA6759"/>
    <w:rsid w:val="00BA7204"/>
    <w:rsid w:val="00BB3E92"/>
    <w:rsid w:val="00BB45DD"/>
    <w:rsid w:val="00BC36C5"/>
    <w:rsid w:val="00BD32C6"/>
    <w:rsid w:val="00C0295C"/>
    <w:rsid w:val="00C03C06"/>
    <w:rsid w:val="00C121EC"/>
    <w:rsid w:val="00C12C65"/>
    <w:rsid w:val="00C14A0A"/>
    <w:rsid w:val="00C42B27"/>
    <w:rsid w:val="00C445E2"/>
    <w:rsid w:val="00C7129D"/>
    <w:rsid w:val="00C748D1"/>
    <w:rsid w:val="00C82093"/>
    <w:rsid w:val="00C91014"/>
    <w:rsid w:val="00CA473E"/>
    <w:rsid w:val="00CA5575"/>
    <w:rsid w:val="00CB1A4E"/>
    <w:rsid w:val="00CB5A92"/>
    <w:rsid w:val="00CC29F6"/>
    <w:rsid w:val="00CC48FF"/>
    <w:rsid w:val="00CD2287"/>
    <w:rsid w:val="00CD47EC"/>
    <w:rsid w:val="00CD5BBB"/>
    <w:rsid w:val="00CE0685"/>
    <w:rsid w:val="00CF16C6"/>
    <w:rsid w:val="00D033A9"/>
    <w:rsid w:val="00D217BF"/>
    <w:rsid w:val="00D60C59"/>
    <w:rsid w:val="00D671EC"/>
    <w:rsid w:val="00D71D3A"/>
    <w:rsid w:val="00D73460"/>
    <w:rsid w:val="00D73628"/>
    <w:rsid w:val="00D73918"/>
    <w:rsid w:val="00D864CB"/>
    <w:rsid w:val="00D967D7"/>
    <w:rsid w:val="00DA125D"/>
    <w:rsid w:val="00DA2DF6"/>
    <w:rsid w:val="00DA68A8"/>
    <w:rsid w:val="00DA77D7"/>
    <w:rsid w:val="00DB2794"/>
    <w:rsid w:val="00DB3F5F"/>
    <w:rsid w:val="00DB604A"/>
    <w:rsid w:val="00DC0F2A"/>
    <w:rsid w:val="00DC4BC2"/>
    <w:rsid w:val="00DD42C1"/>
    <w:rsid w:val="00DE057D"/>
    <w:rsid w:val="00DF6016"/>
    <w:rsid w:val="00E0020F"/>
    <w:rsid w:val="00E118C7"/>
    <w:rsid w:val="00E1427B"/>
    <w:rsid w:val="00E14E0D"/>
    <w:rsid w:val="00E22B8B"/>
    <w:rsid w:val="00E40DF0"/>
    <w:rsid w:val="00E4267B"/>
    <w:rsid w:val="00E47DAC"/>
    <w:rsid w:val="00E50721"/>
    <w:rsid w:val="00E51024"/>
    <w:rsid w:val="00E63C8A"/>
    <w:rsid w:val="00E70BF6"/>
    <w:rsid w:val="00E750CE"/>
    <w:rsid w:val="00E800D7"/>
    <w:rsid w:val="00E8699F"/>
    <w:rsid w:val="00EB617F"/>
    <w:rsid w:val="00EE5584"/>
    <w:rsid w:val="00EE5F61"/>
    <w:rsid w:val="00F11C98"/>
    <w:rsid w:val="00F12E47"/>
    <w:rsid w:val="00F17354"/>
    <w:rsid w:val="00F223B2"/>
    <w:rsid w:val="00F26FC9"/>
    <w:rsid w:val="00F53241"/>
    <w:rsid w:val="00F61CF7"/>
    <w:rsid w:val="00F67790"/>
    <w:rsid w:val="00F74844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65205-1B2A-47F8-AF36-61E265DD5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1624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19</cp:revision>
  <cp:lastPrinted>2018-09-10T06:55:00Z</cp:lastPrinted>
  <dcterms:created xsi:type="dcterms:W3CDTF">2019-03-01T11:55:00Z</dcterms:created>
  <dcterms:modified xsi:type="dcterms:W3CDTF">2019-04-08T11:47:00Z</dcterms:modified>
</cp:coreProperties>
</file>