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E5AF0" w14:textId="6E022B5F" w:rsidR="000E2036" w:rsidRPr="00DB19B9" w:rsidRDefault="002E0F8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>
        <w:rPr>
          <w:b/>
          <w:szCs w:val="22"/>
          <w:lang w:val="sr-Latn-RS"/>
        </w:rPr>
        <w:t xml:space="preserve"> </w:t>
      </w:r>
      <w:r>
        <w:rPr>
          <w:b/>
          <w:szCs w:val="22"/>
          <w:lang w:val="sr-Cyrl-RS"/>
        </w:rPr>
        <w:t>ПОЈЕДНОСТАВЉЕЊЕ ПОСТУПКА БРИСАЊА</w:t>
      </w:r>
      <w:r w:rsidR="00C51B79">
        <w:rPr>
          <w:b/>
          <w:szCs w:val="22"/>
          <w:lang w:val="sr-Cyrl-RS"/>
        </w:rPr>
        <w:t xml:space="preserve"> ИЗ  РЕГИСТРА ЛАБО</w:t>
      </w:r>
      <w:r w:rsidR="007C5476">
        <w:rPr>
          <w:b/>
          <w:szCs w:val="22"/>
          <w:lang w:val="sr-Cyrl-RS"/>
        </w:rPr>
        <w:t>РАТОРИЈА КОЈЕ ВРШЕ ЛАБОРАТОРИЈСКА ИСПИТИВАЊА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B924696" w:rsidR="000E2036" w:rsidRPr="00DB19B9" w:rsidRDefault="00C51B7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Брисање</w:t>
            </w:r>
            <w:r w:rsidR="007B4B5C">
              <w:rPr>
                <w:b/>
                <w:sz w:val="22"/>
                <w:szCs w:val="22"/>
                <w:lang w:val="sr-Cyrl-RS"/>
              </w:rPr>
              <w:t xml:space="preserve"> регистар</w:t>
            </w:r>
            <w:r>
              <w:rPr>
                <w:b/>
                <w:sz w:val="22"/>
                <w:szCs w:val="22"/>
                <w:lang w:val="sr-Cyrl-RS"/>
              </w:rPr>
              <w:t>а</w:t>
            </w:r>
            <w:r w:rsidR="007B4B5C">
              <w:rPr>
                <w:b/>
                <w:sz w:val="22"/>
                <w:szCs w:val="22"/>
                <w:lang w:val="sr-Cyrl-RS"/>
              </w:rPr>
              <w:t xml:space="preserve"> лабораторија које врше лабораторијска испитивања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58C36CE" w:rsidR="000E2036" w:rsidRPr="00DB19B9" w:rsidRDefault="00C51B7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04.00.0030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0872492" w:rsidR="00092B84" w:rsidRPr="00DB19B9" w:rsidRDefault="00883D5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  <w:r w:rsidRPr="0068143A">
              <w:rPr>
                <w:sz w:val="22"/>
                <w:szCs w:val="22"/>
                <w:lang w:val="sr-Cyrl-RS"/>
              </w:rPr>
              <w:t>, Одељење испекције за  лекове,медицинска средства и психоактивне контролисане супстанце и прекурсоре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37B4D47" w14:textId="66E3010D" w:rsidR="00226AE9" w:rsidRPr="00AD2E5F" w:rsidRDefault="00226AE9" w:rsidP="00226AE9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Нема правног основа</w:t>
            </w:r>
            <w:bookmarkStart w:id="0" w:name="_GoBack"/>
            <w:bookmarkEnd w:id="0"/>
          </w:p>
          <w:p w14:paraId="2CCB5DCC" w14:textId="0D65375F" w:rsidR="00850062" w:rsidRPr="00AD2E5F" w:rsidRDefault="00850062" w:rsidP="00C51B79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1382AB9" w14:textId="4F338828" w:rsidR="00C51B79" w:rsidRPr="00AD2E5F" w:rsidRDefault="00C51B79" w:rsidP="00C51B79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</w:rPr>
              <w:t>1.</w:t>
            </w:r>
            <w:r w:rsidR="00307BF4"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Закон о лековима и медицинцикм средствима: („Сл. Гласник РС“, бр</w:t>
            </w:r>
            <w:r w:rsidR="00AD2E5F"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B41078" w:rsidRPr="00AD2E5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30/10,</w:t>
            </w:r>
            <w:r w:rsidR="00B41078" w:rsidRPr="00AD2E5F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107/12, 105/17 – др.закон и 113/17 – др.закон</w:t>
            </w:r>
            <w:r w:rsidR="00B41078"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5CB4618" w14:textId="4638E9B0" w:rsidR="00D73918" w:rsidRPr="00AD2E5F" w:rsidRDefault="00C51B79" w:rsidP="00AD2E5F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Latn-RS"/>
              </w:rPr>
              <w:t>2.</w:t>
            </w:r>
            <w:r w:rsidR="00307BF4"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D2E5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Правилник о начину и поступку уписа, садржају пријаве и трошковима уписа у регистар лабораторија </w:t>
            </w: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које врше лабораторијска испитивања ( „Сл.Гласник РС“,бр</w:t>
            </w:r>
            <w:r w:rsid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ој </w:t>
            </w: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4/2011</w:t>
            </w:r>
            <w:r w:rsidR="002E0F85"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28CF730" w:rsidR="00804060" w:rsidRPr="00850062" w:rsidRDefault="000B001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>Четврти квартал 2021.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50226A89" w14:textId="520D99A4" w:rsidR="00226AE9" w:rsidRDefault="00226AE9" w:rsidP="000D041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Прописима није дефинисан овај</w:t>
            </w:r>
            <w:r w:rsidRPr="00E26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административни поступак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Pr="00014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 привредни субјекти подносе захтев у слободној форми, што може довести до немогућност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ефикасног спровођења поступка.</w:t>
            </w:r>
          </w:p>
          <w:p w14:paraId="23B337B7" w14:textId="1C34A527" w:rsidR="00307BF4" w:rsidRPr="00307BF4" w:rsidRDefault="00226AE9" w:rsidP="00307BF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4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разумева подношење захтева поштом</w:t>
            </w:r>
            <w:r w:rsidRPr="00014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BCB02C2" w14:textId="3CC8D3F0" w:rsidR="0009542A" w:rsidRPr="00C51B79" w:rsidRDefault="0009542A" w:rsidP="000D041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AD2E5F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AD2E5F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23C8C1E7" w14:textId="77777777" w:rsidTr="00AD2E5F">
              <w:trPr>
                <w:trHeight w:val="244"/>
                <w:jc w:val="center"/>
              </w:trPr>
              <w:tc>
                <w:tcPr>
                  <w:tcW w:w="3632" w:type="dxa"/>
                  <w:vAlign w:val="center"/>
                </w:tcPr>
                <w:p w14:paraId="68A30893" w14:textId="290072FB" w:rsidR="00CA1CE9" w:rsidRPr="00DB19B9" w:rsidRDefault="00CA1CE9" w:rsidP="00AD2E5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518CDB60" w14:textId="1A98766C" w:rsidR="00CA1CE9" w:rsidRPr="00DB19B9" w:rsidRDefault="00CA1CE9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54E8B4AE" w14:textId="77777777" w:rsidTr="00AD2E5F">
              <w:trPr>
                <w:trHeight w:val="244"/>
                <w:jc w:val="center"/>
              </w:trPr>
              <w:tc>
                <w:tcPr>
                  <w:tcW w:w="3632" w:type="dxa"/>
                  <w:vAlign w:val="center"/>
                </w:tcPr>
                <w:p w14:paraId="67C36E18" w14:textId="11DDAB02" w:rsidR="00CA1CE9" w:rsidRPr="00DB19B9" w:rsidRDefault="00C70F1B" w:rsidP="00AD2E5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</w:t>
                  </w:r>
                  <w:r w:rsidR="00CA1CE9"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тврдити правни основ ако га нема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4F636AE1" w14:textId="7BAB1DAE" w:rsidR="00CA1CE9" w:rsidRPr="00226AE9" w:rsidRDefault="00226AE9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3408239D" w14:textId="77777777" w:rsidR="00CA1CE9" w:rsidRPr="00DB19B9" w:rsidRDefault="00CA1CE9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374B0AC3" w14:textId="497FFF5C" w:rsidR="00CA1CE9" w:rsidRPr="00A9496F" w:rsidRDefault="00C005A0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1</w:t>
                  </w:r>
                  <w:r w:rsidR="00AD2E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и </w:t>
                  </w:r>
                  <w:r w:rsidR="00A9496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  <w:tr w:rsidR="00CA1CE9" w:rsidRPr="00DB19B9" w14:paraId="57E988BC" w14:textId="77777777" w:rsidTr="00AD2E5F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1147E286" w:rsidR="00CA1CE9" w:rsidRPr="00DB19B9" w:rsidRDefault="00CA1CE9" w:rsidP="00AD2E5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2E3C3C7E" w14:textId="77777777" w:rsidR="00CA1CE9" w:rsidRPr="00DB19B9" w:rsidRDefault="00CA1CE9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AD2E5F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34DF82C9" w14:textId="77777777" w:rsidR="00CA1CE9" w:rsidRPr="00DB19B9" w:rsidRDefault="00CA1CE9" w:rsidP="00AD2E5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7DA93255" w14:textId="16B63D1C" w:rsidR="00CA1CE9" w:rsidRPr="000D041E" w:rsidRDefault="000D041E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5EFCD47F" w14:textId="77777777" w:rsidR="00CA1CE9" w:rsidRPr="00DB19B9" w:rsidRDefault="00CA1CE9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tcBorders>
                    <w:bottom w:val="single" w:sz="4" w:space="0" w:color="000000"/>
                  </w:tcBorders>
                  <w:vAlign w:val="center"/>
                </w:tcPr>
                <w:p w14:paraId="24710273" w14:textId="2147FA51" w:rsidR="00CA1CE9" w:rsidRPr="00C005A0" w:rsidRDefault="00C005A0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2</w:t>
                  </w:r>
                </w:p>
              </w:tc>
            </w:tr>
            <w:tr w:rsidR="00AD2E5F" w:rsidRPr="00DB19B9" w14:paraId="07ECFD98" w14:textId="77777777" w:rsidTr="00AD2E5F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351135F1" w14:textId="265994BF" w:rsidR="00AD2E5F" w:rsidRPr="00DB19B9" w:rsidRDefault="00AD2E5F" w:rsidP="00AD2E5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D2E5F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704F23B5" w14:textId="77777777" w:rsidR="00AD2E5F" w:rsidRDefault="00AD2E5F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2719C9B2" w14:textId="48B733BE" w:rsidR="00AD2E5F" w:rsidRPr="00DB19B9" w:rsidRDefault="00AD2E5F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tcBorders>
                    <w:bottom w:val="single" w:sz="4" w:space="0" w:color="auto"/>
                  </w:tcBorders>
                  <w:vAlign w:val="center"/>
                </w:tcPr>
                <w:p w14:paraId="235B7D92" w14:textId="77777777" w:rsidR="00AD2E5F" w:rsidRDefault="00AD2E5F" w:rsidP="00AD2E5F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CA1CE9" w:rsidRPr="00DB19B9" w14:paraId="7FD15786" w14:textId="77777777" w:rsidTr="00AD2E5F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B6E7301" w14:textId="7EF21AF0" w:rsidR="00CA1CE9" w:rsidRPr="00DB19B9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520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73ED07F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2AD94F8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2D065D" w14:textId="4CB98EF7" w:rsidR="00C51B79" w:rsidRDefault="00C51B79" w:rsidP="00C51B7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5AE6C9B" w14:textId="675FAA7C" w:rsidR="00226AE9" w:rsidRDefault="00226AE9" w:rsidP="00C51B7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383514AE" w14:textId="16EA4189" w:rsidR="00226AE9" w:rsidRPr="002E0F85" w:rsidRDefault="00226AE9" w:rsidP="00226AE9">
            <w:pPr>
              <w:pStyle w:val="NormalWeb"/>
              <w:spacing w:before="0" w:beforeAutospacing="0" w:after="0" w:afterAutospacing="0"/>
              <w:rPr>
                <w:sz w:val="22"/>
                <w:szCs w:val="22"/>
                <w:u w:val="single"/>
                <w:lang w:val="sr-Cyrl-RS"/>
              </w:rPr>
            </w:pPr>
            <w:r w:rsidRPr="002E0F8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1.</w:t>
            </w:r>
            <w:r w:rsidR="002E0F85" w:rsidRPr="002E0F85">
              <w:rPr>
                <w:b/>
                <w:sz w:val="22"/>
                <w:szCs w:val="22"/>
                <w:u w:val="single"/>
                <w:lang w:val="sr-Cyrl-RS"/>
              </w:rPr>
              <w:t>Утврђивање правног основа и потребне документације</w:t>
            </w:r>
          </w:p>
          <w:p w14:paraId="67672103" w14:textId="77777777" w:rsidR="00226AE9" w:rsidRDefault="00226AE9" w:rsidP="00226AE9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7A6A6D11" w14:textId="77777777" w:rsidR="00226AE9" w:rsidRPr="00D21D91" w:rsidRDefault="00226AE9" w:rsidP="00226AE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620A6">
              <w:rPr>
                <w:sz w:val="22"/>
                <w:szCs w:val="22"/>
                <w:lang w:val="sr-Cyrl-RS"/>
              </w:rPr>
              <w:t>Сваки административни поступак који спроводе надлежни органи и организације мора бити утемељен у закону. Када је реч о административним поступцима којима се остварује неко право, у закону који уређује административни поступа</w:t>
            </w:r>
            <w:r>
              <w:rPr>
                <w:sz w:val="22"/>
                <w:szCs w:val="22"/>
                <w:lang w:val="sr-Cyrl-RS"/>
              </w:rPr>
              <w:t xml:space="preserve">к морају бити јасно прецизирани, као и </w:t>
            </w:r>
            <w:r w:rsidRPr="000620A6">
              <w:rPr>
                <w:sz w:val="22"/>
                <w:szCs w:val="22"/>
                <w:lang w:val="sr-Cyrl-RS"/>
              </w:rPr>
              <w:t>услови који се морају испуњавати како би заинтересована лица остварила своја права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14:paraId="5FE7247A" w14:textId="77777777" w:rsidR="00226AE9" w:rsidRDefault="00226AE9" w:rsidP="00226AE9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</w:p>
          <w:p w14:paraId="5A4DEB2C" w14:textId="43607E53" w:rsidR="00C005A0" w:rsidRPr="00C005A0" w:rsidRDefault="00226AE9" w:rsidP="00C005A0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0620A6">
              <w:rPr>
                <w:sz w:val="22"/>
                <w:szCs w:val="22"/>
                <w:lang w:val="sr-Cyrl-RS"/>
              </w:rPr>
              <w:t xml:space="preserve">Сходно наведеном а како </w:t>
            </w:r>
            <w:r w:rsidRPr="000620A6">
              <w:rPr>
                <w:color w:val="000000" w:themeColor="text1"/>
                <w:sz w:val="22"/>
                <w:szCs w:val="22"/>
                <w:lang w:val="sr-Cyrl-RS"/>
              </w:rPr>
              <w:t>би се обезбедила пуна правна сигурност привредних субјеката потребно је подзаконским актом прецизирати да надлежни орган по службеној дужности проверава испуњеност услова у погледу</w:t>
            </w:r>
          </w:p>
          <w:p w14:paraId="4AA2EDFA" w14:textId="49A3CAC7" w:rsidR="007C5476" w:rsidRDefault="007C5476" w:rsidP="001137D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2BA70D3C" w14:textId="7A06EFF3" w:rsidR="0068143A" w:rsidRPr="002E0F85" w:rsidRDefault="001C40C8" w:rsidP="00AD2E5F">
            <w:pPr>
              <w:pStyle w:val="NormalWeb"/>
              <w:jc w:val="both"/>
              <w:rPr>
                <w:b/>
                <w:i/>
                <w:sz w:val="22"/>
                <w:szCs w:val="22"/>
                <w:lang w:val="sr-Latn-RS"/>
              </w:rPr>
            </w:pPr>
            <w:r w:rsidRPr="002E0F8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AD2E5F" w:rsidRPr="00AD2E5F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Закон о лековима и медицинцикм средствима: („Сл. Гласник РС“, бр. 30/10, 107/12, 105/17 – др.закон и 113/17 – др.закон) </w:t>
            </w:r>
            <w:r w:rsidR="00AD2E5F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и </w:t>
            </w:r>
            <w:r w:rsidR="00AD2E5F" w:rsidRPr="00AD2E5F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Правилник о начину и поступку уписа, садржају пријаве и трошковима уписа у регистар лабораторија које врше лабораторијска испитивања ( „Сл.Гласник РС“,број 4/2011)</w:t>
            </w:r>
          </w:p>
          <w:p w14:paraId="5EA9B4B5" w14:textId="77777777" w:rsidR="007C5476" w:rsidRDefault="007C5476" w:rsidP="001137D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7BEC09B8" w14:textId="2A9F8B27" w:rsidR="007C5476" w:rsidRPr="00001CE7" w:rsidRDefault="00C005A0" w:rsidP="007C547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001CE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2</w:t>
            </w:r>
            <w:r w:rsidR="007C5476" w:rsidRPr="00001CE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. Увођење обрасца за подношење захтева</w:t>
            </w:r>
          </w:p>
          <w:p w14:paraId="293DD773" w14:textId="77777777" w:rsidR="007C5476" w:rsidRPr="00D21D91" w:rsidRDefault="007C5476" w:rsidP="007C5476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21D91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47F1724" w14:textId="6D5F91FA" w:rsidR="007C5476" w:rsidRDefault="007C5476" w:rsidP="007C547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21D9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овог поступка се подноси у слободној форми, те како образац захтева не постоји, п</w:t>
            </w:r>
            <w:r w:rsidRPr="00D21D9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редлаже се:</w:t>
            </w:r>
          </w:p>
          <w:p w14:paraId="06701364" w14:textId="4623F625" w:rsidR="002E0F85" w:rsidRDefault="002E0F85" w:rsidP="007C547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C75CB1" w14:textId="77777777" w:rsidR="002E0F85" w:rsidRPr="00307BF4" w:rsidRDefault="002E0F85" w:rsidP="002E0F8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</w:t>
            </w: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поступак;</w:t>
            </w:r>
          </w:p>
          <w:p w14:paraId="173BDFA0" w14:textId="77777777" w:rsidR="002E0F85" w:rsidRPr="00307BF4" w:rsidRDefault="002E0F85" w:rsidP="002E0F8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307BF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EFEB11F" w14:textId="77777777" w:rsidR="002E0F85" w:rsidRPr="00307BF4" w:rsidRDefault="002E0F85" w:rsidP="002E0F8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BDDF4B6" w14:textId="77777777" w:rsidR="002E0F85" w:rsidRPr="00252F74" w:rsidRDefault="002E0F85" w:rsidP="002E0F8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</w:t>
            </w: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унос информација о подносиоцу захтева (Назив, седиште, ПИБ, мат број, адреса електронске поште подносиоца захтева)</w:t>
            </w:r>
            <w:r w:rsidRPr="00252F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4D01CD19" w14:textId="77777777" w:rsidR="002E0F85" w:rsidRPr="00252F74" w:rsidRDefault="002E0F85" w:rsidP="002E0F85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52F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9260FE6" w14:textId="77777777" w:rsidR="002E0F85" w:rsidRPr="00252F74" w:rsidRDefault="002E0F85" w:rsidP="002E0F8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43CBFE6" w14:textId="77777777" w:rsidR="002E0F85" w:rsidRPr="00252F74" w:rsidRDefault="002E0F85" w:rsidP="002E0F85">
            <w:pPr>
              <w:numPr>
                <w:ilvl w:val="0"/>
                <w:numId w:val="2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99AB01F" w14:textId="77777777" w:rsidR="002E0F85" w:rsidRPr="00252F74" w:rsidRDefault="002E0F85" w:rsidP="002E0F85">
            <w:pPr>
              <w:numPr>
                <w:ilvl w:val="0"/>
                <w:numId w:val="2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E637FBC" w14:textId="77777777" w:rsidR="002E0F85" w:rsidRPr="00252F74" w:rsidRDefault="002E0F85" w:rsidP="002E0F85">
            <w:pPr>
              <w:numPr>
                <w:ilvl w:val="0"/>
                <w:numId w:val="2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A282D68" w14:textId="77777777" w:rsidR="002E0F85" w:rsidRPr="00252F74" w:rsidRDefault="002E0F85" w:rsidP="002E0F85">
            <w:pPr>
              <w:numPr>
                <w:ilvl w:val="0"/>
                <w:numId w:val="2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52F7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52F7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262CE04" w14:textId="77777777" w:rsidR="002E0F85" w:rsidRPr="00252F74" w:rsidRDefault="002E0F85" w:rsidP="002E0F85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</w:t>
            </w: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поступку одлучивања (сходно члану 103. став 3. ЗУП-а).</w:t>
            </w:r>
          </w:p>
          <w:p w14:paraId="33864420" w14:textId="77777777" w:rsidR="002E0F85" w:rsidRPr="00252F74" w:rsidRDefault="002E0F85" w:rsidP="002E0F8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0F03CD7" w14:textId="77777777" w:rsidR="002E0F85" w:rsidRPr="00252F74" w:rsidRDefault="002E0F85" w:rsidP="002E0F8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B5AED4E" w14:textId="77777777" w:rsidR="002E0F85" w:rsidRPr="00252F74" w:rsidRDefault="002E0F85" w:rsidP="002E0F8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A4EA413" w14:textId="77777777" w:rsidR="002E0F85" w:rsidRPr="00252F74" w:rsidRDefault="002E0F85" w:rsidP="002E0F8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5F94578" w14:textId="77777777" w:rsidR="002E0F85" w:rsidRPr="00252F74" w:rsidRDefault="002E0F85" w:rsidP="002E0F85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6EADAE6" w14:textId="77777777" w:rsidR="002E0F85" w:rsidRPr="00252F74" w:rsidRDefault="002E0F85" w:rsidP="002E0F85">
            <w:pPr>
              <w:numPr>
                <w:ilvl w:val="1"/>
                <w:numId w:val="26"/>
              </w:numPr>
              <w:ind w:left="885"/>
              <w:rPr>
                <w:sz w:val="22"/>
                <w:szCs w:val="22"/>
              </w:rPr>
            </w:pPr>
            <w:r w:rsidRPr="00252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ADC55E9" w14:textId="77777777" w:rsidR="002E0F85" w:rsidRPr="00252F74" w:rsidRDefault="002E0F85" w:rsidP="002E0F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1D8B9DD" w14:textId="77777777" w:rsidR="002E0F85" w:rsidRPr="00307BF4" w:rsidRDefault="002E0F85" w:rsidP="002E0F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5F349F" w14:textId="77777777" w:rsidR="002E0F85" w:rsidRPr="00307BF4" w:rsidRDefault="002E0F85" w:rsidP="002E0F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9726971" w14:textId="77777777" w:rsidR="002E0F85" w:rsidRPr="00307BF4" w:rsidRDefault="002E0F85" w:rsidP="002E0F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43D7EF" w14:textId="77777777" w:rsidR="002E0F85" w:rsidRPr="00307BF4" w:rsidRDefault="002E0F85" w:rsidP="002E0F85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6BFDB64" w14:textId="77777777" w:rsidR="002E0F85" w:rsidRPr="00307BF4" w:rsidRDefault="002E0F85" w:rsidP="002E0F85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9507700" w14:textId="77777777" w:rsidR="002E0F85" w:rsidRPr="00307BF4" w:rsidRDefault="002E0F85" w:rsidP="002E0F85">
            <w:pPr>
              <w:numPr>
                <w:ilvl w:val="0"/>
                <w:numId w:val="25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EF21584" w14:textId="77777777" w:rsidR="002E0F85" w:rsidRPr="00307BF4" w:rsidRDefault="002E0F85" w:rsidP="002E0F85">
            <w:pPr>
              <w:numPr>
                <w:ilvl w:val="0"/>
                <w:numId w:val="25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8302C9E" w14:textId="77777777" w:rsidR="002E0F85" w:rsidRPr="00307BF4" w:rsidRDefault="002E0F85" w:rsidP="002E0F85">
            <w:pPr>
              <w:numPr>
                <w:ilvl w:val="0"/>
                <w:numId w:val="25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B2C5DB4" w14:textId="77777777" w:rsidR="002E0F85" w:rsidRPr="00307BF4" w:rsidRDefault="002E0F85" w:rsidP="002E0F85">
            <w:pPr>
              <w:numPr>
                <w:ilvl w:val="0"/>
                <w:numId w:val="25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0136DA0" w14:textId="77777777" w:rsidR="002E0F85" w:rsidRPr="00307BF4" w:rsidRDefault="002E0F85" w:rsidP="002E0F85">
            <w:pPr>
              <w:numPr>
                <w:ilvl w:val="0"/>
                <w:numId w:val="25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461658C" w14:textId="77777777" w:rsidR="002E0F85" w:rsidRPr="00307BF4" w:rsidRDefault="002E0F85" w:rsidP="002E0F85">
            <w:pPr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CA6D2B7" w14:textId="77777777" w:rsidR="002E0F85" w:rsidRPr="00D21D91" w:rsidRDefault="002E0F85" w:rsidP="007C547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DE4082" w14:textId="77777777" w:rsidR="00AD2E5F" w:rsidRPr="002E0F85" w:rsidRDefault="0068143A" w:rsidP="00AD2E5F">
            <w:pPr>
              <w:pStyle w:val="NormalWeb"/>
              <w:jc w:val="both"/>
              <w:rPr>
                <w:b/>
                <w:i/>
                <w:sz w:val="22"/>
                <w:szCs w:val="22"/>
                <w:lang w:val="sr-Latn-RS"/>
              </w:rPr>
            </w:pPr>
            <w:r w:rsidRPr="002E0F8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AD2E5F" w:rsidRPr="00AD2E5F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Правилник о начину и поступку уписа, садржају пријаве и трошковима уписа у регистар лабораторија које врше лабораторијска испитивања ( „Сл.Гласник РС“,број 4/2011)</w:t>
            </w:r>
          </w:p>
          <w:p w14:paraId="5775D172" w14:textId="77777777" w:rsidR="00226AE9" w:rsidRPr="002E0F85" w:rsidRDefault="00226AE9" w:rsidP="00226AE9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2E0F8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3.Електронско подношење захтева</w:t>
            </w:r>
          </w:p>
          <w:p w14:paraId="595D8C76" w14:textId="77777777" w:rsidR="00226AE9" w:rsidRDefault="00226AE9" w:rsidP="00226AE9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E0EBC5A" w14:textId="1A12AC02" w:rsidR="00226AE9" w:rsidRPr="00226AE9" w:rsidRDefault="00226AE9" w:rsidP="00BF3B64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2B5DEF">
              <w:rPr>
                <w:sz w:val="22"/>
                <w:szCs w:val="22"/>
                <w:lang w:val="sr-Cyrl-RS"/>
              </w:rPr>
              <w:t>Поступак под</w:t>
            </w:r>
            <w:r>
              <w:rPr>
                <w:sz w:val="22"/>
                <w:szCs w:val="22"/>
                <w:lang w:val="sr-Cyrl-RS"/>
              </w:rPr>
              <w:t>разумева подношење захтева надлежном органу поштом.</w:t>
            </w:r>
            <w:r w:rsidRPr="002B5DEF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Још увек није успостављена </w:t>
            </w:r>
            <w:r w:rsidRPr="002B5DEF">
              <w:rPr>
                <w:sz w:val="22"/>
                <w:szCs w:val="22"/>
                <w:lang w:val="sr-Cyrl-RS"/>
              </w:rPr>
              <w:t>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</w:t>
            </w:r>
          </w:p>
          <w:p w14:paraId="21A4B698" w14:textId="77777777" w:rsidR="007C5476" w:rsidRDefault="007C5476" w:rsidP="00BF3B6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6F39D863" w14:textId="77777777" w:rsidR="007C5476" w:rsidRDefault="007C5476" w:rsidP="001137D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695554EC" w14:textId="5FF51B47" w:rsidR="007C5476" w:rsidRPr="002E0F85" w:rsidRDefault="002E0F85" w:rsidP="001137D8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2E0F85">
              <w:rPr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758E2604" w:rsidR="007C5476" w:rsidRPr="007C5476" w:rsidRDefault="007C5476" w:rsidP="001137D8">
            <w:pPr>
              <w:pStyle w:val="NormalWeb"/>
              <w:spacing w:before="0" w:beforeAutospacing="0" w:after="0" w:afterAutospacing="0"/>
              <w:jc w:val="both"/>
              <w:rPr>
                <w:b/>
                <w:lang w:val="sr-Latn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6E7F0A" w14:textId="34EC92A1" w:rsidR="00226AE9" w:rsidRPr="002E0F85" w:rsidRDefault="002E0F85" w:rsidP="00AD2E5F">
            <w:pPr>
              <w:pStyle w:val="ListParagraph"/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                                                                                                           </w:t>
            </w:r>
            <w:r w:rsidRPr="002E0F8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1F6C1FB9" w14:textId="7FAAF3F9" w:rsidR="006213AA" w:rsidRDefault="006213AA" w:rsidP="00AD2E5F">
            <w:pPr>
              <w:pStyle w:val="ListParagraph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213A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ИЗМЕНАМА И ДОПУНАМА</w:t>
            </w:r>
            <w:r w:rsidRPr="006213A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213A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ЛЕКОВИМА И МЕДИЦИНСКИМ СРЕДСТВИМА</w:t>
            </w:r>
          </w:p>
          <w:p w14:paraId="2E301BD2" w14:textId="761D7DB0" w:rsidR="002E0F85" w:rsidRPr="002E0F85" w:rsidRDefault="002E0F85" w:rsidP="002E0F8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0F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                                  </w:t>
            </w:r>
            <w:r w:rsidR="00A35E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             </w:t>
            </w:r>
            <w:r w:rsidRPr="002E0F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Члан 1.</w:t>
            </w:r>
          </w:p>
          <w:p w14:paraId="77CD0608" w14:textId="6CA41CA8" w:rsidR="002E0F85" w:rsidRPr="002E0F85" w:rsidRDefault="002E0F85" w:rsidP="00AD2E5F">
            <w:pPr>
              <w:spacing w:before="120" w:after="12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2E0F85">
              <w:rPr>
                <w:rFonts w:ascii="Times New Roman" w:hAnsi="Times New Roman"/>
                <w:sz w:val="22"/>
                <w:szCs w:val="22"/>
                <w:lang w:val="sr-Cyrl-RS"/>
              </w:rPr>
              <w:t>У  закону  о лековима и медицинским средствима „Сл.Гласн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ик РС“, бр.</w:t>
            </w:r>
            <w:r w:rsidR="00B41078" w:rsidRPr="00CD13AD"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  <w:t xml:space="preserve"> </w:t>
            </w:r>
            <w:r w:rsidR="00B41078" w:rsidRPr="00AD2E5F">
              <w:rPr>
                <w:rFonts w:ascii="Times New Roman" w:hAnsi="Times New Roman"/>
                <w:sz w:val="22"/>
                <w:szCs w:val="22"/>
                <w:lang w:val="ru-RU"/>
              </w:rPr>
              <w:t>30/10,</w:t>
            </w:r>
            <w:r w:rsidR="00B41078" w:rsidRPr="00AD2E5F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107/12, 105/17 </w:t>
            </w:r>
            <w:r w:rsidR="00B41078" w:rsidRPr="00AD2E5F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lastRenderedPageBreak/>
              <w:t>– др.закон и 113/17 – др.закон</w:t>
            </w:r>
            <w:r w:rsidR="00B41078"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у члану 94 став 7, после речи</w:t>
            </w:r>
            <w:r w:rsidRPr="002E0F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 овог члана“ додаје се запета и речи „ као и начин брисања из регистра“</w:t>
            </w:r>
          </w:p>
          <w:p w14:paraId="0F6D6263" w14:textId="77777777" w:rsidR="002E0F85" w:rsidRPr="00307BF4" w:rsidRDefault="002E0F85" w:rsidP="002E0F85">
            <w:pPr>
              <w:spacing w:before="24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 2.</w:t>
            </w:r>
          </w:p>
          <w:p w14:paraId="410F30C3" w14:textId="72641EA4" w:rsidR="006213AA" w:rsidRPr="002E0F85" w:rsidRDefault="002E0F85" w:rsidP="002E0F85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Овај закон ступа на снагу осмог дана од дана објављивања у „Службеном гласнику</w:t>
            </w:r>
          </w:p>
          <w:p w14:paraId="39BB1624" w14:textId="6AB9113A" w:rsidR="006213AA" w:rsidRPr="002E0F85" w:rsidRDefault="002E0F85" w:rsidP="00A9496F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E0F8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                              </w:t>
            </w:r>
          </w:p>
          <w:p w14:paraId="58D6C5EB" w14:textId="77777777" w:rsidR="002E0F85" w:rsidRDefault="002E0F85" w:rsidP="00A9496F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054CE70" w14:textId="7F267678" w:rsidR="006213AA" w:rsidRDefault="002E0F85" w:rsidP="00AD2E5F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1C46F2F4" w14:textId="07F211DE" w:rsidR="00A9496F" w:rsidRPr="00A9496F" w:rsidRDefault="00AD2E5F" w:rsidP="00AD2E5F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ПРАВИЛНИКА О ИЗММЕНАМА И ДОПУНАМА </w:t>
            </w:r>
            <w:r w:rsidR="00A9496F" w:rsidRPr="00A9496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A9496F" w:rsidRPr="00A9496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НАЧИНУ УПИСА, САДРЖАЈУ ПРИЈАВЕ И ТРОШКОВИМА УПИСА У РЕГИСТАР ЛАБОРАТОРИЈА КОЈЕ ВРШЕ ЛАБОРАТОРИЈСКА ИСПИТИВАЊА</w:t>
            </w:r>
          </w:p>
          <w:p w14:paraId="68E34112" w14:textId="4C20B581" w:rsidR="00A9496F" w:rsidRPr="00A35E7A" w:rsidRDefault="00A35E7A" w:rsidP="00A9496F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                                                           Члан 1</w:t>
            </w:r>
          </w:p>
          <w:p w14:paraId="714445D9" w14:textId="77777777" w:rsidR="00A9496F" w:rsidRDefault="00A9496F" w:rsidP="00A9496F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На крају члана 1 уместо тачке ставља се зарез и додаје реч:“као и начин и поступак брисања из регистра“.</w:t>
            </w:r>
          </w:p>
          <w:p w14:paraId="63388EC4" w14:textId="635D4D15" w:rsidR="00A9496F" w:rsidRDefault="00A9496F" w:rsidP="00A9496F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После члана </w:t>
            </w:r>
            <w:r w:rsidR="00A35E7A">
              <w:rPr>
                <w:rFonts w:ascii="Times New Roman" w:hAnsi="Times New Roman"/>
                <w:sz w:val="22"/>
                <w:szCs w:val="22"/>
                <w:lang w:val="sr-Cyrl-RS"/>
              </w:rPr>
              <w:t>6 додаје се нови поднаслов „брисање из регистра“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BC9D5A4" w14:textId="77777777" w:rsidR="00A9496F" w:rsidRDefault="00A9496F" w:rsidP="00A9496F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Садашњи члан 7 постаје члан 8, а додаје се члан 7 који гласи:</w:t>
            </w:r>
          </w:p>
          <w:p w14:paraId="59159F49" w14:textId="77777777" w:rsidR="00A9496F" w:rsidRDefault="00A9496F" w:rsidP="00A9496F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„Брисање из регистра врши се на захтев регистроване лабораторије“.</w:t>
            </w:r>
          </w:p>
          <w:p w14:paraId="4D666576" w14:textId="66A8ADC3" w:rsidR="009E72A3" w:rsidRPr="002D6658" w:rsidRDefault="00A9496F" w:rsidP="00A9496F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„Захтев се подноси електронски на електонску адресу Министарства</w:t>
            </w:r>
            <w:r w:rsidR="002D665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172204D" w14:textId="77777777" w:rsidR="00A35E7A" w:rsidRPr="00307BF4" w:rsidRDefault="00A35E7A" w:rsidP="00A35E7A">
            <w:pPr>
              <w:spacing w:before="24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 2.</w:t>
            </w:r>
          </w:p>
          <w:p w14:paraId="124DE432" w14:textId="0ED48603" w:rsidR="00A35E7A" w:rsidRPr="002E0F85" w:rsidRDefault="00A35E7A" w:rsidP="00A35E7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7BF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„Службеном гласнику</w:t>
            </w:r>
          </w:p>
          <w:p w14:paraId="39763933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BA630BE" w14:textId="35CADB62" w:rsidR="00A35E7A" w:rsidRPr="00AD2E5F" w:rsidRDefault="002E0F85" w:rsidP="00AD2E5F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D2E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ПРЕГЛЕД ОДРЕДБИ О  ИЗМЕНАМА И ДОПУНАМА ЗАКОНА О </w:t>
            </w:r>
            <w:r w:rsidR="00A35E7A" w:rsidRPr="00AD2E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 </w:t>
            </w:r>
            <w:r w:rsidRPr="00AD2E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ЛЕКОВИМА И  МЕДИЦИНСКИМ СРЕДСТВИМА</w:t>
            </w:r>
            <w:r w:rsidR="00A35E7A" w:rsidRPr="00AD2E5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                                                                    </w:t>
            </w:r>
          </w:p>
          <w:p w14:paraId="57186253" w14:textId="424F160B" w:rsidR="00A35E7A" w:rsidRPr="00AD2E5F" w:rsidRDefault="00A35E7A" w:rsidP="002E0F85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                                                                               Члан 94</w:t>
            </w:r>
          </w:p>
          <w:p w14:paraId="3FE198A7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Претклиничко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лека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употребљава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хуманој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односно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ветеринарској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медицини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као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и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безбедности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супстанци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улазе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састав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лека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пестицида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козметичких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производа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додатака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храни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додатака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храни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животиње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и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индустријских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хемикалија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(у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даљем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тексту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: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),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врши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складу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Смерницама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Добре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праксе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.</w:t>
            </w:r>
          </w:p>
          <w:p w14:paraId="4CAA022E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</w:p>
          <w:p w14:paraId="31226B70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Резултати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лабораторијског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омогућавају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оцењивање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потенцијалне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опасности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живот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и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здравље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људи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животиња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односно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животну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средину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користе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поступцима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добијања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дозволе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лек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као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и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административним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поступцима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прописаним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стављање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промет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пестицида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козметичких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или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сличних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производа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додатака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храни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додатака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храни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животиње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хемикалија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складу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посебним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законима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уређују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стављање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промет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ових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производа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.</w:t>
            </w:r>
          </w:p>
          <w:p w14:paraId="10808188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</w:p>
          <w:p w14:paraId="2CF5E9B7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извршила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складу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Смерницама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Добре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праксе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дужна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уз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резултате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достави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сертификат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Добре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праксе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издаје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министарство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надлежно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послове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здравља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складу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овим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законом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односно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одговарајући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сертификат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издао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надлежни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орган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друге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земље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утврђује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усклађеност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Смерницама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Добре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праксе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.</w:t>
            </w:r>
          </w:p>
          <w:p w14:paraId="7113EADE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</w:p>
          <w:p w14:paraId="24263B3D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биолошке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расположивости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и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биолошке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еквиваленције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lastRenderedPageBreak/>
              <w:t>поступку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клиничког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лека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врши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складу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Смерницама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Добре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праксе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.</w:t>
            </w:r>
          </w:p>
          <w:p w14:paraId="69BB5EE9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</w:p>
          <w:p w14:paraId="543502FC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која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врши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дужна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министарству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надлежном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послове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здравља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пријави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делатност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лабораторијског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испитивања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.</w:t>
            </w:r>
          </w:p>
          <w:p w14:paraId="10C05E6F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</w:p>
          <w:p w14:paraId="3EF3767B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Министарство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надлежно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послове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здравља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води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регистар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лабораторија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из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става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4. </w:t>
            </w:r>
            <w:proofErr w:type="spellStart"/>
            <w:proofErr w:type="gram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овог</w:t>
            </w:r>
            <w:proofErr w:type="spellEnd"/>
            <w:proofErr w:type="gram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члана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.</w:t>
            </w:r>
          </w:p>
          <w:p w14:paraId="1D152254" w14:textId="77777777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</w:p>
          <w:p w14:paraId="4ED2BB98" w14:textId="26D11A0B" w:rsidR="00A35E7A" w:rsidRPr="00AD2E5F" w:rsidRDefault="00A35E7A" w:rsidP="00A35E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sr-Latn-RS"/>
              </w:rPr>
            </w:pP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Начин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уписа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,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садржај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пријаве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и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трошкове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уписа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у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регистар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из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става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5. </w:t>
            </w:r>
            <w:proofErr w:type="spellStart"/>
            <w:proofErr w:type="gram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овог</w:t>
            </w:r>
            <w:proofErr w:type="spellEnd"/>
            <w:proofErr w:type="gram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члана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КАО И НАЧИН БРИСАЊА ИЗ РЕГИСТРА</w:t>
            </w:r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прописује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министар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надлежан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послове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 xml:space="preserve"> </w:t>
            </w:r>
            <w:proofErr w:type="spellStart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здравља</w:t>
            </w:r>
            <w:proofErr w:type="spellEnd"/>
            <w:r w:rsidRPr="00AD2E5F">
              <w:rPr>
                <w:rFonts w:ascii="Times New Roman" w:eastAsia="Times New Roman" w:hAnsi="Times New Roman"/>
                <w:sz w:val="22"/>
                <w:szCs w:val="22"/>
                <w:lang w:eastAsia="sr-Latn-RS"/>
              </w:rPr>
              <w:t>.</w:t>
            </w:r>
          </w:p>
          <w:p w14:paraId="4D67C6AB" w14:textId="2497256A" w:rsidR="00A35E7A" w:rsidRPr="00AD2E5F" w:rsidRDefault="00A35E7A" w:rsidP="002E0F85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5830EB3" w14:textId="77777777" w:rsidR="00307BF4" w:rsidRPr="00AD2E5F" w:rsidRDefault="00307BF4" w:rsidP="002E0F85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043558C" w14:textId="5528A0C3" w:rsidR="00A35E7A" w:rsidRPr="00AD2E5F" w:rsidRDefault="00A35E7A" w:rsidP="00307BF4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ПРЕГЛЕД ОДРЕДБИ О ИЗМЕНАМА  И ДОПУНАМА  ПРАВИЛНИКА О НАЧИНУ УПИСА, САДРЖАЈУ ПРИЈАВЕ И  ТРОШКОВИМА УПИСА У РЕГИСТАР ЛАБОРАТОРИЈА КОЈЕ ВРШЕ ЛАБОРАТОРИЈСКА ИСПИТИВАЊА</w:t>
            </w:r>
          </w:p>
          <w:p w14:paraId="37913FB9" w14:textId="2EFC3F22" w:rsidR="00A35E7A" w:rsidRPr="00AD2E5F" w:rsidRDefault="00001CE7" w:rsidP="002E0F8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                                                                      </w:t>
            </w: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Члан 1</w:t>
            </w:r>
          </w:p>
          <w:p w14:paraId="033CF13A" w14:textId="77777777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Овим правилником прописује се </w:t>
            </w:r>
            <w:r w:rsidRPr="00AD2E5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начин и поступку уписа, садржају пријаве и трошковима уписа у регистар лабораторија </w:t>
            </w: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које врше лабораторијска испитивања ( у даљем тексту: Регистар ) КАО И НАЧИН И ПОСТУПАК БРИСАЊА.</w:t>
            </w:r>
          </w:p>
          <w:p w14:paraId="318EF958" w14:textId="2C122631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007990" w14:textId="39E0645B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                                             БРИСАЊЕ ИЗ РЕГИСТРА</w:t>
            </w:r>
          </w:p>
          <w:p w14:paraId="0E4465ED" w14:textId="77777777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                                                          ЧЛАН 7</w:t>
            </w:r>
          </w:p>
          <w:p w14:paraId="7106FC0D" w14:textId="79B0EEE2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БРИСАЊЕ ИЗ РЕГИСТРА ВРШИ СЕ НА ЗАХТЕВ РЕГИСТРОВАНЕ ЛАБОРАТОРИЈЕ.</w:t>
            </w:r>
          </w:p>
          <w:p w14:paraId="34007F73" w14:textId="77777777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ЕЛЕКТРОНСКИМ ПУТЕМ НА АДРЕСУ МИНИСТАРСТВА.</w:t>
            </w:r>
          </w:p>
          <w:p w14:paraId="12263B04" w14:textId="77777777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МИНИСТАРСТВО ЈЕ ДУЖНО ДА ИЗВРШИ ПРОВЕРУ ПОДАТАКА О БРИСАЊУ РЕГИСТРОВАНОГ ПРОИЗВОЂАЧА ИЗ РЕГИСТРА ПРИВРЕДНИХ СУБЈЕКАТА У АГЕНЦИЈИ ЗА ПРИВРЕДНЕ РЕГИСТРЕ.</w:t>
            </w:r>
          </w:p>
          <w:p w14:paraId="5FB2D2EE" w14:textId="77777777" w:rsidR="00001CE7" w:rsidRPr="00AD2E5F" w:rsidRDefault="00001CE7" w:rsidP="00001CE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                                                           ЧЛАН 8.</w:t>
            </w:r>
          </w:p>
          <w:p w14:paraId="1506ADFF" w14:textId="7469F764" w:rsidR="00CA1CE9" w:rsidRPr="002E0F85" w:rsidRDefault="00001CE7" w:rsidP="00AD2E5F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AD2E5F">
              <w:rPr>
                <w:rFonts w:ascii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 дан објављивања у „Службеном гласнику Републике Србије.“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CBFBE2" w14:textId="2257A5D2" w:rsidR="00043590" w:rsidRPr="00043590" w:rsidRDefault="00043590" w:rsidP="00043590">
            <w:pPr>
              <w:rPr>
                <w:rFonts w:ascii="Times New Roman" w:eastAsia="Times New Roman" w:hAnsi="Times New Roman"/>
                <w:noProof/>
                <w:lang w:val="sr-Cyrl-RS"/>
              </w:rPr>
            </w:pPr>
          </w:p>
          <w:p w14:paraId="6D8ADB06" w14:textId="453D5859" w:rsidR="00043590" w:rsidRPr="00043590" w:rsidRDefault="00043590" w:rsidP="00043590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4359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Директан трошак спровођења овог поступка за привредне субјекте на годишњем нивоу износио је </w:t>
            </w:r>
            <w:r w:rsidR="00E65C5A" w:rsidRPr="00ED0D7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418,21</w:t>
            </w:r>
            <w:r w:rsidRPr="0004359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РСД, што је еквивалентно износу од </w:t>
            </w:r>
            <w:r w:rsidR="00E65C5A" w:rsidRPr="00ED0D7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3,44</w:t>
            </w:r>
            <w:r w:rsidRPr="0004359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поступка.</w:t>
            </w:r>
          </w:p>
          <w:p w14:paraId="371AD04E" w14:textId="2E369D00" w:rsidR="00AD2E5F" w:rsidRPr="00043590" w:rsidRDefault="00043590" w:rsidP="00043590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4359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Усвајање и примена препорука, односно поједностављење поступка ће донети привредним субјектима годишње директне уштеде од </w:t>
            </w:r>
            <w:r w:rsidR="00E65C5A" w:rsidRPr="00ED0D7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107,75</w:t>
            </w:r>
            <w:r w:rsidRPr="0004359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 РСД или </w:t>
            </w:r>
            <w:r w:rsidR="00E65C5A" w:rsidRPr="00ED0D7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0,89</w:t>
            </w:r>
            <w:r w:rsidRPr="0004359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ЕУР. </w:t>
            </w:r>
          </w:p>
          <w:p w14:paraId="53682C70" w14:textId="1FE22DE9" w:rsidR="00AD2E5F" w:rsidRDefault="00AD2E5F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77777777" w:rsidR="00AD2E5F" w:rsidRPr="00DB19B9" w:rsidRDefault="00AD2E5F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47B8B" w14:textId="77777777" w:rsidR="001A1D6F" w:rsidRDefault="001A1D6F" w:rsidP="002A202F">
      <w:r>
        <w:separator/>
      </w:r>
    </w:p>
  </w:endnote>
  <w:endnote w:type="continuationSeparator" w:id="0">
    <w:p w14:paraId="7A5145FC" w14:textId="77777777" w:rsidR="001A1D6F" w:rsidRDefault="001A1D6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5AFBCF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8E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C5304" w14:textId="77777777" w:rsidR="001A1D6F" w:rsidRDefault="001A1D6F" w:rsidP="002A202F">
      <w:r>
        <w:separator/>
      </w:r>
    </w:p>
  </w:footnote>
  <w:footnote w:type="continuationSeparator" w:id="0">
    <w:p w14:paraId="5E0353DB" w14:textId="77777777" w:rsidR="001A1D6F" w:rsidRDefault="001A1D6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2"/>
  </w:num>
  <w:num w:numId="6">
    <w:abstractNumId w:val="11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1CE7"/>
    <w:rsid w:val="00002164"/>
    <w:rsid w:val="000050B3"/>
    <w:rsid w:val="0001445B"/>
    <w:rsid w:val="00023EF9"/>
    <w:rsid w:val="00026C2F"/>
    <w:rsid w:val="00027945"/>
    <w:rsid w:val="000367FF"/>
    <w:rsid w:val="00036812"/>
    <w:rsid w:val="00043590"/>
    <w:rsid w:val="00044F35"/>
    <w:rsid w:val="00044F63"/>
    <w:rsid w:val="00050616"/>
    <w:rsid w:val="00061070"/>
    <w:rsid w:val="000758EB"/>
    <w:rsid w:val="00083993"/>
    <w:rsid w:val="00092B84"/>
    <w:rsid w:val="0009542A"/>
    <w:rsid w:val="000A3E80"/>
    <w:rsid w:val="000A53F3"/>
    <w:rsid w:val="000A5CDC"/>
    <w:rsid w:val="000B0015"/>
    <w:rsid w:val="000B54D7"/>
    <w:rsid w:val="000D041E"/>
    <w:rsid w:val="000D5029"/>
    <w:rsid w:val="000E0D31"/>
    <w:rsid w:val="000E2036"/>
    <w:rsid w:val="000E6209"/>
    <w:rsid w:val="000F5E72"/>
    <w:rsid w:val="001018E4"/>
    <w:rsid w:val="001137D8"/>
    <w:rsid w:val="001156BA"/>
    <w:rsid w:val="001318ED"/>
    <w:rsid w:val="001513A6"/>
    <w:rsid w:val="0015182D"/>
    <w:rsid w:val="00161847"/>
    <w:rsid w:val="00170CA7"/>
    <w:rsid w:val="001711C5"/>
    <w:rsid w:val="0019161A"/>
    <w:rsid w:val="001A023F"/>
    <w:rsid w:val="001A1D6F"/>
    <w:rsid w:val="001A3FAC"/>
    <w:rsid w:val="001A6472"/>
    <w:rsid w:val="001C40C8"/>
    <w:rsid w:val="001C5538"/>
    <w:rsid w:val="001D0EDE"/>
    <w:rsid w:val="001D20E2"/>
    <w:rsid w:val="001E38DE"/>
    <w:rsid w:val="001F7B31"/>
    <w:rsid w:val="0020601F"/>
    <w:rsid w:val="00212DA5"/>
    <w:rsid w:val="0021347C"/>
    <w:rsid w:val="00226AE9"/>
    <w:rsid w:val="002323AC"/>
    <w:rsid w:val="00261404"/>
    <w:rsid w:val="002673B0"/>
    <w:rsid w:val="00275E2A"/>
    <w:rsid w:val="00296938"/>
    <w:rsid w:val="002A202F"/>
    <w:rsid w:val="002B19B4"/>
    <w:rsid w:val="002B7AE8"/>
    <w:rsid w:val="002D6658"/>
    <w:rsid w:val="002E0758"/>
    <w:rsid w:val="002E0F85"/>
    <w:rsid w:val="002F1BEC"/>
    <w:rsid w:val="002F4757"/>
    <w:rsid w:val="00307BF4"/>
    <w:rsid w:val="00322199"/>
    <w:rsid w:val="003223C7"/>
    <w:rsid w:val="00326555"/>
    <w:rsid w:val="003410E0"/>
    <w:rsid w:val="00350EAD"/>
    <w:rsid w:val="00351BB6"/>
    <w:rsid w:val="003531B7"/>
    <w:rsid w:val="003562BF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2F34"/>
    <w:rsid w:val="0048433C"/>
    <w:rsid w:val="004847B1"/>
    <w:rsid w:val="004873B5"/>
    <w:rsid w:val="00494A0F"/>
    <w:rsid w:val="0049545B"/>
    <w:rsid w:val="004A03B2"/>
    <w:rsid w:val="004B2652"/>
    <w:rsid w:val="004D3BD0"/>
    <w:rsid w:val="004D45B1"/>
    <w:rsid w:val="004D68A7"/>
    <w:rsid w:val="004E29D1"/>
    <w:rsid w:val="00500566"/>
    <w:rsid w:val="005073A3"/>
    <w:rsid w:val="00523608"/>
    <w:rsid w:val="00525C0A"/>
    <w:rsid w:val="00527809"/>
    <w:rsid w:val="00535608"/>
    <w:rsid w:val="00556688"/>
    <w:rsid w:val="0056162B"/>
    <w:rsid w:val="0056707B"/>
    <w:rsid w:val="00581A9D"/>
    <w:rsid w:val="005A1642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13AA"/>
    <w:rsid w:val="006237FE"/>
    <w:rsid w:val="00627AF7"/>
    <w:rsid w:val="00632540"/>
    <w:rsid w:val="00633F73"/>
    <w:rsid w:val="00645199"/>
    <w:rsid w:val="00645850"/>
    <w:rsid w:val="006460F7"/>
    <w:rsid w:val="00661ECF"/>
    <w:rsid w:val="006768CE"/>
    <w:rsid w:val="0068143A"/>
    <w:rsid w:val="00692071"/>
    <w:rsid w:val="00694B28"/>
    <w:rsid w:val="006C5349"/>
    <w:rsid w:val="006C5F2A"/>
    <w:rsid w:val="006C662C"/>
    <w:rsid w:val="006E305A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B1740"/>
    <w:rsid w:val="007B4B5C"/>
    <w:rsid w:val="007C5476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062"/>
    <w:rsid w:val="00850AD5"/>
    <w:rsid w:val="00852739"/>
    <w:rsid w:val="008629CC"/>
    <w:rsid w:val="00865EBB"/>
    <w:rsid w:val="00876569"/>
    <w:rsid w:val="00883D59"/>
    <w:rsid w:val="00886C36"/>
    <w:rsid w:val="008A6AC8"/>
    <w:rsid w:val="008C5591"/>
    <w:rsid w:val="008D04A6"/>
    <w:rsid w:val="008D37A3"/>
    <w:rsid w:val="008D4C1A"/>
    <w:rsid w:val="008F0867"/>
    <w:rsid w:val="008F172F"/>
    <w:rsid w:val="008F2044"/>
    <w:rsid w:val="008F2BE1"/>
    <w:rsid w:val="008F4DD1"/>
    <w:rsid w:val="008F4DEA"/>
    <w:rsid w:val="009056DB"/>
    <w:rsid w:val="00947592"/>
    <w:rsid w:val="00947ACD"/>
    <w:rsid w:val="00950280"/>
    <w:rsid w:val="00991A18"/>
    <w:rsid w:val="00994A16"/>
    <w:rsid w:val="009A30D3"/>
    <w:rsid w:val="009C2130"/>
    <w:rsid w:val="009D03A7"/>
    <w:rsid w:val="009E0479"/>
    <w:rsid w:val="009E72A3"/>
    <w:rsid w:val="00A0102E"/>
    <w:rsid w:val="00A12960"/>
    <w:rsid w:val="00A142F1"/>
    <w:rsid w:val="00A1570D"/>
    <w:rsid w:val="00A22386"/>
    <w:rsid w:val="00A35E7A"/>
    <w:rsid w:val="00A56B75"/>
    <w:rsid w:val="00A71C04"/>
    <w:rsid w:val="00A9496F"/>
    <w:rsid w:val="00AA0017"/>
    <w:rsid w:val="00AA4BC5"/>
    <w:rsid w:val="00AB09B3"/>
    <w:rsid w:val="00AC02D1"/>
    <w:rsid w:val="00AD2E5F"/>
    <w:rsid w:val="00B06019"/>
    <w:rsid w:val="00B07409"/>
    <w:rsid w:val="00B1006E"/>
    <w:rsid w:val="00B178FB"/>
    <w:rsid w:val="00B41078"/>
    <w:rsid w:val="00B5252A"/>
    <w:rsid w:val="00B63DB1"/>
    <w:rsid w:val="00B67138"/>
    <w:rsid w:val="00B6715C"/>
    <w:rsid w:val="00B74CE2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3B64"/>
    <w:rsid w:val="00C005A0"/>
    <w:rsid w:val="00C01DE4"/>
    <w:rsid w:val="00C0295C"/>
    <w:rsid w:val="00C03C06"/>
    <w:rsid w:val="00C121EC"/>
    <w:rsid w:val="00C12C65"/>
    <w:rsid w:val="00C445E2"/>
    <w:rsid w:val="00C51B79"/>
    <w:rsid w:val="00C57275"/>
    <w:rsid w:val="00C70F1B"/>
    <w:rsid w:val="00C7129D"/>
    <w:rsid w:val="00C713AF"/>
    <w:rsid w:val="00C748D1"/>
    <w:rsid w:val="00C91014"/>
    <w:rsid w:val="00CA012E"/>
    <w:rsid w:val="00CA1CE9"/>
    <w:rsid w:val="00CB1A4E"/>
    <w:rsid w:val="00CB7141"/>
    <w:rsid w:val="00CC29F6"/>
    <w:rsid w:val="00CD2287"/>
    <w:rsid w:val="00CD5BBB"/>
    <w:rsid w:val="00CE0685"/>
    <w:rsid w:val="00D37EA5"/>
    <w:rsid w:val="00D47CE3"/>
    <w:rsid w:val="00D73628"/>
    <w:rsid w:val="00D73918"/>
    <w:rsid w:val="00D86DB4"/>
    <w:rsid w:val="00D967D7"/>
    <w:rsid w:val="00DA125D"/>
    <w:rsid w:val="00DA30C5"/>
    <w:rsid w:val="00DB19B9"/>
    <w:rsid w:val="00DC4BC2"/>
    <w:rsid w:val="00DE057D"/>
    <w:rsid w:val="00E0020F"/>
    <w:rsid w:val="00E041C9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149"/>
    <w:rsid w:val="00E63C8A"/>
    <w:rsid w:val="00E65C5A"/>
    <w:rsid w:val="00E70BF6"/>
    <w:rsid w:val="00ED0D7D"/>
    <w:rsid w:val="00ED3206"/>
    <w:rsid w:val="00F11C98"/>
    <w:rsid w:val="00F12E47"/>
    <w:rsid w:val="00F17B95"/>
    <w:rsid w:val="00F223B2"/>
    <w:rsid w:val="00F423DA"/>
    <w:rsid w:val="00F53241"/>
    <w:rsid w:val="00F571A1"/>
    <w:rsid w:val="00F67790"/>
    <w:rsid w:val="00F80225"/>
    <w:rsid w:val="00FA5D6F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D85F874B-1D6D-4C53-872A-549E5545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56579-BF00-4278-A70F-0A9E14DD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11</cp:revision>
  <cp:lastPrinted>2018-09-05T12:48:00Z</cp:lastPrinted>
  <dcterms:created xsi:type="dcterms:W3CDTF">2020-05-06T09:33:00Z</dcterms:created>
  <dcterms:modified xsi:type="dcterms:W3CDTF">2020-07-03T17:56:00Z</dcterms:modified>
</cp:coreProperties>
</file>