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BF58B" w14:textId="7EECD50E" w:rsidR="00C1331B" w:rsidRPr="00A16627" w:rsidRDefault="00933D81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A16627">
        <w:rPr>
          <w:b/>
          <w:sz w:val="22"/>
          <w:szCs w:val="22"/>
          <w:lang w:val="sr-Cyrl-RS"/>
        </w:rPr>
        <w:t>ПОЈЕДНОСТАВЉЕЊЕ ПОСТУПКА ОДОБРЕЊА УВОЗА УЗОРАКА ПРЕДМЕТА ОПШТЕ УПОТРЕБЕ РАДИ ЛАБОРАТОРИЈСКОГ ИСПИТИВАЊА</w:t>
      </w:r>
    </w:p>
    <w:p w14:paraId="6E77BA59" w14:textId="77777777" w:rsidR="00C1331B" w:rsidRPr="00A16627" w:rsidRDefault="00C1331B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16627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1662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F02B6D8" w:rsidR="000E2036" w:rsidRPr="00A16627" w:rsidRDefault="0026585C" w:rsidP="0026585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A16627">
              <w:rPr>
                <w:sz w:val="22"/>
                <w:szCs w:val="22"/>
                <w:lang w:val="sr-Latn-RS"/>
              </w:rPr>
              <w:t>Одобрење увоза узорака предмета опште употребе ради лабораторијског испитивања</w:t>
            </w:r>
          </w:p>
        </w:tc>
      </w:tr>
      <w:tr w:rsidR="00850AD5" w:rsidRPr="00A16627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1662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1662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05B14A0" w:rsidR="000E2036" w:rsidRPr="00A16627" w:rsidRDefault="008444DB" w:rsidP="002658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16627">
              <w:rPr>
                <w:sz w:val="22"/>
                <w:szCs w:val="22"/>
                <w:lang w:val="sr-Cyrl-RS"/>
              </w:rPr>
              <w:t>04.00.003</w:t>
            </w:r>
            <w:r w:rsidR="0026585C" w:rsidRPr="00A16627">
              <w:rPr>
                <w:sz w:val="22"/>
                <w:szCs w:val="22"/>
                <w:lang w:val="sr-Cyrl-RS"/>
              </w:rPr>
              <w:t>5</w:t>
            </w:r>
          </w:p>
        </w:tc>
      </w:tr>
      <w:tr w:rsidR="00850AD5" w:rsidRPr="00A16627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1662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1662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1662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1662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A8D22AF" w:rsidR="00092B84" w:rsidRPr="00A16627" w:rsidRDefault="00C133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16627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A16627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1662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1662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1662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1662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CE2A212" w:rsidR="00251CC3" w:rsidRPr="00A16627" w:rsidRDefault="008444DB" w:rsidP="006309DC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здравственој испра</w:t>
            </w:r>
            <w:r w:rsidR="008F1098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вности предмета опште употребе („Сл. гласник РС“ бр. 92/2011)</w:t>
            </w:r>
          </w:p>
        </w:tc>
      </w:tr>
      <w:tr w:rsidR="00850AD5" w:rsidRPr="00A16627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1662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1662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1662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A1662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1662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1662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F8564FC" w14:textId="2EC9D9AB" w:rsidR="005E4109" w:rsidRPr="005E4109" w:rsidRDefault="005E4109" w:rsidP="005E4109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E4109">
              <w:rPr>
                <w:rFonts w:ascii="Times New Roman" w:hAnsi="Times New Roman"/>
                <w:sz w:val="22"/>
                <w:szCs w:val="22"/>
                <w:lang w:val="sr-Cyrl-RS"/>
              </w:rPr>
              <w:t>Доношење новог правилника којим ће се ближе уредити начин, поступак и услови за увоз предмета опште употребе</w:t>
            </w:r>
          </w:p>
          <w:p w14:paraId="55CB4618" w14:textId="403FFDD6" w:rsidR="00D73918" w:rsidRPr="00A16627" w:rsidRDefault="005E4109" w:rsidP="005E4109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E4109">
              <w:rPr>
                <w:rFonts w:ascii="Times New Roman" w:hAnsi="Times New Roman"/>
                <w:sz w:val="22"/>
                <w:szCs w:val="22"/>
                <w:lang w:val="sr-Cyrl-RS"/>
              </w:rPr>
              <w:t>Доношење нове Инструкције у вези увоза и извоза предмета опште употребе</w:t>
            </w:r>
          </w:p>
        </w:tc>
      </w:tr>
      <w:tr w:rsidR="00850AD5" w:rsidRPr="00A16627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1662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1662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1662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CD2D807" w:rsidR="00AE722E" w:rsidRPr="00A16627" w:rsidRDefault="00CF1130" w:rsidP="008F109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CF1130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A16627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1662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1662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16627" w14:paraId="4635A4BE" w14:textId="77777777" w:rsidTr="00CA1CE9">
        <w:tc>
          <w:tcPr>
            <w:tcW w:w="9060" w:type="dxa"/>
            <w:gridSpan w:val="2"/>
          </w:tcPr>
          <w:p w14:paraId="218393BD" w14:textId="6E046A32" w:rsidR="000B3651" w:rsidRPr="00A16627" w:rsidRDefault="00370F2C" w:rsidP="000B365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поступку увоза </w:t>
            </w:r>
            <w:r w:rsidR="004A3938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узорка </w:t>
            </w:r>
            <w:r w:rsidR="008444DB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предмета опште употребе</w:t>
            </w:r>
            <w:r w:rsidR="000B3651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није ближе прописан </w:t>
            </w:r>
            <w:r w:rsidR="00140008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увоза узорака предм</w:t>
            </w:r>
            <w:r w:rsidR="002D5EB8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140008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та опште употребе. Д</w:t>
            </w:r>
            <w:r w:rsidR="000B3651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окументација која се потражује од подносиоца захтева није утврђена </w:t>
            </w:r>
            <w:r w:rsidR="009C60C1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прописом</w:t>
            </w:r>
            <w:r w:rsidR="000B3651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већ се утврђује у складу са документацијом која се тражи приликом извоза </w:t>
            </w:r>
            <w:r w:rsidR="00140008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истих</w:t>
            </w:r>
            <w:r w:rsidR="008444DB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F3CB4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предмета</w:t>
            </w:r>
            <w:r w:rsidR="008444DB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опште употребе</w:t>
            </w:r>
            <w:r w:rsidR="000B3651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73562550" w14:textId="306FF7A8" w:rsidR="009C60C1" w:rsidRPr="00A16627" w:rsidRDefault="009C60C1" w:rsidP="009C60C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на обрасцу</w:t>
            </w:r>
            <w:r w:rsidR="004A3938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, лично или поштом</w:t>
            </w: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који не садржи све елементе који су неопходни што може довести до учесталих неуредних захтева, повећања трошкова и неефикасног спровођења поступка. </w:t>
            </w:r>
          </w:p>
          <w:p w14:paraId="0AD7DEE2" w14:textId="33069BD0" w:rsidR="00251CC3" w:rsidRPr="00A16627" w:rsidRDefault="00251CC3" w:rsidP="000C216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Не постоји регистар/евиденција издатих аката</w:t>
            </w:r>
            <w:r w:rsidR="0056605D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облику.</w:t>
            </w:r>
          </w:p>
          <w:p w14:paraId="4BCB02C2" w14:textId="5723C3A7" w:rsidR="0009542A" w:rsidRPr="00A16627" w:rsidRDefault="00FE197F" w:rsidP="004A393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Подносиоцу захтева се, поред републичке административне таксе за захтев и решење</w:t>
            </w:r>
            <w:r w:rsidR="004A3938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,  наплаћује накнада</w:t>
            </w:r>
            <w:r w:rsidR="0056605D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која нема правни основ</w:t>
            </w:r>
            <w:r w:rsidR="004A3938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A16627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1662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1662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16627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16627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A16627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34"/>
              <w:gridCol w:w="50"/>
              <w:gridCol w:w="1781"/>
              <w:gridCol w:w="1637"/>
            </w:tblGrid>
            <w:tr w:rsidR="00C70F1B" w:rsidRPr="00A16627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1662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1662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1662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16627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A1662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gridSpan w:val="2"/>
                  <w:shd w:val="clear" w:color="auto" w:fill="F2F2F2" w:themeFill="background1" w:themeFillShade="F2"/>
                </w:tcPr>
                <w:p w14:paraId="4FE48A96" w14:textId="77777777" w:rsidR="00C70F1B" w:rsidRPr="00A1662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A1662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A1662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915EF" w:rsidRPr="00A16627" w14:paraId="23C8C1E7" w14:textId="77777777" w:rsidTr="00D73501">
              <w:trPr>
                <w:trHeight w:val="244"/>
              </w:trPr>
              <w:tc>
                <w:tcPr>
                  <w:tcW w:w="3632" w:type="dxa"/>
                </w:tcPr>
                <w:p w14:paraId="68A30893" w14:textId="555B219A" w:rsidR="00B915EF" w:rsidRPr="00A16627" w:rsidRDefault="00E04A26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  <w:r w:rsidR="00B915EF"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 </w:t>
                  </w:r>
                </w:p>
              </w:tc>
              <w:tc>
                <w:tcPr>
                  <w:tcW w:w="5202" w:type="dxa"/>
                  <w:gridSpan w:val="4"/>
                </w:tcPr>
                <w:p w14:paraId="518CDB60" w14:textId="1A98766C" w:rsidR="00B915EF" w:rsidRPr="00A16627" w:rsidRDefault="00B915EF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33E28" w:rsidRPr="00A16627" w14:paraId="2AEA3FB3" w14:textId="77777777" w:rsidTr="006309DC">
              <w:trPr>
                <w:trHeight w:val="244"/>
              </w:trPr>
              <w:tc>
                <w:tcPr>
                  <w:tcW w:w="3632" w:type="dxa"/>
                </w:tcPr>
                <w:p w14:paraId="5B6D308B" w14:textId="77B52FAF" w:rsidR="00233E28" w:rsidRPr="00A16627" w:rsidRDefault="008F1098" w:rsidP="008F1098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Утврђивање правног основа за  документацију  </w:t>
                  </w:r>
                </w:p>
              </w:tc>
              <w:tc>
                <w:tcPr>
                  <w:tcW w:w="1734" w:type="dxa"/>
                </w:tcPr>
                <w:p w14:paraId="1C58958C" w14:textId="4C585E24" w:rsidR="00233E28" w:rsidRPr="00A16627" w:rsidRDefault="00233E28" w:rsidP="00233E2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831" w:type="dxa"/>
                  <w:gridSpan w:val="2"/>
                </w:tcPr>
                <w:p w14:paraId="0D6DE78A" w14:textId="77777777" w:rsidR="00233E28" w:rsidRPr="00A16627" w:rsidRDefault="00233E28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06EC1B91" w14:textId="7D7069AC" w:rsidR="00233E28" w:rsidRPr="00A16627" w:rsidRDefault="008F1098" w:rsidP="008F109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2C464E" w:rsidRPr="00A16627" w14:paraId="312E47DE" w14:textId="77777777" w:rsidTr="006309DC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1B648A0" w14:textId="77777777" w:rsidR="002C464E" w:rsidRPr="00A16627" w:rsidRDefault="002C464E" w:rsidP="001311C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34" w:type="dxa"/>
                  <w:vAlign w:val="center"/>
                </w:tcPr>
                <w:p w14:paraId="190CE770" w14:textId="77777777" w:rsidR="002C464E" w:rsidRPr="00A16627" w:rsidRDefault="002C464E" w:rsidP="001311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31" w:type="dxa"/>
                  <w:gridSpan w:val="2"/>
                  <w:vAlign w:val="center"/>
                </w:tcPr>
                <w:p w14:paraId="1F1767D7" w14:textId="77777777" w:rsidR="002C464E" w:rsidRPr="00A16627" w:rsidRDefault="002C464E" w:rsidP="001311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5FF766C4" w14:textId="77777777" w:rsidR="002C464E" w:rsidRPr="00A16627" w:rsidRDefault="002C464E" w:rsidP="001311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A16627" w14:paraId="57E988BC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69B4895" w14:textId="77777777" w:rsidR="00CA1CE9" w:rsidRPr="00A16627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2E3C3C7E" w14:textId="77777777" w:rsidR="00CA1CE9" w:rsidRPr="00A16627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A16627" w14:paraId="07DC98D3" w14:textId="77777777" w:rsidTr="00A25307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52F81C5" w14:textId="7CF3491A" w:rsidR="00CA1CE9" w:rsidRPr="00A16627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постојећег обрасца</w:t>
                  </w:r>
                  <w:r w:rsidR="008F1098" w:rsidRPr="00A1662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</w:t>
                  </w:r>
                </w:p>
              </w:tc>
              <w:tc>
                <w:tcPr>
                  <w:tcW w:w="1784" w:type="dxa"/>
                  <w:gridSpan w:val="2"/>
                  <w:vAlign w:val="center"/>
                </w:tcPr>
                <w:p w14:paraId="7A922480" w14:textId="314C3F87" w:rsidR="00A25307" w:rsidRPr="00A16627" w:rsidRDefault="00A25307" w:rsidP="00A2530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538F3CB5" w14:textId="6812D2FE" w:rsidR="00CA1CE9" w:rsidRPr="00A16627" w:rsidRDefault="00251CC3" w:rsidP="00A2530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3918CF7C" w14:textId="552DE9A5" w:rsidR="00CA1CE9" w:rsidRPr="00A16627" w:rsidRDefault="00CA1CE9" w:rsidP="00A2530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A16627" w14:paraId="447BC5E6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A621688" w14:textId="06932559" w:rsidR="00CA1CE9" w:rsidRPr="00A16627" w:rsidRDefault="00CA1CE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en-GB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Финансијски издаци</w:t>
                  </w:r>
                </w:p>
              </w:tc>
              <w:tc>
                <w:tcPr>
                  <w:tcW w:w="5202" w:type="dxa"/>
                  <w:gridSpan w:val="4"/>
                </w:tcPr>
                <w:p w14:paraId="50075604" w14:textId="77777777" w:rsidR="00CA1CE9" w:rsidRPr="00A16627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A16627" w14:paraId="733B72C9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06FDFB2" w14:textId="0E2CF184" w:rsidR="00CA1CE9" w:rsidRPr="00A16627" w:rsidRDefault="00CA1CE9" w:rsidP="0056605D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наплаћиване накнаде</w:t>
                  </w:r>
                  <w:r w:rsidR="0056605D" w:rsidRPr="00A1662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која нема правни основ</w:t>
                  </w:r>
                  <w:r w:rsidRPr="00A1662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  <w:gridSpan w:val="2"/>
                </w:tcPr>
                <w:p w14:paraId="7EE571D2" w14:textId="77777777" w:rsidR="00CA1CE9" w:rsidRPr="00A16627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34C9467" w14:textId="574E0B42" w:rsidR="00CA1CE9" w:rsidRPr="00A16627" w:rsidRDefault="00251CC3" w:rsidP="00251CC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6BE60ADB" w14:textId="77777777" w:rsidR="00CA1CE9" w:rsidRPr="00A16627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C59F0" w:rsidRPr="00A16627" w14:paraId="003701DB" w14:textId="77777777" w:rsidTr="0017198E">
              <w:trPr>
                <w:trHeight w:val="489"/>
              </w:trPr>
              <w:tc>
                <w:tcPr>
                  <w:tcW w:w="8834" w:type="dxa"/>
                  <w:gridSpan w:val="5"/>
                </w:tcPr>
                <w:p w14:paraId="0F21012E" w14:textId="712955DE" w:rsidR="00BC59F0" w:rsidRPr="00A16627" w:rsidRDefault="009847A5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</w:t>
                  </w:r>
                  <w:r w:rsidR="00BC59F0"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ровођење поступка</w:t>
                  </w:r>
                </w:p>
              </w:tc>
            </w:tr>
            <w:tr w:rsidR="00BC59F0" w:rsidRPr="00A16627" w14:paraId="17E47430" w14:textId="77777777" w:rsidTr="00836425">
              <w:trPr>
                <w:trHeight w:val="489"/>
              </w:trPr>
              <w:tc>
                <w:tcPr>
                  <w:tcW w:w="3632" w:type="dxa"/>
                </w:tcPr>
                <w:p w14:paraId="40459D3B" w14:textId="73503169" w:rsidR="00BC59F0" w:rsidRPr="00A16627" w:rsidRDefault="00BC59F0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</w:t>
                  </w:r>
                  <w:r w:rsidR="0056605D" w:rsidRPr="00A1662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попуњавање и </w:t>
                  </w:r>
                  <w:r w:rsidRPr="00A1662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подношење захтева</w:t>
                  </w:r>
                  <w:r w:rsidR="00CF1130">
                    <w:t xml:space="preserve"> </w:t>
                  </w:r>
                  <w:r w:rsidR="00CF1130" w:rsidRPr="00CF113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  <w:gridSpan w:val="2"/>
                </w:tcPr>
                <w:p w14:paraId="49ADAA76" w14:textId="77777777" w:rsidR="00BC59F0" w:rsidRPr="00A16627" w:rsidRDefault="00BC59F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6715C64" w14:textId="28F1B7BB" w:rsidR="00BC59F0" w:rsidRPr="00A16627" w:rsidRDefault="00BC59F0" w:rsidP="00251CC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65F234E7" w14:textId="77777777" w:rsidR="00BC59F0" w:rsidRPr="00A16627" w:rsidRDefault="00BC59F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7C67D77" w:rsidR="00CA1CE9" w:rsidRPr="00A16627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16627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1662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16627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16627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60015D9" w14:textId="79CED91F" w:rsidR="00251CC3" w:rsidRPr="00A16627" w:rsidRDefault="00E04A26" w:rsidP="00E04A26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Утврђивање правног основа </w:t>
            </w:r>
            <w:r w:rsidR="00BC59F0" w:rsidRPr="00A1662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за  документацију</w:t>
            </w:r>
            <w:r w:rsidRPr="00A1662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 </w:t>
            </w:r>
          </w:p>
          <w:p w14:paraId="7C533929" w14:textId="77777777" w:rsidR="00E04A26" w:rsidRPr="00A16627" w:rsidRDefault="00E04A26" w:rsidP="00ED1BCC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F5C2AF1" w14:textId="489C91C0" w:rsidR="007605AB" w:rsidRPr="00A16627" w:rsidRDefault="008444DB" w:rsidP="007605AB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Законом о здравственој исправности предмета опште употребе "Службени гласник РС", број 92/2011 године, су предвиђени услови које у погледу здравствене исправности морају да испуњавају предмети опште употребе, намењени за људску употребу</w:t>
            </w:r>
            <w:r w:rsidR="008F3CB4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који се производе у Републици Србији или се увозе или извозе ради стављања </w:t>
            </w:r>
            <w:r w:rsidR="007605AB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 да предмети опште употребе. </w:t>
            </w:r>
            <w:r w:rsidR="002D5EB8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Услови за увоз узорака предмета опште употребе нису утврђени. </w:t>
            </w:r>
            <w:r w:rsidR="007605AB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Подзаконски акт</w:t>
            </w:r>
            <w:r w:rsidR="002D5EB8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7605AB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којим би се ближе уредили услови које у погледу здравствене исправности морају испуњавати предмети опште </w:t>
            </w:r>
            <w:r w:rsidR="006E35C6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употребе</w:t>
            </w:r>
            <w:r w:rsidR="007605AB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још увек није д</w:t>
            </w:r>
            <w:r w:rsidR="00164F8F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онет, иако је чланом 6. Закона </w:t>
            </w:r>
            <w:r w:rsidR="007605AB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предвиђено да ће Министар надлежан за послове здравља прописати услове у погледу здравствене исправности предмета опште употребе. Још увек се примењује Правилник  о условима у погледу здравствене исправности предмета опште употребе који се могустављати у промет „Службени лист СФРЈ”, бр. 26/1983, 61/ 1984, 56/ 1986, 50/ 1989, 18/ 1991 који је донет на основу Закона о здравственој исправности животних намирница и предмета опште употребе (“Службени лист СФРЈ”, бр. 55/78 и 8/85), који је престао да важи, а чији је део одредби остао на снази до доношења нових подзаконских аката. </w:t>
            </w:r>
          </w:p>
          <w:p w14:paraId="0E65EF10" w14:textId="7C96364D" w:rsidR="00E04B3B" w:rsidRPr="00A16627" w:rsidRDefault="00113C5C" w:rsidP="008F3CB4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увоза</w:t>
            </w:r>
            <w:r w:rsidR="00A93360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605AB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предмета опште употребе</w:t>
            </w:r>
            <w:r w:rsidR="008F3CB4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делимично је</w:t>
            </w:r>
            <w:r w:rsidR="00065D57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уређен Законом</w:t>
            </w:r>
            <w:r w:rsidR="007605AB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8F3CB4" w:rsidRPr="00A16627">
              <w:rPr>
                <w:sz w:val="22"/>
                <w:szCs w:val="22"/>
              </w:rPr>
              <w:t xml:space="preserve"> </w:t>
            </w:r>
            <w:r w:rsidR="008F3CB4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чланом 32,  којим је предвиђено да субјект који је у пословању предметима опште употребе, мора да пре царињења поднесе писмени захтев министарству надлежном за послове здравља, ради утврђивања здравствене исправности.</w:t>
            </w:r>
            <w:r w:rsidR="002D5EB8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F3CB4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ставом 3. истог члана је предвиђено да министар надлежан за послове здравља прописује који докази се подносе уз захтев за службену контролу предмета опште употребе који се увозе. </w:t>
            </w:r>
            <w:r w:rsidR="002D5EB8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увоза узорака предмета опште намене није посебно уређен прописима. </w:t>
            </w:r>
            <w:r w:rsidR="008F3CB4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Како подзаконски акт није донет, 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запослени </w:t>
            </w:r>
            <w:r w:rsidR="00BF1822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 споровођењу</w:t>
            </w:r>
            <w:r w:rsidR="00065D57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F1822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</w:t>
            </w:r>
            <w:r w:rsidR="00065D57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="00BF1822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ка,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F3CB4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документацију утврђују 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применом </w:t>
            </w:r>
            <w:r w:rsidR="008F3CB4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принципа реципроцитета наводећи документа која се потражују од наших извозника </w:t>
            </w:r>
            <w:r w:rsidR="002D5EB8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 </w:t>
            </w:r>
            <w:r w:rsidR="008F3CB4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предмета опште </w:t>
            </w:r>
            <w:r w:rsidR="006E35C6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употребе и провером испуњености</w:t>
            </w:r>
            <w:r w:rsidR="006E35C6" w:rsidRPr="00A16627">
              <w:rPr>
                <w:sz w:val="22"/>
                <w:szCs w:val="22"/>
              </w:rPr>
              <w:t xml:space="preserve"> </w:t>
            </w:r>
            <w:r w:rsidR="006E35C6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услова које је Република Србија признала као истоветне њима или услова садржаних у потврђеним међународним споразумима</w:t>
            </w:r>
            <w:r w:rsidR="008F3CB4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E04B3B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осталом делу примењују се правила Закона о општем управном поступку. </w:t>
            </w:r>
          </w:p>
          <w:p w14:paraId="3A35D788" w14:textId="29AE2E53" w:rsidR="00E04A26" w:rsidRPr="00A16627" w:rsidRDefault="00BF1822" w:rsidP="00113C5C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 би се заштитио јавни интерес и обезбедила правна сигурности и странкама олакшао поступак подношења захтева</w:t>
            </w:r>
            <w:r w:rsidR="00A93360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препору</w:t>
            </w:r>
            <w:r w:rsidR="00065D57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чује се 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да се </w:t>
            </w:r>
            <w:r w:rsidR="008F3CB4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утврде услови  и 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издавања одобрења за увоз </w:t>
            </w:r>
            <w:r w:rsidR="006E35C6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предмета </w:t>
            </w:r>
            <w:r w:rsidR="008F3CB4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опште </w:t>
            </w:r>
            <w:r w:rsidR="006E35C6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употребе</w:t>
            </w:r>
            <w:r w:rsidR="002D5EB8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="00065D57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реди </w:t>
            </w:r>
            <w:r w:rsidR="008F3CB4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доношењем подзаконског акта - п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равилника.</w:t>
            </w:r>
            <w:r w:rsidR="00065D57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DC02E00" w14:textId="6D241252" w:rsidR="00BF1822" w:rsidRPr="00A16627" w:rsidRDefault="00065D57" w:rsidP="00065D57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</w:t>
            </w:r>
            <w:r w:rsidR="00BF1822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 спровођење овог административног поступка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прописаће се рокови, начин подношења и решавања по захтеву. Поред захтева на прописаном обрасцу, предлаже се да се пропише  следећ</w:t>
            </w:r>
            <w:r w:rsidR="0056605D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документациј</w:t>
            </w:r>
            <w:r w:rsidR="0056605D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BF1822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</w:p>
          <w:tbl>
            <w:tblPr>
              <w:tblStyle w:val="GridTable6Colorful-Accent11"/>
              <w:tblW w:w="8320" w:type="dxa"/>
              <w:tblLook w:val="04A0" w:firstRow="1" w:lastRow="0" w:firstColumn="1" w:lastColumn="0" w:noHBand="0" w:noVBand="1"/>
            </w:tblPr>
            <w:tblGrid>
              <w:gridCol w:w="1555"/>
              <w:gridCol w:w="6765"/>
            </w:tblGrid>
            <w:tr w:rsidR="00A93360" w:rsidRPr="00A16627" w14:paraId="65E39207" w14:textId="77777777" w:rsidTr="00CE7AF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92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5" w:type="dxa"/>
                  <w:noWrap/>
                  <w:hideMark/>
                </w:tcPr>
                <w:p w14:paraId="0CC01504" w14:textId="5193A2BE" w:rsidR="00A93360" w:rsidRPr="00A16627" w:rsidRDefault="00CE7AF7" w:rsidP="0062759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color w:val="000000"/>
                      <w:lang w:val="sr-Cyrl-RS"/>
                    </w:rPr>
                    <w:t>Документ бр</w:t>
                  </w:r>
                </w:p>
              </w:tc>
              <w:tc>
                <w:tcPr>
                  <w:tcW w:w="6765" w:type="dxa"/>
                  <w:hideMark/>
                </w:tcPr>
                <w:p w14:paraId="3FF2EFBA" w14:textId="27D73DCC" w:rsidR="00A93360" w:rsidRPr="00A16627" w:rsidRDefault="00CE7AF7" w:rsidP="00CE7AF7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iCs/>
                      <w:color w:val="000000"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iCs/>
                      <w:color w:val="000000"/>
                      <w:lang w:val="sr-Cyrl-RS"/>
                    </w:rPr>
                    <w:t>Назив документа</w:t>
                  </w:r>
                </w:p>
              </w:tc>
            </w:tr>
            <w:tr w:rsidR="00CC15C8" w:rsidRPr="00A16627" w14:paraId="22471A7E" w14:textId="77777777" w:rsidTr="00033AA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5" w:type="dxa"/>
                  <w:noWrap/>
                  <w:vAlign w:val="center"/>
                </w:tcPr>
                <w:p w14:paraId="08CCEFBF" w14:textId="1AEC283A" w:rsidR="00CC15C8" w:rsidRPr="00A16627" w:rsidRDefault="00CC15C8" w:rsidP="00627594">
                  <w:pPr>
                    <w:jc w:val="center"/>
                    <w:rPr>
                      <w:rFonts w:ascii="Times New Roman" w:eastAsia="Times New Roman" w:hAnsi="Times New Roman"/>
                      <w:b w:val="0"/>
                      <w:color w:val="000000"/>
                    </w:rPr>
                  </w:pPr>
                  <w:r w:rsidRPr="00A16627">
                    <w:rPr>
                      <w:rFonts w:ascii="Times New Roman" w:hAnsi="Times New Roman"/>
                      <w:b w:val="0"/>
                      <w:color w:val="000000"/>
                    </w:rPr>
                    <w:t>Документ 1</w:t>
                  </w:r>
                </w:p>
              </w:tc>
              <w:tc>
                <w:tcPr>
                  <w:tcW w:w="6765" w:type="dxa"/>
                  <w:vAlign w:val="center"/>
                </w:tcPr>
                <w:p w14:paraId="3916299C" w14:textId="0129E07B" w:rsidR="00CC15C8" w:rsidRPr="00A16627" w:rsidRDefault="00CC15C8" w:rsidP="00CC15C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iCs/>
                      <w:color w:val="000000"/>
                      <w:lang w:val="sr-Cyrl-RS"/>
                    </w:rPr>
                  </w:pPr>
                  <w:r w:rsidRPr="00A16627">
                    <w:rPr>
                      <w:rFonts w:ascii="Times New Roman" w:hAnsi="Times New Roman"/>
                      <w:iCs/>
                      <w:color w:val="000000"/>
                    </w:rPr>
                    <w:t xml:space="preserve">Царински документ  (ЈЦИ или СД или друго), </w:t>
                  </w:r>
                  <w:r w:rsidRPr="00A16627">
                    <w:rPr>
                      <w:rFonts w:ascii="Times New Roman" w:hAnsi="Times New Roman"/>
                      <w:iCs/>
                      <w:color w:val="000000"/>
                      <w:lang w:val="sr-Cyrl-RS"/>
                    </w:rPr>
                    <w:t>увидом у базу Управе царина</w:t>
                  </w:r>
                </w:p>
              </w:tc>
            </w:tr>
            <w:tr w:rsidR="00CC15C8" w:rsidRPr="00A16627" w14:paraId="373780DC" w14:textId="77777777" w:rsidTr="00033AA2">
              <w:trPr>
                <w:trHeight w:val="29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5" w:type="dxa"/>
                  <w:noWrap/>
                  <w:vAlign w:val="center"/>
                </w:tcPr>
                <w:p w14:paraId="6666001D" w14:textId="7698272A" w:rsidR="00CC15C8" w:rsidRPr="00A16627" w:rsidRDefault="00CC15C8" w:rsidP="00627594">
                  <w:pPr>
                    <w:jc w:val="center"/>
                    <w:rPr>
                      <w:rFonts w:ascii="Times New Roman" w:eastAsia="Times New Roman" w:hAnsi="Times New Roman"/>
                      <w:b w:val="0"/>
                      <w:color w:val="000000"/>
                    </w:rPr>
                  </w:pPr>
                  <w:r w:rsidRPr="00A16627">
                    <w:rPr>
                      <w:rFonts w:ascii="Times New Roman" w:hAnsi="Times New Roman"/>
                      <w:b w:val="0"/>
                      <w:color w:val="000000"/>
                    </w:rPr>
                    <w:t>Документ 2</w:t>
                  </w:r>
                </w:p>
              </w:tc>
              <w:tc>
                <w:tcPr>
                  <w:tcW w:w="6765" w:type="dxa"/>
                  <w:vAlign w:val="center"/>
                </w:tcPr>
                <w:p w14:paraId="721F561D" w14:textId="52FE7F10" w:rsidR="00CC15C8" w:rsidRPr="00A16627" w:rsidRDefault="00CC15C8" w:rsidP="00CE7AF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iCs/>
                      <w:color w:val="000000"/>
                      <w:lang w:val="sr-Cyrl-RS"/>
                    </w:rPr>
                  </w:pPr>
                  <w:r w:rsidRPr="00A16627">
                    <w:rPr>
                      <w:rFonts w:ascii="Times New Roman" w:hAnsi="Times New Roman"/>
                      <w:iCs/>
                      <w:color w:val="000000"/>
                    </w:rPr>
                    <w:t>Товарни лист или фактура</w:t>
                  </w:r>
                  <w:r w:rsidRPr="00A16627">
                    <w:rPr>
                      <w:rFonts w:ascii="Times New Roman" w:hAnsi="Times New Roman"/>
                      <w:iCs/>
                      <w:color w:val="000000"/>
                      <w:lang w:val="sr-Cyrl-RS"/>
                    </w:rPr>
                    <w:t>, у копији</w:t>
                  </w:r>
                </w:p>
              </w:tc>
            </w:tr>
            <w:tr w:rsidR="00CC15C8" w:rsidRPr="00A16627" w14:paraId="1D08C3FA" w14:textId="77777777" w:rsidTr="004A393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5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5" w:type="dxa"/>
                  <w:noWrap/>
                  <w:vAlign w:val="center"/>
                </w:tcPr>
                <w:p w14:paraId="6757482B" w14:textId="55570EB9" w:rsidR="00CC15C8" w:rsidRPr="00A16627" w:rsidRDefault="00CC15C8" w:rsidP="00627594">
                  <w:pPr>
                    <w:jc w:val="center"/>
                    <w:rPr>
                      <w:rFonts w:ascii="Times New Roman" w:eastAsia="Times New Roman" w:hAnsi="Times New Roman"/>
                      <w:b w:val="0"/>
                      <w:color w:val="000000"/>
                    </w:rPr>
                  </w:pPr>
                  <w:r w:rsidRPr="00A16627">
                    <w:rPr>
                      <w:rFonts w:ascii="Times New Roman" w:hAnsi="Times New Roman"/>
                      <w:b w:val="0"/>
                      <w:color w:val="000000"/>
                    </w:rPr>
                    <w:lastRenderedPageBreak/>
                    <w:t>Документ 3</w:t>
                  </w:r>
                </w:p>
              </w:tc>
              <w:tc>
                <w:tcPr>
                  <w:tcW w:w="6765" w:type="dxa"/>
                  <w:vAlign w:val="center"/>
                </w:tcPr>
                <w:p w14:paraId="1A788811" w14:textId="6032EDD6" w:rsidR="00CC15C8" w:rsidRPr="00A16627" w:rsidRDefault="002D5EB8" w:rsidP="00CE7AF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iCs/>
                      <w:color w:val="000000"/>
                      <w:lang w:val="sr-Cyrl-RS"/>
                    </w:rPr>
                  </w:pPr>
                  <w:r w:rsidRPr="00A16627">
                    <w:rPr>
                      <w:rFonts w:ascii="Times New Roman" w:hAnsi="Times New Roman"/>
                      <w:iCs/>
                      <w:color w:val="000000"/>
                    </w:rPr>
                    <w:t>Спецификација пошиљке предмета опште употребе који се увозе</w:t>
                  </w:r>
                  <w:r w:rsidRPr="00A16627">
                    <w:rPr>
                      <w:rFonts w:ascii="Times New Roman" w:hAnsi="Times New Roman"/>
                      <w:iCs/>
                      <w:color w:val="000000"/>
                      <w:lang w:val="sr-Cyrl-RS"/>
                    </w:rPr>
                    <w:t>, у оригиналу</w:t>
                  </w:r>
                </w:p>
              </w:tc>
            </w:tr>
            <w:tr w:rsidR="00CC15C8" w:rsidRPr="00A16627" w14:paraId="0BA66696" w14:textId="77777777" w:rsidTr="00033AA2">
              <w:trPr>
                <w:trHeight w:val="29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5" w:type="dxa"/>
                  <w:noWrap/>
                  <w:vAlign w:val="center"/>
                </w:tcPr>
                <w:p w14:paraId="74531274" w14:textId="380E9A5E" w:rsidR="00CC15C8" w:rsidRPr="00A16627" w:rsidRDefault="00CC15C8" w:rsidP="00627594">
                  <w:pPr>
                    <w:jc w:val="center"/>
                    <w:rPr>
                      <w:rFonts w:ascii="Times New Roman" w:eastAsia="Times New Roman" w:hAnsi="Times New Roman"/>
                      <w:b w:val="0"/>
                      <w:color w:val="000000"/>
                    </w:rPr>
                  </w:pPr>
                  <w:r w:rsidRPr="00A16627">
                    <w:rPr>
                      <w:rFonts w:ascii="Times New Roman" w:hAnsi="Times New Roman"/>
                      <w:b w:val="0"/>
                      <w:color w:val="000000"/>
                    </w:rPr>
                    <w:t>Документ 4</w:t>
                  </w:r>
                </w:p>
              </w:tc>
              <w:tc>
                <w:tcPr>
                  <w:tcW w:w="6765" w:type="dxa"/>
                  <w:vAlign w:val="center"/>
                </w:tcPr>
                <w:p w14:paraId="31F7D4AB" w14:textId="1EA0A013" w:rsidR="00CC15C8" w:rsidRPr="00A16627" w:rsidRDefault="002D5EB8" w:rsidP="00CE7AF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iCs/>
                      <w:color w:val="000000"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iCs/>
                      <w:color w:val="000000"/>
                      <w:lang w:val="sr-Cyrl-RS"/>
                    </w:rPr>
                    <w:t>Изјава увозника о намени узорака (лабораторијско испитивање у овлашћеној лабораторији или испитивање тржишта)</w:t>
                  </w:r>
                  <w:r w:rsidR="00CE24E2" w:rsidRPr="00A16627">
                    <w:rPr>
                      <w:rFonts w:ascii="Times New Roman" w:eastAsia="Times New Roman" w:hAnsi="Times New Roman"/>
                      <w:iCs/>
                      <w:color w:val="000000"/>
                      <w:lang w:val="sr-Cyrl-RS"/>
                    </w:rPr>
                    <w:t>, у оригиналу</w:t>
                  </w:r>
                </w:p>
              </w:tc>
            </w:tr>
            <w:tr w:rsidR="00CE24E2" w:rsidRPr="00A16627" w14:paraId="145FFD86" w14:textId="77777777" w:rsidTr="004A393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1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5" w:type="dxa"/>
                  <w:noWrap/>
                  <w:vAlign w:val="center"/>
                </w:tcPr>
                <w:p w14:paraId="5C73D8DD" w14:textId="77777777" w:rsidR="00CE24E2" w:rsidRPr="00A16627" w:rsidRDefault="00CE24E2" w:rsidP="004A3938">
                  <w:pPr>
                    <w:jc w:val="center"/>
                    <w:rPr>
                      <w:rFonts w:ascii="Times New Roman" w:eastAsia="Times New Roman" w:hAnsi="Times New Roman"/>
                      <w:b w:val="0"/>
                      <w:color w:val="000000"/>
                    </w:rPr>
                  </w:pPr>
                  <w:r w:rsidRPr="00A16627">
                    <w:rPr>
                      <w:rFonts w:ascii="Times New Roman" w:hAnsi="Times New Roman"/>
                      <w:b w:val="0"/>
                      <w:color w:val="000000"/>
                    </w:rPr>
                    <w:t>Документ 5</w:t>
                  </w:r>
                </w:p>
              </w:tc>
              <w:tc>
                <w:tcPr>
                  <w:tcW w:w="6765" w:type="dxa"/>
                  <w:vAlign w:val="center"/>
                </w:tcPr>
                <w:p w14:paraId="63537943" w14:textId="77777777" w:rsidR="00CE24E2" w:rsidRPr="00A16627" w:rsidRDefault="00CE24E2" w:rsidP="00876359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iCs/>
                      <w:color w:val="000000"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iCs/>
                      <w:color w:val="000000"/>
                      <w:lang w:val="sr-Cyrl-RS"/>
                    </w:rPr>
                    <w:t>Образац захтева, у оригиналу</w:t>
                  </w:r>
                </w:p>
              </w:tc>
            </w:tr>
            <w:tr w:rsidR="00CE24E2" w:rsidRPr="00A16627" w14:paraId="0CF3E4F4" w14:textId="77777777" w:rsidTr="004A3938">
              <w:trPr>
                <w:trHeight w:val="84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5" w:type="dxa"/>
                  <w:noWrap/>
                  <w:vAlign w:val="center"/>
                </w:tcPr>
                <w:p w14:paraId="55A8A368" w14:textId="15B4C7D9" w:rsidR="00CE24E2" w:rsidRPr="00A16627" w:rsidRDefault="00CE24E2" w:rsidP="00627594">
                  <w:pPr>
                    <w:jc w:val="center"/>
                    <w:rPr>
                      <w:rFonts w:ascii="Times New Roman" w:eastAsia="Times New Roman" w:hAnsi="Times New Roman"/>
                      <w:b w:val="0"/>
                      <w:color w:val="000000"/>
                    </w:rPr>
                  </w:pPr>
                  <w:r w:rsidRPr="00A16627">
                    <w:rPr>
                      <w:rFonts w:ascii="Times New Roman" w:hAnsi="Times New Roman"/>
                      <w:b w:val="0"/>
                      <w:color w:val="000000"/>
                    </w:rPr>
                    <w:t>Документ 6</w:t>
                  </w:r>
                </w:p>
              </w:tc>
              <w:tc>
                <w:tcPr>
                  <w:tcW w:w="6765" w:type="dxa"/>
                  <w:vAlign w:val="center"/>
                </w:tcPr>
                <w:p w14:paraId="4191AF03" w14:textId="02A36ED2" w:rsidR="00CE24E2" w:rsidRPr="00A16627" w:rsidRDefault="00CE24E2" w:rsidP="00CE7AF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iCs/>
                      <w:color w:val="000000"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Cs/>
                      <w:color w:val="auto"/>
                      <w:lang w:val="sr-Cyrl-RS" w:eastAsia="en-GB"/>
                    </w:rPr>
                    <w:t>Доказ о уплати републичке административне таксе за захтев по тарифном броју 1. и решење по тарифном броју 185.г, у копији или извод</w:t>
                  </w:r>
                  <w:r w:rsidR="004A3938" w:rsidRPr="00A16627">
                    <w:rPr>
                      <w:rFonts w:ascii="Times New Roman" w:eastAsia="Times New Roman" w:hAnsi="Times New Roman"/>
                      <w:bCs/>
                      <w:color w:val="auto"/>
                      <w:lang w:val="sr-Cyrl-RS" w:eastAsia="en-GB"/>
                    </w:rPr>
                    <w:t xml:space="preserve"> из пословне</w:t>
                  </w:r>
                  <w:r w:rsidRPr="00A16627">
                    <w:rPr>
                      <w:rFonts w:ascii="Times New Roman" w:eastAsia="Times New Roman" w:hAnsi="Times New Roman"/>
                      <w:bCs/>
                      <w:color w:val="auto"/>
                      <w:lang w:val="sr-Cyrl-RS" w:eastAsia="en-GB"/>
                    </w:rPr>
                    <w:t xml:space="preserve"> банке </w:t>
                  </w:r>
                  <w:r w:rsidR="004A3938" w:rsidRPr="00A16627">
                    <w:rPr>
                      <w:rFonts w:ascii="Times New Roman" w:eastAsia="Times New Roman" w:hAnsi="Times New Roman"/>
                      <w:bCs/>
                      <w:color w:val="auto"/>
                      <w:lang w:val="sr-Cyrl-RS" w:eastAsia="en-GB"/>
                    </w:rPr>
                    <w:t xml:space="preserve">без печата </w:t>
                  </w:r>
                  <w:r w:rsidRPr="00A16627">
                    <w:rPr>
                      <w:rFonts w:ascii="Times New Roman" w:eastAsia="Times New Roman" w:hAnsi="Times New Roman"/>
                      <w:bCs/>
                      <w:color w:val="auto"/>
                      <w:lang w:val="sr-Cyrl-RS" w:eastAsia="en-GB"/>
                    </w:rPr>
                    <w:t xml:space="preserve">као доказ </w:t>
                  </w:r>
                </w:p>
              </w:tc>
            </w:tr>
            <w:tr w:rsidR="00AE722E" w:rsidRPr="00A16627" w14:paraId="1FFCCE5D" w14:textId="77777777" w:rsidTr="003056D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4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5" w:type="dxa"/>
                  <w:noWrap/>
                  <w:vAlign w:val="center"/>
                </w:tcPr>
                <w:p w14:paraId="29E00A9E" w14:textId="5CBD632C" w:rsidR="00AE722E" w:rsidRPr="00A16627" w:rsidRDefault="00AE722E" w:rsidP="003056D7">
                  <w:pPr>
                    <w:jc w:val="center"/>
                    <w:rPr>
                      <w:rFonts w:ascii="Times New Roman" w:eastAsia="Times New Roman" w:hAnsi="Times New Roman"/>
                      <w:b w:val="0"/>
                      <w:color w:val="000000"/>
                    </w:rPr>
                  </w:pPr>
                  <w:r w:rsidRPr="00A16627">
                    <w:rPr>
                      <w:rFonts w:ascii="Times New Roman" w:hAnsi="Times New Roman"/>
                      <w:b w:val="0"/>
                      <w:color w:val="000000"/>
                    </w:rPr>
                    <w:t>Документ 7</w:t>
                  </w:r>
                </w:p>
              </w:tc>
              <w:tc>
                <w:tcPr>
                  <w:tcW w:w="6765" w:type="dxa"/>
                  <w:vAlign w:val="center"/>
                </w:tcPr>
                <w:p w14:paraId="13041DED" w14:textId="146B9BEF" w:rsidR="00AE722E" w:rsidRPr="00A16627" w:rsidRDefault="00AE722E" w:rsidP="003056D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iCs/>
                      <w:color w:val="000000"/>
                      <w:lang w:val="sr-Cyrl-RS"/>
                    </w:rPr>
                  </w:pPr>
                  <w:r w:rsidRPr="00A16627">
                    <w:rPr>
                      <w:rFonts w:ascii="Times New Roman" w:eastAsia="Times New Roman" w:hAnsi="Times New Roman"/>
                      <w:bCs/>
                      <w:color w:val="auto"/>
                      <w:lang w:val="sr-Cyrl-RS" w:eastAsia="en-GB"/>
                    </w:rPr>
                    <w:t xml:space="preserve">Овлашћење шпедитеру пред испекцијом у оригиналу </w:t>
                  </w:r>
                </w:p>
              </w:tc>
            </w:tr>
          </w:tbl>
          <w:p w14:paraId="5B30C278" w14:textId="210BCAEC" w:rsidR="00BF1822" w:rsidRPr="00A16627" w:rsidRDefault="00BF1822" w:rsidP="00065D57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A1662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  <w:t xml:space="preserve"> </w:t>
            </w:r>
          </w:p>
          <w:p w14:paraId="1D0871BC" w14:textId="6DC2E6BE" w:rsidR="00AE722E" w:rsidRPr="00A16627" w:rsidRDefault="00ED12C4" w:rsidP="00AE722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потребна је </w:t>
            </w:r>
            <w:r w:rsidR="00CE24E2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припрема Правилника о </w:t>
            </w:r>
            <w:r w:rsidR="0056605D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начину, поступку и утврђивању услова за увоз предмета опште употребе</w:t>
            </w:r>
            <w:r w:rsidR="00164F8F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, на основу</w:t>
            </w:r>
            <w:r w:rsidR="0056605D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164F8F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</w:t>
            </w:r>
            <w:r w:rsidR="008F1098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акон</w:t>
            </w:r>
            <w:r w:rsidR="0056605D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</w:t>
            </w:r>
            <w:r w:rsidR="008F1098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предметима опште употребе, који</w:t>
            </w:r>
            <w:r w:rsidR="00164F8F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је у припреми и</w:t>
            </w:r>
            <w:r w:rsidR="008F1098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56605D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треба да </w:t>
            </w:r>
            <w:r w:rsidR="008F1098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садржи правни основ за доношење посебних правилника за поједине врсте предмета опште употребе.</w:t>
            </w:r>
            <w:r w:rsidR="00AE722E" w:rsidRPr="00A16627">
              <w:rPr>
                <w:rFonts w:ascii="Times New Roman" w:eastAsia="Times New Roman" w:hAnsi="Times New Roman"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30CAB27E" w14:textId="77777777" w:rsidR="002C464E" w:rsidRPr="00A16627" w:rsidRDefault="002C464E" w:rsidP="00AE722E">
            <w:pPr>
              <w:rPr>
                <w:rFonts w:ascii="Times New Roman" w:eastAsia="Times New Roman" w:hAnsi="Times New Roman"/>
                <w:sz w:val="22"/>
                <w:szCs w:val="22"/>
                <w:u w:val="single"/>
                <w:lang w:val="sr-Cyrl-RS"/>
              </w:rPr>
            </w:pPr>
          </w:p>
          <w:p w14:paraId="3A987644" w14:textId="06FDE0D6" w:rsidR="002C464E" w:rsidRPr="00A16627" w:rsidRDefault="002C464E" w:rsidP="002C464E">
            <w:pPr>
              <w:pStyle w:val="ListParagraph"/>
              <w:numPr>
                <w:ilvl w:val="1"/>
                <w:numId w:val="28"/>
              </w:numPr>
              <w:spacing w:before="120" w:after="120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  <w:r w:rsidRPr="00A16627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Промена форме документа </w:t>
            </w:r>
            <w:r w:rsidRPr="00A16627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Latn-RS" w:eastAsia="en-GB"/>
              </w:rPr>
              <w:t xml:space="preserve">- </w:t>
            </w:r>
            <w:r w:rsidRPr="00A16627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Доказ о уплати републичке административне так</w:t>
            </w:r>
            <w:r w:rsidR="00DE16BA" w:rsidRPr="00A16627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>с</w:t>
            </w:r>
            <w:r w:rsidRPr="00A16627">
              <w:rPr>
                <w:rFonts w:ascii="Times New Roman" w:eastAsia="Times New Roman" w:hAnsi="Times New Roman" w:cs="Calibri"/>
                <w:b/>
                <w:sz w:val="22"/>
                <w:szCs w:val="22"/>
                <w:u w:val="single"/>
                <w:lang w:val="sr-Cyrl-RS" w:eastAsia="en-GB"/>
              </w:rPr>
              <w:t xml:space="preserve">е </w:t>
            </w:r>
          </w:p>
          <w:p w14:paraId="4CF7E5ED" w14:textId="77777777" w:rsidR="00DE16BA" w:rsidRPr="00A16627" w:rsidRDefault="00DE16BA" w:rsidP="00DE16BA">
            <w:pPr>
              <w:pStyle w:val="ListParagraph"/>
              <w:spacing w:before="120" w:after="120"/>
              <w:ind w:left="792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</w:p>
          <w:p w14:paraId="05FDD97C" w14:textId="77C7E690" w:rsidR="002C464E" w:rsidRPr="00A16627" w:rsidRDefault="002C464E" w:rsidP="002C464E">
            <w:pPr>
              <w:spacing w:after="200"/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  <w:r w:rsidRPr="00A16627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Предлаже се промена форме за Документ 3 и Документ 4, у копију односно извод са пословног рачуна странке без печата банке, у складу са мишљењем М</w:t>
            </w:r>
            <w:r w:rsidR="008A66F7" w:rsidRPr="00A16627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и</w:t>
            </w:r>
            <w:r w:rsidRPr="00A16627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нистарства финансија </w:t>
            </w:r>
            <w:r w:rsidRPr="00A16627">
              <w:rPr>
                <w:rFonts w:ascii="Times New Roman" w:hAnsi="Times New Roman" w:cs="Calibri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A16627"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33F086CF" w14:textId="7F7BCEC5" w:rsidR="00091C99" w:rsidRPr="00A16627" w:rsidRDefault="002C464E" w:rsidP="002C464E">
            <w:pPr>
              <w:spacing w:after="20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80CB422" w14:textId="77777777" w:rsidR="00E04A26" w:rsidRPr="00A16627" w:rsidRDefault="00E04A26" w:rsidP="00E04A26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A16627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 захтева</w:t>
            </w:r>
          </w:p>
          <w:p w14:paraId="5A674F85" w14:textId="77777777" w:rsidR="00E04A26" w:rsidRPr="00A16627" w:rsidRDefault="00E04A26" w:rsidP="00E04A26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486292FC" w14:textId="7856DCCB" w:rsidR="00E04A26" w:rsidRPr="00A16627" w:rsidRDefault="00E04A26" w:rsidP="00E04A2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A1662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на обрасцу који је припремила организациона јединица. Предлаже се унапређе постојећег обрасца, који ће садржати следеће:</w:t>
            </w:r>
          </w:p>
          <w:p w14:paraId="08AD9615" w14:textId="77777777" w:rsidR="00E04A26" w:rsidRPr="00A16627" w:rsidRDefault="00E04A26" w:rsidP="00E04A2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23E8F338" w14:textId="12D3A56A" w:rsidR="00A90A38" w:rsidRPr="00A16627" w:rsidRDefault="00A90A38" w:rsidP="00A90A38">
            <w:pPr>
              <w:numPr>
                <w:ilvl w:val="1"/>
                <w:numId w:val="37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AC77825" w14:textId="77777777" w:rsidR="00A90A38" w:rsidRPr="00A16627" w:rsidRDefault="00A90A38" w:rsidP="00A90A38">
            <w:pPr>
              <w:numPr>
                <w:ilvl w:val="1"/>
                <w:numId w:val="37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4D1379B2" w14:textId="1CE5C710" w:rsidR="00E04A26" w:rsidRPr="00A16627" w:rsidRDefault="00A90A38" w:rsidP="00A90A38">
            <w:pPr>
              <w:numPr>
                <w:ilvl w:val="1"/>
                <w:numId w:val="37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F307548" w14:textId="77777777" w:rsidR="00E04A26" w:rsidRPr="00A16627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(Пословно име/Назив, Седиште, Контакт телефон, Име и презиме одговорног лица, Матични број, ПИБ, Адреса електронске поште)</w:t>
            </w:r>
          </w:p>
          <w:p w14:paraId="01104046" w14:textId="7A80AF8F" w:rsidR="00E04A26" w:rsidRPr="00A16627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када је то случај </w:t>
            </w:r>
          </w:p>
          <w:p w14:paraId="677E6D4F" w14:textId="77777777" w:rsidR="00E04A26" w:rsidRPr="00A16627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8344C29" w14:textId="77777777" w:rsidR="00E04A26" w:rsidRPr="00A16627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before="100" w:beforeAutospacing="1" w:after="100" w:afterAutospacing="1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</w:t>
            </w:r>
          </w:p>
          <w:p w14:paraId="095AABBF" w14:textId="77777777" w:rsidR="00E04A26" w:rsidRPr="00A16627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before="100" w:beforeAutospacing="1" w:after="100" w:afterAutospacing="1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767B72C2" w14:textId="77777777" w:rsidR="00E04A26" w:rsidRPr="00A16627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before="100" w:beforeAutospacing="1" w:after="100" w:afterAutospacing="1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0" w:name="_Hlk515015477"/>
          </w:p>
          <w:p w14:paraId="78EE7B67" w14:textId="77777777" w:rsidR="00E04A26" w:rsidRPr="00A16627" w:rsidRDefault="00E04A26" w:rsidP="00E04A26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after="200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0"/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1C7EF91" w14:textId="77777777" w:rsidR="00E04A26" w:rsidRPr="00A16627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Изјаву подносиоца захтева о прибављању података службеним путем: </w:t>
            </w:r>
          </w:p>
          <w:p w14:paraId="4E3E6D22" w14:textId="77777777" w:rsidR="00E04A26" w:rsidRPr="00A16627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 </w:t>
            </w:r>
          </w:p>
          <w:p w14:paraId="4BED9AED" w14:textId="77777777" w:rsidR="00E04A26" w:rsidRPr="00A16627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1.ДА </w:t>
            </w:r>
          </w:p>
          <w:p w14:paraId="755D4D50" w14:textId="77777777" w:rsidR="00E04A26" w:rsidRPr="00A16627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2. НЕ </w:t>
            </w:r>
          </w:p>
          <w:p w14:paraId="176BE063" w14:textId="77777777" w:rsidR="00E04A26" w:rsidRPr="00A16627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 ________________________________________ </w:t>
            </w:r>
          </w:p>
          <w:p w14:paraId="208C0637" w14:textId="77777777" w:rsidR="00E04A26" w:rsidRPr="00A16627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D73410" w14:textId="77777777" w:rsidR="00E04A26" w:rsidRPr="00A16627" w:rsidRDefault="00E04A26" w:rsidP="00E04A26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8F5199C" w14:textId="77777777" w:rsidR="00E04A26" w:rsidRPr="00A16627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6DE460AB" w14:textId="77777777" w:rsidR="00E04A26" w:rsidRPr="00A16627" w:rsidRDefault="00E04A26" w:rsidP="00E04A26">
            <w:pPr>
              <w:pStyle w:val="ListParagraph"/>
              <w:numPr>
                <w:ilvl w:val="1"/>
                <w:numId w:val="2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6D5D68A5" w14:textId="77777777" w:rsidR="00E04A26" w:rsidRPr="00A16627" w:rsidRDefault="00E04A26" w:rsidP="00E04A26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3A62B8EC" w14:textId="77777777" w:rsidR="00A16627" w:rsidRPr="00A16627" w:rsidRDefault="00A16627" w:rsidP="00A1662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785D0CCC" w14:textId="77777777" w:rsidR="00A16627" w:rsidRPr="00A16627" w:rsidRDefault="00A16627" w:rsidP="00A16627">
            <w:pPr>
              <w:pStyle w:val="ListParagraph"/>
              <w:numPr>
                <w:ilvl w:val="1"/>
                <w:numId w:val="38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24C0F0DC" w14:textId="77777777" w:rsidR="00A16627" w:rsidRPr="00A16627" w:rsidRDefault="00A16627" w:rsidP="00A16627">
            <w:pPr>
              <w:pStyle w:val="ListParagraph"/>
              <w:numPr>
                <w:ilvl w:val="1"/>
                <w:numId w:val="38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8E5006A" w14:textId="77777777" w:rsidR="00A16627" w:rsidRPr="00A16627" w:rsidRDefault="00A16627" w:rsidP="00A16627">
            <w:pPr>
              <w:pStyle w:val="ListParagraph"/>
              <w:numPr>
                <w:ilvl w:val="0"/>
                <w:numId w:val="3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44DA9D7" w14:textId="77777777" w:rsidR="00A16627" w:rsidRPr="00A16627" w:rsidRDefault="00A16627" w:rsidP="00A16627">
            <w:pPr>
              <w:pStyle w:val="ListParagraph"/>
              <w:numPr>
                <w:ilvl w:val="0"/>
                <w:numId w:val="3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527973F2" w14:textId="77777777" w:rsidR="00A16627" w:rsidRPr="00A16627" w:rsidRDefault="00A16627" w:rsidP="00A16627">
            <w:pPr>
              <w:pStyle w:val="ListParagraph"/>
              <w:numPr>
                <w:ilvl w:val="0"/>
                <w:numId w:val="3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1861F8C3" w14:textId="77777777" w:rsidR="00A16627" w:rsidRPr="00A16627" w:rsidRDefault="00A16627" w:rsidP="00A16627">
            <w:pPr>
              <w:pStyle w:val="ListParagraph"/>
              <w:numPr>
                <w:ilvl w:val="0"/>
                <w:numId w:val="3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01910F42" w14:textId="77777777" w:rsidR="00A16627" w:rsidRPr="00A16627" w:rsidRDefault="00A16627" w:rsidP="00A16627">
            <w:pPr>
              <w:pStyle w:val="ListParagraph"/>
              <w:numPr>
                <w:ilvl w:val="0"/>
                <w:numId w:val="3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DBB3FF8" w14:textId="77777777" w:rsidR="00A16627" w:rsidRPr="00A16627" w:rsidRDefault="00A16627" w:rsidP="0056605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7EDA628" w14:textId="1CAAC103" w:rsidR="00AE722E" w:rsidRPr="00A16627" w:rsidRDefault="00E04A26" w:rsidP="0056605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A1662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72529B47" w14:textId="77777777" w:rsidR="0056605D" w:rsidRPr="00A16627" w:rsidRDefault="0056605D" w:rsidP="0056605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2EDA989" w14:textId="37B3D047" w:rsidR="009C045D" w:rsidRPr="00A16627" w:rsidRDefault="009C045D" w:rsidP="0056605D">
            <w:pPr>
              <w:pStyle w:val="ListParagraph"/>
              <w:numPr>
                <w:ilvl w:val="1"/>
                <w:numId w:val="28"/>
              </w:numPr>
              <w:ind w:left="720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A16627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Елиминација наплаћиване накнаде</w:t>
            </w:r>
            <w:r w:rsidR="0056605D" w:rsidRPr="00A16627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која нема правни основ</w:t>
            </w:r>
          </w:p>
          <w:p w14:paraId="2278F1A8" w14:textId="77777777" w:rsidR="0056605D" w:rsidRPr="00A16627" w:rsidRDefault="0056605D" w:rsidP="006E35C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0B5569" w14:textId="77777777" w:rsidR="0056605D" w:rsidRPr="00A16627" w:rsidRDefault="009C045D" w:rsidP="006E35C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Подносиоцу захтева се, </w:t>
            </w:r>
            <w:r w:rsidR="00D56610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 наводима службеника, </w:t>
            </w: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поред републичке административне таксе за захтев по тарифном броју 1 и таксе за решење по тарифном броју 185г, Закона о републичким адмиистративним таксама (</w:t>
            </w:r>
            <w:r w:rsidRPr="00A16627">
              <w:rPr>
                <w:rFonts w:ascii="Verdana" w:eastAsiaTheme="minorHAnsi" w:hAnsi="Verdana" w:cs="Verdana"/>
                <w:color w:val="000000"/>
                <w:sz w:val="22"/>
                <w:szCs w:val="22"/>
              </w:rPr>
              <w:t>“</w:t>
            </w: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РС”, бр. 43/2003, 51/2003, 101/2005, 5/ 2009, 54/ 2009, 50/ 2011, 93/ 2012, 65/ 2013, 83/ 2015, 112/ 2015, 113/ 2017, 3/2018 и 50/2018), наплаћује и накнада која је предвиђена Наредбом</w:t>
            </w:r>
            <w:r w:rsidRPr="00A16627">
              <w:rPr>
                <w:sz w:val="22"/>
                <w:szCs w:val="22"/>
              </w:rPr>
              <w:t xml:space="preserve"> </w:t>
            </w: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о висини и начину плаћања накнаде за покривање трошкова испитивања и утврђивања здравствене исправности животних намирница и предмета опште употребе који се увозе „Службени лист СРЈ”, бр. 9/ 1997, 24/ 1997, 20/ 1999</w:t>
            </w:r>
            <w:r w:rsidR="0056605D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E1B9226" w14:textId="77777777" w:rsidR="0056605D" w:rsidRPr="00A16627" w:rsidRDefault="0056605D" w:rsidP="006E35C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313940B" w14:textId="52C27FFB" w:rsidR="009C045D" w:rsidRPr="00A16627" w:rsidRDefault="009C045D" w:rsidP="006E35C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Правни основ наведене накнаде је Закон о здравственој исправности животних намирница и предмета опште употребе (“Службени лист СФРЈ”, бр. 53/91 и “Службени лист СРЈ”, бр. 28/96), који је стављен ван снаге доношењем </w:t>
            </w:r>
            <w:r w:rsidR="002132B6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Закона о здравственој исправности предмета опште употребе („Службени гласник РС“ бр. 92/2011-19) </w:t>
            </w: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других прописа, на који начин је и Наредба стављена ван снаге. Поред изнетог, Законом није предвиђено наплаћивање посебне накнаде за покривање стварних трошкова поступка, чије је повређено правило да није дозвољена вишеструка наплата административне таксе и  накнада, осим ако посебним прописом накнада ние дозвољена. </w:t>
            </w:r>
          </w:p>
          <w:p w14:paraId="4C3B7D80" w14:textId="77777777" w:rsidR="009C045D" w:rsidRPr="00A16627" w:rsidRDefault="009C045D" w:rsidP="009C045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3E89EBB" w14:textId="7B953041" w:rsidR="009C045D" w:rsidRPr="00A16627" w:rsidRDefault="009C045D" w:rsidP="00091C9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Препоручује се укидање наплате накнаде</w:t>
            </w:r>
            <w:r w:rsidR="0056605D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која нема правни основ.</w:t>
            </w:r>
          </w:p>
          <w:p w14:paraId="226C8937" w14:textId="77777777" w:rsidR="009C045D" w:rsidRPr="00A16627" w:rsidRDefault="009C045D" w:rsidP="00091C9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3EF6BF5" w14:textId="418FDD92" w:rsidR="006E35C6" w:rsidRPr="00A16627" w:rsidRDefault="006E35C6" w:rsidP="00091C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ову препоруку није потребна измена прописа</w:t>
            </w:r>
            <w:r w:rsidR="009B17D6" w:rsidRPr="00A1662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  <w:r w:rsidRPr="00A1662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 </w:t>
            </w:r>
          </w:p>
          <w:p w14:paraId="35DBF52A" w14:textId="77777777" w:rsidR="00091C99" w:rsidRPr="00A16627" w:rsidRDefault="00091C99" w:rsidP="00091C99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4B6963E" w14:textId="77777777" w:rsidR="003769B0" w:rsidRPr="00A16627" w:rsidRDefault="003769B0" w:rsidP="00091C99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8DAC9BB" w14:textId="629AD953" w:rsidR="00E04A26" w:rsidRPr="00A16627" w:rsidRDefault="00E04A26" w:rsidP="00BC59F0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A1662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попуњавање и подношење захтева</w:t>
            </w:r>
            <w:r w:rsidR="008F1098" w:rsidRPr="00A1662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CF1130">
              <w:t xml:space="preserve"> </w:t>
            </w:r>
            <w:r w:rsidR="00CF1130" w:rsidRPr="00CF113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1C79C814" w14:textId="77777777" w:rsidR="00E04A26" w:rsidRPr="00A16627" w:rsidRDefault="00E04A26" w:rsidP="00E04A26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6FD6323" w14:textId="77777777" w:rsidR="00E04A26" w:rsidRPr="00A16627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A16627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A16627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41D0EE36" w14:textId="77777777" w:rsidR="00E04A26" w:rsidRPr="00A16627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4F65D0" w14:textId="4467DCA0" w:rsidR="00E04A26" w:rsidRPr="00A16627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</w:t>
            </w:r>
            <w:r w:rsidR="00BC59F0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Министарства здравља</w:t>
            </w:r>
            <w:r w:rsidR="008F1098"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примену препоруке</w:t>
            </w: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0C018806" w14:textId="77777777" w:rsidR="00E04A26" w:rsidRPr="00A16627" w:rsidRDefault="00E04A26" w:rsidP="00E04A2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  <w:bookmarkStart w:id="1" w:name="_GoBack"/>
            <w:bookmarkEnd w:id="1"/>
          </w:p>
          <w:p w14:paraId="3EAB4AF8" w14:textId="767A5149" w:rsidR="00251CC3" w:rsidRPr="00A16627" w:rsidRDefault="00BC59F0" w:rsidP="00251CC3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</w:t>
            </w:r>
            <w:r w:rsidR="00E04A26" w:rsidRPr="00A1662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није потребна измена </w:t>
            </w:r>
            <w:r w:rsidR="00E04A26" w:rsidRPr="00A1662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CA1CE9" w:rsidRPr="00A1662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4184F2C6" w:rsidR="00CA1CE9" w:rsidRPr="00A16627" w:rsidRDefault="00CA1CE9" w:rsidP="00805394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A16627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A1662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8EDF1A9" w14:textId="17772F7A" w:rsidR="004B11EB" w:rsidRPr="00A16627" w:rsidRDefault="004B11EB" w:rsidP="004B11E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 примену препоруке 3.1. потребна је припрема Правилника </w:t>
            </w:r>
            <w:r w:rsidR="0056605D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 начину, поступку и утврђивању услова за увоз предмета опште употребе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на основу Законо о предметима опште употребе, који је у припреми и </w:t>
            </w:r>
            <w:r w:rsidR="0056605D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треба да 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садржи правни основ за доношење посебних правилника за поједине врсте предмета опште употребе.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39763933" w14:textId="77777777" w:rsidR="00CA1CE9" w:rsidRPr="00A16627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1662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16627" w:rsidRDefault="00CA1CE9" w:rsidP="00C93048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16627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1662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A413913" w14:textId="77777777" w:rsidR="0056605D" w:rsidRPr="00A16627" w:rsidRDefault="0056605D" w:rsidP="0056605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примену препоруке 3.1. потребна је припрема Правилника  о  начину, поступку и утврђивању услова за увоз предмета опште употребе, на основу Законо о предметима опште употребе, који је у припреми и треба да садржи правни основ за доношење посебних правилника за поједине врсте предмета опште употребе.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1506ADFF" w14:textId="77777777" w:rsidR="00CA1CE9" w:rsidRPr="00A16627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16627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16627" w:rsidRDefault="00CA1CE9" w:rsidP="00C93048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1662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2746199" w14:textId="77777777" w:rsidR="00E7038B" w:rsidRPr="00A16627" w:rsidRDefault="00E7038B" w:rsidP="00E7038B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A1662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6.354.876,68 РСД. Усвајање и примена препорука ће донети привредним субјектима годишње директне уштеде од 2.021.372,40 РСД или 16.620,14 ЕУР. Ове уштеде износе 31,81% укупних директних трошкова привредних субјеката у поступку.</w:t>
            </w:r>
          </w:p>
          <w:p w14:paraId="77C7E229" w14:textId="77777777" w:rsidR="00E7038B" w:rsidRPr="00A16627" w:rsidRDefault="00E7038B" w:rsidP="00E7038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14CEED6C" w:rsidR="00371E1E" w:rsidRPr="0056605D" w:rsidRDefault="00FE06FE" w:rsidP="00E7038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</w:t>
            </w:r>
            <w:r w:rsidR="00A71709"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поступка за привредне субјекте</w:t>
            </w:r>
            <w:r w:rsidRPr="00A166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 смањењу издатака.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13607E" w16cid:durableId="229C53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4BC59" w14:textId="77777777" w:rsidR="003D6129" w:rsidRDefault="003D6129" w:rsidP="002A202F">
      <w:r>
        <w:separator/>
      </w:r>
    </w:p>
  </w:endnote>
  <w:endnote w:type="continuationSeparator" w:id="0">
    <w:p w14:paraId="5741EB00" w14:textId="77777777" w:rsidR="003D6129" w:rsidRDefault="003D612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526CD4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10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198D5" w14:textId="77777777" w:rsidR="003D6129" w:rsidRDefault="003D6129" w:rsidP="002A202F">
      <w:r>
        <w:separator/>
      </w:r>
    </w:p>
  </w:footnote>
  <w:footnote w:type="continuationSeparator" w:id="0">
    <w:p w14:paraId="79CEA8C9" w14:textId="77777777" w:rsidR="003D6129" w:rsidRDefault="003D612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4C2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05492"/>
    <w:multiLevelType w:val="hybridMultilevel"/>
    <w:tmpl w:val="E598979C"/>
    <w:lvl w:ilvl="0" w:tplc="D840B7C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F4F7E"/>
    <w:multiLevelType w:val="hybridMultilevel"/>
    <w:tmpl w:val="CB4A89B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6" w15:restartNumberingAfterBreak="0">
    <w:nsid w:val="204A6974"/>
    <w:multiLevelType w:val="multilevel"/>
    <w:tmpl w:val="3CE81E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026353"/>
    <w:multiLevelType w:val="hybridMultilevel"/>
    <w:tmpl w:val="8222E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47E00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0C2104"/>
    <w:multiLevelType w:val="multilevel"/>
    <w:tmpl w:val="9AE01532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3" w:hanging="1800"/>
      </w:pPr>
      <w:rPr>
        <w:rFonts w:hint="default"/>
      </w:r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CA124B"/>
    <w:multiLevelType w:val="hybridMultilevel"/>
    <w:tmpl w:val="F4A6212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3CE81E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8"/>
  </w:num>
  <w:num w:numId="5">
    <w:abstractNumId w:val="4"/>
  </w:num>
  <w:num w:numId="6">
    <w:abstractNumId w:val="18"/>
  </w:num>
  <w:num w:numId="7">
    <w:abstractNumId w:val="31"/>
  </w:num>
  <w:num w:numId="8">
    <w:abstractNumId w:val="15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6"/>
  </w:num>
  <w:num w:numId="17">
    <w:abstractNumId w:val="13"/>
  </w:num>
  <w:num w:numId="18">
    <w:abstractNumId w:val="30"/>
  </w:num>
  <w:num w:numId="19">
    <w:abstractNumId w:val="10"/>
  </w:num>
  <w:num w:numId="20">
    <w:abstractNumId w:val="32"/>
  </w:num>
  <w:num w:numId="21">
    <w:abstractNumId w:val="11"/>
  </w:num>
  <w:num w:numId="22">
    <w:abstractNumId w:val="7"/>
  </w:num>
  <w:num w:numId="23">
    <w:abstractNumId w:val="23"/>
  </w:num>
  <w:num w:numId="24">
    <w:abstractNumId w:val="1"/>
  </w:num>
  <w:num w:numId="25">
    <w:abstractNumId w:val="9"/>
  </w:num>
  <w:num w:numId="26">
    <w:abstractNumId w:val="5"/>
  </w:num>
  <w:num w:numId="27">
    <w:abstractNumId w:val="17"/>
  </w:num>
  <w:num w:numId="28">
    <w:abstractNumId w:val="23"/>
  </w:num>
  <w:num w:numId="29">
    <w:abstractNumId w:val="21"/>
  </w:num>
  <w:num w:numId="30">
    <w:abstractNumId w:val="2"/>
  </w:num>
  <w:num w:numId="31">
    <w:abstractNumId w:val="2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14"/>
  </w:num>
  <w:num w:numId="35">
    <w:abstractNumId w:val="6"/>
  </w:num>
  <w:num w:numId="36">
    <w:abstractNumId w:val="20"/>
  </w:num>
  <w:num w:numId="37">
    <w:abstractNumId w:val="21"/>
  </w:num>
  <w:num w:numId="38">
    <w:abstractNumId w:val="21"/>
  </w:num>
  <w:num w:numId="39">
    <w:abstractNumId w:val="2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1A18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65D57"/>
    <w:rsid w:val="00083993"/>
    <w:rsid w:val="00091C99"/>
    <w:rsid w:val="00092B84"/>
    <w:rsid w:val="0009542A"/>
    <w:rsid w:val="000A53F3"/>
    <w:rsid w:val="000A5CDC"/>
    <w:rsid w:val="000B3651"/>
    <w:rsid w:val="000B54D7"/>
    <w:rsid w:val="000C216A"/>
    <w:rsid w:val="000D5029"/>
    <w:rsid w:val="000E2036"/>
    <w:rsid w:val="000F5E72"/>
    <w:rsid w:val="00113C5C"/>
    <w:rsid w:val="001156BA"/>
    <w:rsid w:val="00140008"/>
    <w:rsid w:val="0015182D"/>
    <w:rsid w:val="00161847"/>
    <w:rsid w:val="00164595"/>
    <w:rsid w:val="00164F8F"/>
    <w:rsid w:val="00170CA7"/>
    <w:rsid w:val="001711C5"/>
    <w:rsid w:val="00190BF0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2B6"/>
    <w:rsid w:val="0021347C"/>
    <w:rsid w:val="002323AC"/>
    <w:rsid w:val="002333C5"/>
    <w:rsid w:val="00233E28"/>
    <w:rsid w:val="00246680"/>
    <w:rsid w:val="00251CC3"/>
    <w:rsid w:val="0025754F"/>
    <w:rsid w:val="00261404"/>
    <w:rsid w:val="0026585C"/>
    <w:rsid w:val="002673B0"/>
    <w:rsid w:val="00270473"/>
    <w:rsid w:val="00275E2A"/>
    <w:rsid w:val="00296938"/>
    <w:rsid w:val="002A202F"/>
    <w:rsid w:val="002B19B4"/>
    <w:rsid w:val="002C464E"/>
    <w:rsid w:val="002D5EB8"/>
    <w:rsid w:val="002F1BEC"/>
    <w:rsid w:val="002F4757"/>
    <w:rsid w:val="00322199"/>
    <w:rsid w:val="003223C7"/>
    <w:rsid w:val="003245F4"/>
    <w:rsid w:val="00326555"/>
    <w:rsid w:val="003410E0"/>
    <w:rsid w:val="00350EAD"/>
    <w:rsid w:val="003651DB"/>
    <w:rsid w:val="00370F2C"/>
    <w:rsid w:val="003715A0"/>
    <w:rsid w:val="0037171F"/>
    <w:rsid w:val="00371E1E"/>
    <w:rsid w:val="003769B0"/>
    <w:rsid w:val="00376FD1"/>
    <w:rsid w:val="0039002C"/>
    <w:rsid w:val="003B44DB"/>
    <w:rsid w:val="003B4BC9"/>
    <w:rsid w:val="003B6298"/>
    <w:rsid w:val="003D6129"/>
    <w:rsid w:val="003E2EB1"/>
    <w:rsid w:val="003E3C16"/>
    <w:rsid w:val="00407D96"/>
    <w:rsid w:val="00426DD4"/>
    <w:rsid w:val="00432495"/>
    <w:rsid w:val="00444DA7"/>
    <w:rsid w:val="00446334"/>
    <w:rsid w:val="00457882"/>
    <w:rsid w:val="00463CC7"/>
    <w:rsid w:val="004809C4"/>
    <w:rsid w:val="0048433C"/>
    <w:rsid w:val="004847B1"/>
    <w:rsid w:val="0049545B"/>
    <w:rsid w:val="004A27BA"/>
    <w:rsid w:val="004A3938"/>
    <w:rsid w:val="004B11EB"/>
    <w:rsid w:val="004B234D"/>
    <w:rsid w:val="004C1545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56688"/>
    <w:rsid w:val="0056162B"/>
    <w:rsid w:val="0056605D"/>
    <w:rsid w:val="0056707B"/>
    <w:rsid w:val="00571F10"/>
    <w:rsid w:val="00581A9D"/>
    <w:rsid w:val="005A0651"/>
    <w:rsid w:val="005A2503"/>
    <w:rsid w:val="005B4F04"/>
    <w:rsid w:val="005B7CB9"/>
    <w:rsid w:val="005D0023"/>
    <w:rsid w:val="005E21C4"/>
    <w:rsid w:val="005E4109"/>
    <w:rsid w:val="005F4D59"/>
    <w:rsid w:val="0060001C"/>
    <w:rsid w:val="00600D31"/>
    <w:rsid w:val="0060786A"/>
    <w:rsid w:val="006237FE"/>
    <w:rsid w:val="00627AF7"/>
    <w:rsid w:val="006309DC"/>
    <w:rsid w:val="00632540"/>
    <w:rsid w:val="00633F73"/>
    <w:rsid w:val="00645199"/>
    <w:rsid w:val="00645850"/>
    <w:rsid w:val="00656006"/>
    <w:rsid w:val="00661ECF"/>
    <w:rsid w:val="00692071"/>
    <w:rsid w:val="00694468"/>
    <w:rsid w:val="00694B28"/>
    <w:rsid w:val="006C5349"/>
    <w:rsid w:val="006C5F2A"/>
    <w:rsid w:val="006C662C"/>
    <w:rsid w:val="006E35C6"/>
    <w:rsid w:val="006F4A5C"/>
    <w:rsid w:val="00715F5C"/>
    <w:rsid w:val="007278C1"/>
    <w:rsid w:val="00733493"/>
    <w:rsid w:val="00737F1D"/>
    <w:rsid w:val="00747BE5"/>
    <w:rsid w:val="007605AB"/>
    <w:rsid w:val="00765E63"/>
    <w:rsid w:val="00782816"/>
    <w:rsid w:val="00785A46"/>
    <w:rsid w:val="007861E3"/>
    <w:rsid w:val="007940D6"/>
    <w:rsid w:val="007A0EBE"/>
    <w:rsid w:val="007A334C"/>
    <w:rsid w:val="007B1740"/>
    <w:rsid w:val="007C61B5"/>
    <w:rsid w:val="007D3889"/>
    <w:rsid w:val="007D39E4"/>
    <w:rsid w:val="007D43A7"/>
    <w:rsid w:val="007E1695"/>
    <w:rsid w:val="007F204C"/>
    <w:rsid w:val="007F42FE"/>
    <w:rsid w:val="00804060"/>
    <w:rsid w:val="00805394"/>
    <w:rsid w:val="008166C9"/>
    <w:rsid w:val="00824E43"/>
    <w:rsid w:val="00833D8C"/>
    <w:rsid w:val="00834C9A"/>
    <w:rsid w:val="008444DB"/>
    <w:rsid w:val="0084708C"/>
    <w:rsid w:val="00850AD5"/>
    <w:rsid w:val="00852739"/>
    <w:rsid w:val="008629CC"/>
    <w:rsid w:val="00865EBB"/>
    <w:rsid w:val="00872693"/>
    <w:rsid w:val="00886C36"/>
    <w:rsid w:val="008A66F7"/>
    <w:rsid w:val="008A6AC8"/>
    <w:rsid w:val="008C5591"/>
    <w:rsid w:val="008D04A6"/>
    <w:rsid w:val="008D4C1A"/>
    <w:rsid w:val="008F0867"/>
    <w:rsid w:val="008F1098"/>
    <w:rsid w:val="008F172F"/>
    <w:rsid w:val="008F2044"/>
    <w:rsid w:val="008F2BE1"/>
    <w:rsid w:val="008F3CB4"/>
    <w:rsid w:val="008F4DD1"/>
    <w:rsid w:val="009056DB"/>
    <w:rsid w:val="00923160"/>
    <w:rsid w:val="00930194"/>
    <w:rsid w:val="00933D81"/>
    <w:rsid w:val="00947592"/>
    <w:rsid w:val="00950280"/>
    <w:rsid w:val="009847A5"/>
    <w:rsid w:val="00991A18"/>
    <w:rsid w:val="00994A16"/>
    <w:rsid w:val="009A30D3"/>
    <w:rsid w:val="009B17D6"/>
    <w:rsid w:val="009C045D"/>
    <w:rsid w:val="009C60C1"/>
    <w:rsid w:val="009D03A7"/>
    <w:rsid w:val="009E0479"/>
    <w:rsid w:val="00A0102E"/>
    <w:rsid w:val="00A06BE3"/>
    <w:rsid w:val="00A12960"/>
    <w:rsid w:val="00A1570D"/>
    <w:rsid w:val="00A16627"/>
    <w:rsid w:val="00A22386"/>
    <w:rsid w:val="00A25307"/>
    <w:rsid w:val="00A3792D"/>
    <w:rsid w:val="00A56B75"/>
    <w:rsid w:val="00A71709"/>
    <w:rsid w:val="00A71C04"/>
    <w:rsid w:val="00A90A38"/>
    <w:rsid w:val="00A93360"/>
    <w:rsid w:val="00AA0017"/>
    <w:rsid w:val="00AA4BC5"/>
    <w:rsid w:val="00AB09B3"/>
    <w:rsid w:val="00AB4743"/>
    <w:rsid w:val="00AC02D1"/>
    <w:rsid w:val="00AE722E"/>
    <w:rsid w:val="00B06019"/>
    <w:rsid w:val="00B07409"/>
    <w:rsid w:val="00B1006E"/>
    <w:rsid w:val="00B178FB"/>
    <w:rsid w:val="00B5252A"/>
    <w:rsid w:val="00B63DB1"/>
    <w:rsid w:val="00B67138"/>
    <w:rsid w:val="00B6715C"/>
    <w:rsid w:val="00B80BC8"/>
    <w:rsid w:val="00B81CFE"/>
    <w:rsid w:val="00B83D70"/>
    <w:rsid w:val="00B903AE"/>
    <w:rsid w:val="00B9157F"/>
    <w:rsid w:val="00B915EF"/>
    <w:rsid w:val="00B93B90"/>
    <w:rsid w:val="00B95225"/>
    <w:rsid w:val="00BA55D3"/>
    <w:rsid w:val="00BA6759"/>
    <w:rsid w:val="00BA7204"/>
    <w:rsid w:val="00BB2C8C"/>
    <w:rsid w:val="00BC59F0"/>
    <w:rsid w:val="00BC6826"/>
    <w:rsid w:val="00BE5D14"/>
    <w:rsid w:val="00BF1822"/>
    <w:rsid w:val="00BF1FF5"/>
    <w:rsid w:val="00BF7410"/>
    <w:rsid w:val="00C0295C"/>
    <w:rsid w:val="00C03C06"/>
    <w:rsid w:val="00C121EC"/>
    <w:rsid w:val="00C12C65"/>
    <w:rsid w:val="00C1331B"/>
    <w:rsid w:val="00C13FC9"/>
    <w:rsid w:val="00C20FE9"/>
    <w:rsid w:val="00C21A76"/>
    <w:rsid w:val="00C32E07"/>
    <w:rsid w:val="00C445E2"/>
    <w:rsid w:val="00C54042"/>
    <w:rsid w:val="00C70F1B"/>
    <w:rsid w:val="00C7129D"/>
    <w:rsid w:val="00C748D1"/>
    <w:rsid w:val="00C81C49"/>
    <w:rsid w:val="00C85B0E"/>
    <w:rsid w:val="00C91014"/>
    <w:rsid w:val="00C93048"/>
    <w:rsid w:val="00CA1CE9"/>
    <w:rsid w:val="00CB1A4E"/>
    <w:rsid w:val="00CC15C8"/>
    <w:rsid w:val="00CC29F6"/>
    <w:rsid w:val="00CD2287"/>
    <w:rsid w:val="00CD5BBB"/>
    <w:rsid w:val="00CE0685"/>
    <w:rsid w:val="00CE1202"/>
    <w:rsid w:val="00CE183E"/>
    <w:rsid w:val="00CE24E2"/>
    <w:rsid w:val="00CE7AF7"/>
    <w:rsid w:val="00CF1130"/>
    <w:rsid w:val="00D210FC"/>
    <w:rsid w:val="00D37EA5"/>
    <w:rsid w:val="00D56610"/>
    <w:rsid w:val="00D622E1"/>
    <w:rsid w:val="00D73628"/>
    <w:rsid w:val="00D73918"/>
    <w:rsid w:val="00D90607"/>
    <w:rsid w:val="00D967D7"/>
    <w:rsid w:val="00DA125D"/>
    <w:rsid w:val="00DB19B9"/>
    <w:rsid w:val="00DC4BC2"/>
    <w:rsid w:val="00DE057D"/>
    <w:rsid w:val="00DE16BA"/>
    <w:rsid w:val="00E0020F"/>
    <w:rsid w:val="00E04A26"/>
    <w:rsid w:val="00E04B3B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1389"/>
    <w:rsid w:val="00E555FC"/>
    <w:rsid w:val="00E63C8A"/>
    <w:rsid w:val="00E7038B"/>
    <w:rsid w:val="00E70BF6"/>
    <w:rsid w:val="00EB78EA"/>
    <w:rsid w:val="00ED12C4"/>
    <w:rsid w:val="00ED1BCC"/>
    <w:rsid w:val="00F04BCC"/>
    <w:rsid w:val="00F11C98"/>
    <w:rsid w:val="00F12E47"/>
    <w:rsid w:val="00F223B2"/>
    <w:rsid w:val="00F26337"/>
    <w:rsid w:val="00F53241"/>
    <w:rsid w:val="00F67790"/>
    <w:rsid w:val="00F714FC"/>
    <w:rsid w:val="00FB1A1B"/>
    <w:rsid w:val="00FB645B"/>
    <w:rsid w:val="00FC09D6"/>
    <w:rsid w:val="00FC34EC"/>
    <w:rsid w:val="00FC3F69"/>
    <w:rsid w:val="00FC5312"/>
    <w:rsid w:val="00FD2C46"/>
    <w:rsid w:val="00FD3964"/>
    <w:rsid w:val="00FD4B60"/>
    <w:rsid w:val="00FE06FE"/>
    <w:rsid w:val="00FE197F"/>
    <w:rsid w:val="00FE6F1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8E6D47A-B15B-49E6-812B-F73140A7B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33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331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133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1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3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30997-03E3-4BEB-A4D8-01CB73A95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31</cp:revision>
  <cp:lastPrinted>2018-09-05T12:48:00Z</cp:lastPrinted>
  <dcterms:created xsi:type="dcterms:W3CDTF">2018-12-11T15:32:00Z</dcterms:created>
  <dcterms:modified xsi:type="dcterms:W3CDTF">2020-07-03T12:02:00Z</dcterms:modified>
</cp:coreProperties>
</file>