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7BA59" w14:textId="1902D192" w:rsidR="00C1331B" w:rsidRDefault="00AE4B01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471A2B">
        <w:rPr>
          <w:b/>
          <w:sz w:val="22"/>
          <w:szCs w:val="22"/>
          <w:lang w:val="sr-Cyrl-RS"/>
        </w:rPr>
        <w:t>ПОЈЕДНОСТАВЉЕЊЕ ПОСТУПКА ОДОБРЕЊА ЗА УВОЗ УЗОРАКА ХРАНЕ РАДИ ЛАБОРАТОРИЈСКОГ ИСПИТИВАЊА</w:t>
      </w:r>
      <w:r w:rsidRPr="00471A2B" w:rsidDel="00AE4B01">
        <w:rPr>
          <w:b/>
          <w:sz w:val="22"/>
          <w:szCs w:val="22"/>
          <w:lang w:val="sr-Cyrl-RS"/>
        </w:rPr>
        <w:t xml:space="preserve"> </w:t>
      </w:r>
    </w:p>
    <w:p w14:paraId="13113C5B" w14:textId="77777777" w:rsidR="00392911" w:rsidRPr="00471A2B" w:rsidRDefault="00392911" w:rsidP="00C1331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71A2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71A2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CF43A2" w:rsidR="000E2036" w:rsidRPr="00471A2B" w:rsidRDefault="006D385A" w:rsidP="00BD0BD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sz w:val="22"/>
                <w:szCs w:val="22"/>
                <w:lang w:val="sr-Cyrl-RS"/>
              </w:rPr>
              <w:t xml:space="preserve">Одобрење за увоз узорака </w:t>
            </w:r>
            <w:r w:rsidR="00BD0BDB" w:rsidRPr="00471A2B">
              <w:rPr>
                <w:sz w:val="22"/>
                <w:szCs w:val="22"/>
                <w:lang w:val="sr-Cyrl-RS"/>
              </w:rPr>
              <w:t xml:space="preserve">хране </w:t>
            </w:r>
            <w:r w:rsidRPr="00471A2B">
              <w:rPr>
                <w:sz w:val="22"/>
                <w:szCs w:val="22"/>
                <w:lang w:val="sr-Cyrl-RS"/>
              </w:rPr>
              <w:t>ради лабораторијског испитивања</w:t>
            </w:r>
          </w:p>
        </w:tc>
      </w:tr>
      <w:tr w:rsidR="00850AD5" w:rsidRPr="00471A2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71A2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3438A71" w:rsidR="000E2036" w:rsidRPr="00471A2B" w:rsidRDefault="006D385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71A2B">
              <w:rPr>
                <w:sz w:val="22"/>
                <w:szCs w:val="22"/>
                <w:lang w:val="sr-Cyrl-RS"/>
              </w:rPr>
              <w:t>04.00.003</w:t>
            </w:r>
            <w:r w:rsidRPr="00471A2B">
              <w:rPr>
                <w:sz w:val="22"/>
                <w:szCs w:val="22"/>
                <w:lang w:val="sr-Latn-RS"/>
              </w:rPr>
              <w:t>4</w:t>
            </w:r>
          </w:p>
        </w:tc>
      </w:tr>
      <w:tr w:rsidR="00850AD5" w:rsidRPr="00471A2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71A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71A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A6C3002" w14:textId="77777777" w:rsidR="00092B84" w:rsidRDefault="00C133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71A2B">
              <w:rPr>
                <w:sz w:val="22"/>
                <w:szCs w:val="22"/>
                <w:lang w:val="sr-Cyrl-RS"/>
              </w:rPr>
              <w:t>Министарство здравља</w:t>
            </w:r>
          </w:p>
          <w:p w14:paraId="5795E7E6" w14:textId="5B1A203A" w:rsidR="001247E0" w:rsidRPr="00471A2B" w:rsidRDefault="001247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850AD5" w:rsidRPr="00471A2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71A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71A2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71A2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24B0985" w14:textId="77777777" w:rsidR="004E1E85" w:rsidRPr="00471A2B" w:rsidRDefault="004E1E85" w:rsidP="004E1E85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8" w:hanging="27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безбедности хране ("Сл. гласник РС", бр. 41/2009)</w:t>
            </w:r>
          </w:p>
          <w:p w14:paraId="2CCB5DCC" w14:textId="73B91372" w:rsidR="00251CC3" w:rsidRPr="00471A2B" w:rsidRDefault="004E1E85" w:rsidP="004E1E85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8" w:hanging="27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Наредба о висини и начину плаћања накнаде за покривање трошкова испитивања и утврђивања здравствене исправности животних намирница и предмета опште употребе који се увозе ("Сл. гласник РС", бр.  9/97, 24/97, 20/99)</w:t>
            </w:r>
          </w:p>
        </w:tc>
      </w:tr>
      <w:tr w:rsidR="00850AD5" w:rsidRPr="00471A2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71A2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71A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71A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71A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71A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71A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2ED7A02" w14:textId="2A00C42A" w:rsidR="00BD0BDB" w:rsidRPr="00471A2B" w:rsidRDefault="00BD0BDB" w:rsidP="00BD0BDB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471A2B">
              <w:rPr>
                <w:rFonts w:ascii="Times New Roman" w:hAnsi="Times New Roman"/>
                <w:lang w:val="sr-Cyrl-RS"/>
              </w:rPr>
              <w:t>1</w:t>
            </w:r>
            <w:r w:rsidR="004E1E85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. Закон о безбедности хране ("Сл. гласник РС", бр. 41/2009)</w:t>
            </w:r>
          </w:p>
          <w:p w14:paraId="55CB4618" w14:textId="17D45D58" w:rsidR="00D73918" w:rsidRPr="00471A2B" w:rsidRDefault="00BD0BDB" w:rsidP="00BD0BDB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2. </w:t>
            </w:r>
            <w:r w:rsidR="005A1CD4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донети правилник којим ће се ближе уредити увоз хране и дијететских производа</w:t>
            </w:r>
          </w:p>
        </w:tc>
      </w:tr>
      <w:tr w:rsidR="00850AD5" w:rsidRPr="00471A2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71A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71A2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89E78E3" w:rsidR="00BD0BDB" w:rsidRPr="00471A2B" w:rsidRDefault="00E63D5E" w:rsidP="004E1E8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63D5E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471A2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71A2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71A2B" w14:paraId="4635A4BE" w14:textId="77777777" w:rsidTr="00CA1CE9">
        <w:tc>
          <w:tcPr>
            <w:tcW w:w="9060" w:type="dxa"/>
            <w:gridSpan w:val="2"/>
          </w:tcPr>
          <w:p w14:paraId="218393BD" w14:textId="3F4B542D" w:rsidR="000B3651" w:rsidRPr="00471A2B" w:rsidRDefault="00370F2C" w:rsidP="000B36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поступку увоза специјалне хране, као што </w:t>
            </w:r>
            <w:r w:rsidR="000B365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су </w:t>
            </w:r>
            <w:r w:rsidR="000E5028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нпр. </w:t>
            </w:r>
            <w:r w:rsidR="000B365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дијететски производи, није ближе прописан поступак увоза</w:t>
            </w:r>
            <w:r w:rsidR="003E6B2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узорака дијететских производа</w:t>
            </w:r>
            <w:r w:rsidR="009C60C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3E6B2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док се</w:t>
            </w:r>
            <w:r w:rsidR="000C216A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C60C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д</w:t>
            </w:r>
            <w:r w:rsidR="000B365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окументација која се потражује од подносиоца захтева није утврђена </w:t>
            </w:r>
            <w:r w:rsidR="009C60C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прописом</w:t>
            </w:r>
            <w:r w:rsidR="000B365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, већ се утврђује у складу са документацијом која се тражи приликом извоза специјалне хране.</w:t>
            </w:r>
            <w:r w:rsidR="003E6B2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3562550" w14:textId="5ADB4C91" w:rsidR="009C60C1" w:rsidRPr="00471A2B" w:rsidRDefault="009C60C1" w:rsidP="009C60C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на обрасцу </w:t>
            </w:r>
            <w:r w:rsidR="008B10A7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лично или поштом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који не садржи све елементе који су неопходни, што може довести до учесталих неуредних захтева, повећања трошкова и неефикасног спровођења поступка. </w:t>
            </w:r>
          </w:p>
          <w:p w14:paraId="0AD7DEE2" w14:textId="6B55F8D7" w:rsidR="00251CC3" w:rsidRPr="00471A2B" w:rsidRDefault="00251CC3" w:rsidP="000C216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постоји регистар/евиденција издатих аката</w:t>
            </w:r>
            <w:r w:rsidR="000E5028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облику.</w:t>
            </w:r>
          </w:p>
          <w:p w14:paraId="4BCB02C2" w14:textId="60CAE3DC" w:rsidR="0009542A" w:rsidRPr="00471A2B" w:rsidRDefault="000C216A" w:rsidP="008B10A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Подносиоцу захтева се, поред републичке административне таксе за захтев и решење,  наплаћује накнада</w:t>
            </w:r>
            <w:r w:rsidR="000E5028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без правног основа.</w:t>
            </w:r>
            <w:r w:rsidR="003E6B2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471A2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71A2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71A2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71A2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471A2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471A2B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71A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71A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71A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71A2B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471A2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471A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471A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471A2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915EF" w:rsidRPr="00471A2B" w14:paraId="23C8C1E7" w14:textId="77777777" w:rsidTr="00D73501">
              <w:trPr>
                <w:trHeight w:val="244"/>
              </w:trPr>
              <w:tc>
                <w:tcPr>
                  <w:tcW w:w="3632" w:type="dxa"/>
                </w:tcPr>
                <w:p w14:paraId="68A30893" w14:textId="555B219A" w:rsidR="00B915EF" w:rsidRPr="00471A2B" w:rsidRDefault="00E04A26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  <w:r w:rsidR="00B915EF"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 </w:t>
                  </w:r>
                </w:p>
              </w:tc>
              <w:tc>
                <w:tcPr>
                  <w:tcW w:w="5202" w:type="dxa"/>
                  <w:gridSpan w:val="3"/>
                </w:tcPr>
                <w:p w14:paraId="518CDB60" w14:textId="1A98766C" w:rsidR="00B915EF" w:rsidRPr="00471A2B" w:rsidRDefault="00B915E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915EF" w:rsidRPr="00471A2B" w14:paraId="755C0242" w14:textId="77777777" w:rsidTr="00D73501">
              <w:trPr>
                <w:trHeight w:val="244"/>
              </w:trPr>
              <w:tc>
                <w:tcPr>
                  <w:tcW w:w="3632" w:type="dxa"/>
                </w:tcPr>
                <w:p w14:paraId="5AD08A2D" w14:textId="2B712A20" w:rsidR="00B915EF" w:rsidRPr="00471A2B" w:rsidRDefault="00836F0B" w:rsidP="00E04A2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Утврђивање правног основа за  документацију  </w:t>
                  </w:r>
                </w:p>
              </w:tc>
              <w:tc>
                <w:tcPr>
                  <w:tcW w:w="1784" w:type="dxa"/>
                </w:tcPr>
                <w:p w14:paraId="0D51D337" w14:textId="68CBDE44" w:rsidR="00B915EF" w:rsidRPr="00471A2B" w:rsidRDefault="00B915EF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1720A9EB" w14:textId="77777777" w:rsidR="00B915EF" w:rsidRPr="00471A2B" w:rsidRDefault="00B915E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5B23540B" w14:textId="358EB927" w:rsidR="00B915EF" w:rsidRPr="00471A2B" w:rsidRDefault="00BD0BDB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1 и </w:t>
                  </w:r>
                  <w:r w:rsidR="00B915EF"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  <w:tr w:rsidR="000A305B" w:rsidRPr="00471A2B" w14:paraId="0EE32B42" w14:textId="77777777" w:rsidTr="00C42D3F">
              <w:trPr>
                <w:trHeight w:val="244"/>
              </w:trPr>
              <w:tc>
                <w:tcPr>
                  <w:tcW w:w="3632" w:type="dxa"/>
                </w:tcPr>
                <w:p w14:paraId="2E8220FE" w14:textId="77777777" w:rsidR="000A305B" w:rsidRPr="00471A2B" w:rsidRDefault="000A305B" w:rsidP="00C42D3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</w:tcPr>
                <w:p w14:paraId="51387A3A" w14:textId="77777777" w:rsidR="000A305B" w:rsidRPr="00471A2B" w:rsidRDefault="000A305B" w:rsidP="00C42D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EB5E79F" w14:textId="77777777" w:rsidR="000A305B" w:rsidRPr="00471A2B" w:rsidRDefault="000A305B" w:rsidP="00C42D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383B5D3" w14:textId="77777777" w:rsidR="000A305B" w:rsidRPr="00471A2B" w:rsidRDefault="000A305B" w:rsidP="00C42D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471A2B" w14:paraId="57E988B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471A2B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2E3C3C7E" w14:textId="77777777" w:rsidR="00CA1CE9" w:rsidRPr="00471A2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471A2B" w14:paraId="07DC98D3" w14:textId="77777777" w:rsidTr="00553DB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77777777" w:rsidR="00CA1CE9" w:rsidRPr="00471A2B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Унапређење постојећег обрасца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A922480" w14:textId="04F81CD4" w:rsidR="00CA1CE9" w:rsidRPr="00471A2B" w:rsidRDefault="00CA1CE9" w:rsidP="00553D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38F3CB5" w14:textId="6812D2FE" w:rsidR="00CA1CE9" w:rsidRPr="00471A2B" w:rsidRDefault="00251CC3" w:rsidP="00553D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3918CF7C" w14:textId="7C5C88C6" w:rsidR="00CA1CE9" w:rsidRPr="00471A2B" w:rsidRDefault="00CA1CE9" w:rsidP="00553D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471A2B" w14:paraId="447BC5E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A621688" w14:textId="06932559" w:rsidR="00CA1CE9" w:rsidRPr="00471A2B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GB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202" w:type="dxa"/>
                  <w:gridSpan w:val="3"/>
                </w:tcPr>
                <w:p w14:paraId="50075604" w14:textId="77777777" w:rsidR="00CA1CE9" w:rsidRPr="00471A2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471A2B" w14:paraId="733B72C9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06FDFB2" w14:textId="67A9B92F" w:rsidR="00CA1CE9" w:rsidRPr="00471A2B" w:rsidRDefault="00CA1CE9" w:rsidP="000E502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Елиминација наплаћиване накнаде </w:t>
                  </w:r>
                  <w:r w:rsidR="000E5028"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без правог основа</w:t>
                  </w:r>
                </w:p>
              </w:tc>
              <w:tc>
                <w:tcPr>
                  <w:tcW w:w="1784" w:type="dxa"/>
                </w:tcPr>
                <w:p w14:paraId="7EE571D2" w14:textId="77777777" w:rsidR="00CA1CE9" w:rsidRPr="00471A2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34C9467" w14:textId="574E0B42" w:rsidR="00CA1CE9" w:rsidRPr="00471A2B" w:rsidRDefault="00251CC3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BE60ADB" w14:textId="77777777" w:rsidR="00CA1CE9" w:rsidRPr="00471A2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C59F0" w:rsidRPr="00471A2B" w14:paraId="003701DB" w14:textId="77777777" w:rsidTr="0017198E">
              <w:trPr>
                <w:trHeight w:val="489"/>
              </w:trPr>
              <w:tc>
                <w:tcPr>
                  <w:tcW w:w="8834" w:type="dxa"/>
                  <w:gridSpan w:val="4"/>
                </w:tcPr>
                <w:p w14:paraId="0F21012E" w14:textId="03E7C33D" w:rsidR="00BC59F0" w:rsidRPr="00471A2B" w:rsidRDefault="00BC59F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споровођење поступка</w:t>
                  </w:r>
                </w:p>
              </w:tc>
            </w:tr>
            <w:tr w:rsidR="00BC59F0" w:rsidRPr="00471A2B" w14:paraId="17E47430" w14:textId="77777777" w:rsidTr="00836425">
              <w:trPr>
                <w:trHeight w:val="489"/>
              </w:trPr>
              <w:tc>
                <w:tcPr>
                  <w:tcW w:w="3632" w:type="dxa"/>
                </w:tcPr>
                <w:p w14:paraId="40459D3B" w14:textId="176A9863" w:rsidR="00BC59F0" w:rsidRPr="00471A2B" w:rsidRDefault="00BC59F0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</w:t>
                  </w:r>
                  <w:r w:rsidR="000E5028"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попуњавање и</w:t>
                  </w:r>
                  <w:r w:rsidRPr="00471A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подношење захтева</w:t>
                  </w:r>
                  <w:r w:rsidR="00957EFC">
                    <w:t xml:space="preserve"> </w:t>
                  </w:r>
                  <w:r w:rsidR="00957EFC" w:rsidRPr="00957EF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</w:tcPr>
                <w:p w14:paraId="49ADAA76" w14:textId="77777777" w:rsidR="00BC59F0" w:rsidRPr="00471A2B" w:rsidRDefault="00BC59F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6715C64" w14:textId="28F1B7BB" w:rsidR="00BC59F0" w:rsidRPr="00471A2B" w:rsidRDefault="00BC59F0" w:rsidP="00251C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1A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5F234E7" w14:textId="77777777" w:rsidR="00BC59F0" w:rsidRPr="00471A2B" w:rsidRDefault="00BC59F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7C67D77" w:rsidR="00CA1CE9" w:rsidRPr="00471A2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71A2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71A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471A2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0015D9" w14:textId="243A7C80" w:rsidR="00251CC3" w:rsidRPr="00471A2B" w:rsidRDefault="00E04A26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Утврђивање правног основа </w:t>
            </w:r>
            <w:r w:rsidR="00BC59F0" w:rsidRPr="00471A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за  документацију</w:t>
            </w: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 </w:t>
            </w:r>
          </w:p>
          <w:p w14:paraId="7C533929" w14:textId="77777777" w:rsidR="00E04A26" w:rsidRPr="00471A2B" w:rsidRDefault="00E04A26" w:rsidP="00ED1BCC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9C58CD3" w14:textId="3BF0FD82" w:rsidR="00BF1822" w:rsidRPr="00471A2B" w:rsidRDefault="003769B0" w:rsidP="00113C5C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Законом о безбедности хране</w:t>
            </w:r>
            <w:r w:rsidR="004B234D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„С</w:t>
            </w:r>
            <w:r w:rsidR="00ED1BCC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</w:t>
            </w:r>
            <w:r w:rsidR="004B234D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гласник РС“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234D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број: 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41/2009-77</w:t>
            </w:r>
            <w:r w:rsidR="004B234D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главом VII. Опште обавезе при увозу и извозу хране и хране за животиње су уређена општа правила приликом увоза и извоза хране и хране за животиње, тако што је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проверу безбедности хране</w:t>
            </w:r>
            <w:r w:rsidR="004B234D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предвиђена примена међународних стандарда, смерница и препорука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4B234D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уз истоветност мера, под условом да земља извозница објективно докаже да су научно засноване и да се њиховом применом обезбеђује одговарајући ниво заштите живота и здравља људи који се у Републици Србији захтева.</w:t>
            </w:r>
            <w:r w:rsidR="00ED1BCC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Правилником о з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дравственој исправности дијететских производа</w:t>
            </w:r>
            <w:r w:rsidR="00ED1BCC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(„Сл. гласник РС“ број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 45/2010-107, 27/2011-47, 50/2012-49, 21/2015-22, 75/2015-22, 7/2017-36</w:t>
            </w:r>
            <w:r w:rsidR="00ED1BCC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6D385A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113C5C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E65EF10" w14:textId="7A47066E" w:rsidR="00E04B3B" w:rsidRPr="00471A2B" w:rsidRDefault="00113C5C" w:rsidP="00113C5C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увоза дијететских производа, </w:t>
            </w:r>
            <w:r w:rsidR="006D385A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па тако и увоза узорака дијететских производа ради лабораторијског испитивања, што претходи упису у регистар дијететских производа и добијању одобрења за увоз,  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није 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детаљније 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уређен ни Законом ни подзаконским актима, тако да запослени 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 споровођењу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ка,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применом међународних стандарда, 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смерница и препорука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одређују која је документација потребна за одобрење увоза </w:t>
            </w:r>
            <w:r w:rsidR="00071EDB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узорка 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дијететског производа</w:t>
            </w:r>
            <w:r w:rsidR="00071EDB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лабораторијског испитивања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E04B3B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осталом делу примењују се правила Закона о општем управном поступку. </w:t>
            </w:r>
          </w:p>
          <w:p w14:paraId="3A35D788" w14:textId="0F8474B6" w:rsidR="00E04A26" w:rsidRPr="00471A2B" w:rsidRDefault="00BF1822" w:rsidP="00113C5C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заштитио јавни интерес и обезбедила правна сигурности и странкама олакшао поступак подношења захтева препору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чује се 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да се поступак издавања одобрења за увоз дијететских производа </w:t>
            </w:r>
            <w:r w:rsidR="00836F0B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узорака 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реди </w:t>
            </w:r>
            <w:r w:rsidR="00836F0B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доношењем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равилника.</w:t>
            </w:r>
            <w:r w:rsidR="00065D57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DC02E00" w14:textId="10DA64F3" w:rsidR="00BF1822" w:rsidRPr="00471A2B" w:rsidRDefault="00065D57" w:rsidP="00065D57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спровођење овог административног поступка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прописаће се рокови, начин подношења и решавања по захтеву. Поред захтева на прописаном обрасцу, предлаже се да се пропише следећ</w:t>
            </w:r>
            <w:r w:rsidR="000E5028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документациј</w:t>
            </w:r>
            <w:r w:rsidR="000E5028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BF1822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024B7641" w14:textId="21648AF4" w:rsidR="00BF1822" w:rsidRPr="00471A2B" w:rsidRDefault="00BF1822" w:rsidP="00065D5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Документ 1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  <w:t>Царински документ  (ЈЦИ, СД и друго)</w:t>
            </w:r>
            <w:r w:rsidR="00E04B3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,</w:t>
            </w:r>
            <w:r w:rsidR="00065D5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увидом у базу података Управе </w:t>
            </w:r>
            <w:r w:rsidR="00E04B3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E04B3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E04B3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065D5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царина</w:t>
            </w:r>
          </w:p>
          <w:p w14:paraId="2404402F" w14:textId="293370AF" w:rsidR="00BF1822" w:rsidRPr="00471A2B" w:rsidRDefault="00BF1822" w:rsidP="00065D5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Документ 2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  <w:t>Товарни лист или фактура</w:t>
            </w:r>
            <w:r w:rsidR="00E04B3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,</w:t>
            </w:r>
            <w:r w:rsidR="00065D5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у копији</w:t>
            </w:r>
          </w:p>
          <w:p w14:paraId="66213DB8" w14:textId="5463E692" w:rsidR="006D385A" w:rsidRPr="00471A2B" w:rsidRDefault="00BF1822" w:rsidP="006D385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Документ 3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6D385A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Спецификација  пошиљке хране која се увози ради лабораторијског </w:t>
            </w:r>
            <w:r w:rsidR="006D385A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</w:r>
            <w:r w:rsidR="006D385A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</w:r>
            <w:r w:rsidR="006D385A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испитивања, у оригиналу</w:t>
            </w:r>
          </w:p>
          <w:p w14:paraId="17914163" w14:textId="45B90A8D" w:rsidR="006D385A" w:rsidRPr="00471A2B" w:rsidRDefault="00BF1822" w:rsidP="00B93B9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Документ 4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6D385A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Изјава увозника о намени узорака (лабораторијско испитивање у овлашћеној </w:t>
            </w:r>
            <w:r w:rsidR="006D385A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6D385A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  <w:t>лабораторији или испитивање тржишта), у оригиналу</w:t>
            </w:r>
          </w:p>
          <w:p w14:paraId="003B8D56" w14:textId="37B14904" w:rsidR="00BD0BDB" w:rsidRPr="00471A2B" w:rsidRDefault="006D385A" w:rsidP="00B93B9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Документ 5    </w:t>
            </w:r>
            <w:r w:rsidR="00D7141F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Доказ о уплати републичке административне таксе за захтев</w:t>
            </w:r>
            <w:r w:rsidR="00D7141F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 тарифном </w:t>
            </w:r>
            <w:r w:rsidR="00D7141F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D7141F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D7141F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  <w:t xml:space="preserve">броју 1. 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и решење</w:t>
            </w:r>
            <w:r w:rsidR="00D7141F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 тарифном броју 9, у 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копији или извод </w:t>
            </w:r>
            <w:r w:rsidR="008B10A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из пословне 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банке</w:t>
            </w:r>
            <w:r w:rsidR="008B10A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</w:t>
            </w:r>
            <w:r w:rsidR="008B10A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</w:r>
            <w:r w:rsidR="008B10A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ab/>
              <w:t>без печата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као доказ за</w:t>
            </w:r>
            <w:r w:rsidR="008B10A7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</w:t>
            </w:r>
            <w:r w:rsidR="00965FF3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покривање трошкова решења</w:t>
            </w:r>
          </w:p>
          <w:p w14:paraId="07A9BF8A" w14:textId="7E94EFE9" w:rsidR="00BD0BDB" w:rsidRPr="00471A2B" w:rsidRDefault="00AF3BEE" w:rsidP="00B93B9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Документ 6</w:t>
            </w:r>
            <w:r w:rsidR="00BD0BD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     Овлашћење шпедитеру пред инспекцијом у оригиналу;</w:t>
            </w:r>
          </w:p>
          <w:p w14:paraId="5AC5CD46" w14:textId="77777777" w:rsidR="00ED12C4" w:rsidRPr="00471A2B" w:rsidRDefault="00ED12C4" w:rsidP="00065D5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1149B4FD" w14:textId="5CE04526" w:rsidR="00BD0BDB" w:rsidRPr="00471A2B" w:rsidRDefault="00ED12C4" w:rsidP="00ED12C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</w:t>
            </w:r>
            <w:r w:rsidR="00BD0BDB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допуна Закона о безбедности хране и доношење новог правилника.</w:t>
            </w:r>
            <w:r w:rsidR="00157299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(</w:t>
            </w:r>
            <w:r w:rsidR="00836F0B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</w:t>
            </w:r>
            <w:r w:rsidR="00157299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Закону о безбедности хране је потребно прописати основ за доношење правилника од стране министарста здравља и министарстав пољопривреде)</w:t>
            </w:r>
          </w:p>
          <w:p w14:paraId="6B9D4C3D" w14:textId="40EECF7D" w:rsidR="000A305B" w:rsidRPr="00471A2B" w:rsidRDefault="000A305B" w:rsidP="00FE52F8">
            <w:pPr>
              <w:pStyle w:val="ListParagraph"/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/>
              <w:ind w:left="517" w:hanging="45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lastRenderedPageBreak/>
              <w:t>Промена форма документа – Доказа о уплати таксе</w:t>
            </w:r>
          </w:p>
          <w:p w14:paraId="0C82AD42" w14:textId="77777777" w:rsidR="000A305B" w:rsidRPr="00471A2B" w:rsidRDefault="000A305B" w:rsidP="000A305B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– доказа о уплати републичке административне таксе у копију извода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07581876" w14:textId="3ADF3679" w:rsidR="000A305B" w:rsidRPr="00471A2B" w:rsidRDefault="000A305B" w:rsidP="00B96B1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80CB422" w14:textId="77777777" w:rsidR="00E04A26" w:rsidRPr="00471A2B" w:rsidRDefault="00E04A26" w:rsidP="00E04A26">
            <w:pPr>
              <w:pStyle w:val="ListParagraph"/>
              <w:numPr>
                <w:ilvl w:val="1"/>
                <w:numId w:val="28"/>
              </w:numPr>
              <w:spacing w:before="120" w:after="120"/>
              <w:ind w:left="7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471A2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 захтев</w:t>
            </w:r>
            <w:bookmarkStart w:id="0" w:name="_GoBack"/>
            <w:bookmarkEnd w:id="0"/>
            <w:r w:rsidRPr="00471A2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а</w:t>
            </w:r>
          </w:p>
          <w:p w14:paraId="5A674F85" w14:textId="77777777" w:rsidR="00E04A26" w:rsidRPr="00471A2B" w:rsidRDefault="00E04A26" w:rsidP="00E04A26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86292FC" w14:textId="3FF247D2" w:rsidR="00E04A26" w:rsidRDefault="00E04A26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</w:t>
            </w:r>
            <w:r w:rsidR="00071ED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самостално 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припремила организациона </w:t>
            </w:r>
            <w:r w:rsidR="00071ED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јединица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. Предлаже се унапређе</w:t>
            </w:r>
            <w:r w:rsidR="00071EDB"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471A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145349C8" w14:textId="77777777" w:rsidR="001247E0" w:rsidRDefault="001247E0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249B6007" w14:textId="77777777" w:rsidR="001247E0" w:rsidRPr="001247E0" w:rsidRDefault="001247E0" w:rsidP="001247E0">
            <w:pPr>
              <w:numPr>
                <w:ilvl w:val="1"/>
                <w:numId w:val="29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7BFB0E0" w14:textId="77777777" w:rsidR="001247E0" w:rsidRPr="001247E0" w:rsidRDefault="001247E0" w:rsidP="001247E0">
            <w:pPr>
              <w:numPr>
                <w:ilvl w:val="1"/>
                <w:numId w:val="29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1247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FF17465" w14:textId="77777777" w:rsidR="001247E0" w:rsidRPr="001247E0" w:rsidRDefault="001247E0" w:rsidP="001247E0">
            <w:pPr>
              <w:numPr>
                <w:ilvl w:val="1"/>
                <w:numId w:val="29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D0AF346" w14:textId="77777777" w:rsidR="001247E0" w:rsidRPr="001247E0" w:rsidRDefault="001247E0" w:rsidP="001247E0">
            <w:pPr>
              <w:numPr>
                <w:ilvl w:val="1"/>
                <w:numId w:val="29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1247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6823A130" w14:textId="77777777" w:rsidR="001247E0" w:rsidRPr="001247E0" w:rsidRDefault="001247E0" w:rsidP="001247E0">
            <w:pPr>
              <w:numPr>
                <w:ilvl w:val="1"/>
                <w:numId w:val="29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1247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9EBA9B2" w14:textId="77777777" w:rsidR="001247E0" w:rsidRPr="001247E0" w:rsidRDefault="001247E0" w:rsidP="001247E0">
            <w:pPr>
              <w:numPr>
                <w:ilvl w:val="1"/>
                <w:numId w:val="29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0D9E3CA" w14:textId="77777777" w:rsidR="001247E0" w:rsidRPr="001247E0" w:rsidRDefault="001247E0" w:rsidP="001247E0">
            <w:pPr>
              <w:numPr>
                <w:ilvl w:val="0"/>
                <w:numId w:val="30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20472DB" w14:textId="77777777" w:rsidR="001247E0" w:rsidRPr="001247E0" w:rsidRDefault="001247E0" w:rsidP="001247E0">
            <w:pPr>
              <w:numPr>
                <w:ilvl w:val="0"/>
                <w:numId w:val="30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5FB7176B" w14:textId="77777777" w:rsidR="001247E0" w:rsidRPr="001247E0" w:rsidRDefault="001247E0" w:rsidP="001247E0">
            <w:pPr>
              <w:numPr>
                <w:ilvl w:val="0"/>
                <w:numId w:val="30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E0A583D" w14:textId="77777777" w:rsidR="001247E0" w:rsidRPr="001247E0" w:rsidRDefault="001247E0" w:rsidP="001247E0">
            <w:pPr>
              <w:numPr>
                <w:ilvl w:val="0"/>
                <w:numId w:val="30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247E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DE7D302" w14:textId="77777777" w:rsidR="001247E0" w:rsidRPr="001247E0" w:rsidRDefault="001247E0" w:rsidP="001247E0">
            <w:pPr>
              <w:numPr>
                <w:ilvl w:val="1"/>
                <w:numId w:val="2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196CC12" w14:textId="77777777" w:rsidR="001247E0" w:rsidRPr="001247E0" w:rsidRDefault="001247E0" w:rsidP="001247E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11F87F0" w14:textId="77777777" w:rsidR="001247E0" w:rsidRPr="001247E0" w:rsidRDefault="001247E0" w:rsidP="001247E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1AEBAEA" w14:textId="77777777" w:rsidR="001247E0" w:rsidRPr="001247E0" w:rsidRDefault="001247E0" w:rsidP="001247E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7454EE1" w14:textId="77777777" w:rsidR="001247E0" w:rsidRPr="001247E0" w:rsidRDefault="001247E0" w:rsidP="001247E0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8EFE1D9" w14:textId="77777777" w:rsidR="001247E0" w:rsidRPr="001247E0" w:rsidRDefault="001247E0" w:rsidP="001247E0">
            <w:pPr>
              <w:numPr>
                <w:ilvl w:val="1"/>
                <w:numId w:val="2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5B81B56" w14:textId="77777777" w:rsidR="001247E0" w:rsidRPr="001247E0" w:rsidRDefault="001247E0" w:rsidP="001247E0">
            <w:pPr>
              <w:numPr>
                <w:ilvl w:val="1"/>
                <w:numId w:val="29"/>
              </w:numPr>
              <w:ind w:left="885"/>
              <w:rPr>
                <w:sz w:val="22"/>
                <w:szCs w:val="22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2FD77BD" w14:textId="77777777" w:rsidR="001247E0" w:rsidRPr="001247E0" w:rsidRDefault="001247E0" w:rsidP="001247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E76669" w14:textId="77777777" w:rsidR="001247E0" w:rsidRPr="001247E0" w:rsidRDefault="001247E0" w:rsidP="001247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50BD16" w14:textId="77777777" w:rsidR="001247E0" w:rsidRPr="001247E0" w:rsidRDefault="001247E0" w:rsidP="001247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C72C0E5" w14:textId="77777777" w:rsidR="001247E0" w:rsidRPr="001247E0" w:rsidRDefault="001247E0" w:rsidP="001247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5EEB1C" w14:textId="77777777" w:rsidR="001247E0" w:rsidRPr="001247E0" w:rsidRDefault="001247E0" w:rsidP="001247E0">
            <w:pPr>
              <w:numPr>
                <w:ilvl w:val="1"/>
                <w:numId w:val="2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Прописаном року за решавање предмета </w:t>
            </w:r>
          </w:p>
          <w:p w14:paraId="696E4372" w14:textId="77777777" w:rsidR="001247E0" w:rsidRPr="001247E0" w:rsidRDefault="001247E0" w:rsidP="001247E0">
            <w:pPr>
              <w:numPr>
                <w:ilvl w:val="1"/>
                <w:numId w:val="2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61E680C" w14:textId="77777777" w:rsidR="001247E0" w:rsidRPr="001247E0" w:rsidRDefault="001247E0" w:rsidP="001247E0">
            <w:pPr>
              <w:numPr>
                <w:ilvl w:val="0"/>
                <w:numId w:val="30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78A62F6" w14:textId="77777777" w:rsidR="001247E0" w:rsidRPr="001247E0" w:rsidRDefault="001247E0" w:rsidP="001247E0">
            <w:pPr>
              <w:numPr>
                <w:ilvl w:val="0"/>
                <w:numId w:val="30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3033F99" w14:textId="77777777" w:rsidR="001247E0" w:rsidRPr="001247E0" w:rsidRDefault="001247E0" w:rsidP="001247E0">
            <w:pPr>
              <w:numPr>
                <w:ilvl w:val="0"/>
                <w:numId w:val="30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EABAE52" w14:textId="77777777" w:rsidR="001247E0" w:rsidRPr="001247E0" w:rsidRDefault="001247E0" w:rsidP="001247E0">
            <w:pPr>
              <w:numPr>
                <w:ilvl w:val="0"/>
                <w:numId w:val="30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B4B3C2F" w14:textId="77777777" w:rsidR="001247E0" w:rsidRPr="001247E0" w:rsidRDefault="001247E0" w:rsidP="001247E0">
            <w:pPr>
              <w:numPr>
                <w:ilvl w:val="0"/>
                <w:numId w:val="30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47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A424908" w14:textId="77777777" w:rsidR="001247E0" w:rsidRPr="00471A2B" w:rsidRDefault="001247E0" w:rsidP="00E04A2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405883B5" w14:textId="0AC250C3" w:rsidR="00ED12C4" w:rsidRPr="00471A2B" w:rsidRDefault="00E04A26" w:rsidP="00E04A26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471A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5A0F8765" w14:textId="77777777" w:rsidR="00836F0B" w:rsidRPr="00471A2B" w:rsidRDefault="00836F0B" w:rsidP="00E04A26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3EA9F63" w14:textId="1E4C65B2" w:rsidR="00BC59F0" w:rsidRPr="00471A2B" w:rsidRDefault="00BC59F0" w:rsidP="00BC59F0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471A2B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Елиминација наплаћиване накнаде</w:t>
            </w:r>
            <w:r w:rsidR="000E5028" w:rsidRPr="00471A2B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која нема правни основ</w:t>
            </w:r>
          </w:p>
          <w:p w14:paraId="26F3209B" w14:textId="77777777" w:rsidR="000E5028" w:rsidRPr="00471A2B" w:rsidRDefault="00BC59F0" w:rsidP="00C01A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Подносиоцу захтева се, </w:t>
            </w:r>
            <w:r w:rsidR="00F30FC2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 наводима службеника,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поред републичке административне таксе за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захтев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 тарифном броју 1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таксе за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решење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 тарифном броју 185г, Закона о републичким адми</w:t>
            </w:r>
            <w:r w:rsidR="00D7491A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истративним таксама </w:t>
            </w:r>
            <w:r w:rsidR="00DC09AA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C21A76" w:rsidRPr="00471A2B">
              <w:rPr>
                <w:rFonts w:ascii="Verdana" w:eastAsiaTheme="minorHAnsi" w:hAnsi="Verdana" w:cs="Verdana"/>
                <w:color w:val="000000"/>
                <w:sz w:val="18"/>
                <w:szCs w:val="18"/>
              </w:rPr>
              <w:t>“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РС”, бр. 43/2003, 51/2003, 101/2005, 5/ 2009, 54/ 2009, 50/ 2011, 93/ 2012, 65/ 2013, 83/ 2015, 112/ 2015, 113/ 2017, 3/2018</w:t>
            </w:r>
            <w:r w:rsidR="00DC09AA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50/2018)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, наплаћује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накнада која је предвиђен</w:t>
            </w:r>
            <w:r w:rsidR="00065D57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Наредбом</w:t>
            </w:r>
            <w:r w:rsidR="00C21A76" w:rsidRPr="00471A2B">
              <w:t xml:space="preserve"> </w:t>
            </w:r>
            <w:r w:rsidR="00C21A76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о висини и начину плаћања накнаде за покривање трошкова испитивања и утврђивања здравствене исправности животних намирница и предмета опште употребе који се увозе „Службени лист СРЈ”, бр. 9/ 1997, 24/ 1997, 20/ 1999</w:t>
            </w:r>
            <w:r w:rsidR="000E5028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D09CEE1" w14:textId="77777777" w:rsidR="000E5028" w:rsidRPr="00471A2B" w:rsidRDefault="000E5028" w:rsidP="00C01A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EE2F07B" w14:textId="7C528DF0" w:rsidR="00C01AC9" w:rsidRPr="00471A2B" w:rsidRDefault="00C01AC9" w:rsidP="00C01A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Правни основ наведене накнаде је </w:t>
            </w:r>
            <w:r w:rsidR="00E04B3B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исправности животних намирница и предмета опште употребе (“Службени лист СФРЈ”, бр. 53/91 и “Службени лист СРЈ”, бр. 28/96)</w:t>
            </w:r>
            <w:r w:rsidR="00ED12C4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који је стављен ван снаге доношењем </w:t>
            </w:r>
            <w:r w:rsidR="0021484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безбедности хране: 41/2009-77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и других прописа</w:t>
            </w:r>
            <w:r w:rsidR="00ED12C4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који начин је и </w:t>
            </w:r>
            <w:r w:rsidR="00ED12C4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Наредба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стављена ван снаге</w:t>
            </w:r>
            <w:r w:rsidR="00ED12C4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Поред изнетог, Законом није предвиђено наплаћивање посебне накнаде за покривање стварних трошкова поступка, чије је повређено правило да није дозвољена вишеструка наплата административне таксе и  накнада, осим ако посебним прописом накнада ни</w:t>
            </w:r>
            <w:r w:rsidR="000E5028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ј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дозвољена. </w:t>
            </w:r>
          </w:p>
          <w:p w14:paraId="1330875D" w14:textId="77777777" w:rsidR="00C01AC9" w:rsidRPr="00471A2B" w:rsidRDefault="00C01AC9" w:rsidP="00C01A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E821BAB" w14:textId="429DF866" w:rsidR="00C9199A" w:rsidRPr="00471A2B" w:rsidRDefault="00C9199A" w:rsidP="00C919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Препоручује се укидање наплате накнаде</w:t>
            </w:r>
            <w:r w:rsidR="000E5028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нема правни основ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06C5EFD" w14:textId="77777777" w:rsidR="00C9199A" w:rsidRPr="00471A2B" w:rsidRDefault="00C9199A" w:rsidP="00C919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884F105" w14:textId="77777777" w:rsidR="00C9199A" w:rsidRPr="00471A2B" w:rsidRDefault="00C9199A" w:rsidP="00C9199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ову препоруку није потребна измена прописа  </w:t>
            </w:r>
          </w:p>
          <w:p w14:paraId="04B6963E" w14:textId="77777777" w:rsidR="003769B0" w:rsidRPr="00471A2B" w:rsidRDefault="003769B0" w:rsidP="003769B0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8DAC9BB" w14:textId="688730A3" w:rsidR="00E04A26" w:rsidRPr="00471A2B" w:rsidRDefault="00E04A26" w:rsidP="000A305B">
            <w:pPr>
              <w:pStyle w:val="ListParagraph"/>
              <w:numPr>
                <w:ilvl w:val="1"/>
                <w:numId w:val="28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 и подношење захтева</w:t>
            </w:r>
            <w:r w:rsidR="00357721" w:rsidRPr="00471A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357721" w:rsidRPr="00471A2B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(када се стекну услови за примену препоруке)</w:t>
            </w:r>
            <w:r w:rsidR="00957EFC">
              <w:t xml:space="preserve"> </w:t>
            </w:r>
            <w:r w:rsidR="00957EFC" w:rsidRPr="00957EFC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1C79C814" w14:textId="77777777" w:rsidR="00E04A26" w:rsidRPr="00471A2B" w:rsidRDefault="00E04A26" w:rsidP="00E04A26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D6323" w14:textId="77777777" w:rsidR="00E04A26" w:rsidRPr="00471A2B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471A2B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471A2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1D0EE36" w14:textId="77777777" w:rsidR="00E04A26" w:rsidRPr="00471A2B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F65D0" w14:textId="615144FA" w:rsidR="00E04A26" w:rsidRPr="00471A2B" w:rsidRDefault="00E04A26" w:rsidP="00E04A26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</w:t>
            </w:r>
            <w:r w:rsidR="00BC59F0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Министарства здравља</w:t>
            </w:r>
            <w:r w:rsidR="00357721" w:rsidRPr="00471A2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57721"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018806" w14:textId="77777777" w:rsidR="00E04A26" w:rsidRPr="00471A2B" w:rsidRDefault="00E04A26" w:rsidP="00E04A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1CC0F25" w14:textId="77777777" w:rsidR="00E04A26" w:rsidRPr="00471A2B" w:rsidRDefault="00E04A26" w:rsidP="00E04A26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574A5688" w:rsidR="00251CC3" w:rsidRPr="00471A2B" w:rsidRDefault="00BC59F0" w:rsidP="00251CC3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 примену ове препоруке </w:t>
            </w:r>
            <w:r w:rsidR="00E04A26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измена </w:t>
            </w:r>
            <w:r w:rsidR="00E04A26" w:rsidRPr="00471A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CA1CE9" w:rsidRPr="00471A2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0B31FBC" w:rsidR="00CA1CE9" w:rsidRPr="00471A2B" w:rsidRDefault="00CA1CE9" w:rsidP="00BD0BDB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71A2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7C7076" w14:textId="77777777" w:rsidR="000E5028" w:rsidRPr="00471A2B" w:rsidRDefault="000E5028" w:rsidP="000E502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6B3B72CF" w14:textId="77777777" w:rsidR="000E5028" w:rsidRPr="00471A2B" w:rsidRDefault="000E5028" w:rsidP="001822E9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876151B" w14:textId="55F320BA" w:rsidR="001822E9" w:rsidRPr="00471A2B" w:rsidRDefault="00742E03" w:rsidP="001822E9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078AC1AE" w14:textId="376E6251" w:rsidR="00742E03" w:rsidRPr="00471A2B" w:rsidRDefault="007E3394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="00742E03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ДОПУНАМА ЗАКОНА О БЕЗБЕДНОСТИ ХРАНЕ </w:t>
            </w:r>
          </w:p>
          <w:p w14:paraId="7134EE66" w14:textId="77777777" w:rsidR="00742E03" w:rsidRPr="00471A2B" w:rsidRDefault="00742E03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6AAB61E" w14:textId="77777777" w:rsidR="00742E03" w:rsidRPr="00471A2B" w:rsidRDefault="00742E03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1.</w:t>
            </w:r>
          </w:p>
          <w:p w14:paraId="1FCADAE8" w14:textId="77777777" w:rsidR="00742E03" w:rsidRPr="00471A2B" w:rsidRDefault="00742E03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безбедности хране („Службени гласник РС”, бр. 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</w:rPr>
              <w:t>41/2009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) у члану 26, додаје се нови став 6. који гласи: </w:t>
            </w:r>
          </w:p>
          <w:p w14:paraId="443CB90B" w14:textId="77777777" w:rsidR="00742E03" w:rsidRPr="00471A2B" w:rsidRDefault="00742E03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93AEC4" w14:textId="77777777" w:rsidR="00742E03" w:rsidRPr="00471A2B" w:rsidRDefault="00742E03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„Министар односно министар надлежан за послове здравља ближе прописује услове за увоз дијететских производа, дечије хране и замене за мајчино млеко, хран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особе на дијети за мршављење, хран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посебне медицинске намене, хран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особе интолерантне на глутен, замене соли за људску исхрану и соли за исхрану људи,  дода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такаa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исхрани, дијететских суплемената, адитива, арома, ензимских препарата неживотињског порекла,помоћних средстава неживотињског порекла, нове хране, као и воде за пиће у оригиналној амбалажи (стона вода, минерална вода и изворска вода) и узорака хране ради лабораторијског испитивања.“.</w:t>
            </w:r>
          </w:p>
          <w:p w14:paraId="04A471E5" w14:textId="77777777" w:rsidR="00742E03" w:rsidRPr="00471A2B" w:rsidRDefault="00742E03" w:rsidP="00742E0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B205C1" w14:textId="77777777" w:rsidR="00742E03" w:rsidRPr="00471A2B" w:rsidRDefault="00742E03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2.</w:t>
            </w:r>
          </w:p>
          <w:p w14:paraId="4F93935B" w14:textId="28F641FE" w:rsidR="00742E03" w:rsidRPr="00471A2B" w:rsidRDefault="00742E03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8 дана од дана објављивања у Службеном Гласнику РС.“</w:t>
            </w:r>
          </w:p>
          <w:p w14:paraId="0A4E7F66" w14:textId="77777777" w:rsidR="000E5028" w:rsidRPr="00471A2B" w:rsidRDefault="000E5028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8CFDED" w14:textId="77777777" w:rsidR="000E5028" w:rsidRPr="00471A2B" w:rsidRDefault="000E5028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653253" w14:textId="77777777" w:rsidR="000E5028" w:rsidRPr="00471A2B" w:rsidRDefault="000E5028" w:rsidP="000E502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3485678" w14:textId="77777777" w:rsidR="000E5028" w:rsidRPr="00471A2B" w:rsidRDefault="000E5028" w:rsidP="000E502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2A1BE7" w14:textId="77777777" w:rsidR="000E5028" w:rsidRPr="00471A2B" w:rsidRDefault="000E5028" w:rsidP="000E502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препоруке 3.1. „Утврђивање правног основа за документацију“, поред  допуна Закона, потребно је и доношење новог правилника.</w:t>
            </w:r>
          </w:p>
          <w:p w14:paraId="533A809F" w14:textId="77777777" w:rsidR="000E5028" w:rsidRPr="00471A2B" w:rsidRDefault="000E5028" w:rsidP="00742E0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763933" w14:textId="77777777" w:rsidR="00CA1CE9" w:rsidRPr="00471A2B" w:rsidRDefault="00CA1CE9" w:rsidP="00742E03">
            <w:pPr>
              <w:ind w:firstLine="54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471A2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71A2B" w:rsidRDefault="00CA1CE9" w:rsidP="00BD0BDB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471A2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69137B4" w14:textId="77777777" w:rsidR="000E5028" w:rsidRPr="00471A2B" w:rsidRDefault="000E5028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6E091BA" w14:textId="77777777" w:rsidR="000E5028" w:rsidRPr="00471A2B" w:rsidRDefault="000E5028" w:rsidP="000E5028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5CDEB560" w14:textId="77777777" w:rsidR="000E5028" w:rsidRPr="00471A2B" w:rsidRDefault="000E5028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D77D207" w14:textId="7FA0F4DD" w:rsidR="00742E03" w:rsidRPr="00471A2B" w:rsidRDefault="004E1E85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ОДРЕДБЕ</w:t>
            </w:r>
            <w:r w:rsidR="00742E03"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БЕЗБЕДНОСТИ ХРАНЕ </w:t>
            </w:r>
            <w:r w:rsidRPr="00471A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КОЈА СЕ ДОПУЊУЈЕ</w:t>
            </w:r>
          </w:p>
          <w:p w14:paraId="38C125D1" w14:textId="77777777" w:rsidR="00742E03" w:rsidRPr="00471A2B" w:rsidRDefault="00742E03" w:rsidP="00742E0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4D4A382" w14:textId="77777777" w:rsidR="00742E03" w:rsidRPr="00471A2B" w:rsidRDefault="00742E03" w:rsidP="00742E03">
            <w:pPr>
              <w:spacing w:after="15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Услови за утврђивање безбедности</w:t>
            </w:r>
          </w:p>
          <w:p w14:paraId="4C91913C" w14:textId="77777777" w:rsidR="00742E03" w:rsidRPr="00471A2B" w:rsidRDefault="00742E03" w:rsidP="00742E03">
            <w:pPr>
              <w:spacing w:after="15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Члан 26.</w:t>
            </w:r>
          </w:p>
          <w:p w14:paraId="077D90EE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Безбедност хране се утврђује на основу:</w:t>
            </w:r>
          </w:p>
          <w:p w14:paraId="772D9DAD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1) услова у свакој фази производње, прераде и промета хране, као и припреме и начина конзумирања хране од стране потрошача, у складу са њеном наменом;</w:t>
            </w:r>
          </w:p>
          <w:p w14:paraId="2C06DDED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2) информација које су доступне потрошачу, укључујући и податке на декларацији, а које се односе на спречавање специфичних штетних деловања појединих врста или категорија хране на здравље људи.</w:t>
            </w:r>
          </w:p>
          <w:p w14:paraId="1E7C8C1D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Штетност хране по здравље људи се утврђује на основу:</w:t>
            </w:r>
          </w:p>
          <w:p w14:paraId="2B180529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1) могућих непосредних или посредних, краткорочних или дугорочних штетних утицаја те </w:t>
            </w: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lastRenderedPageBreak/>
              <w:t>хране по здравље потрошача, као и могућих утицаја на здравље будућих генерација;</w:t>
            </w:r>
          </w:p>
          <w:p w14:paraId="538ABA74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2) могућих кумулативних токсичних деловања;</w:t>
            </w:r>
          </w:p>
          <w:p w14:paraId="0C1FD5B3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3) посебне здравствене осетљивости специфичне категорије потрошача када је храна намењена тој категорији потрошача.</w:t>
            </w:r>
          </w:p>
          <w:p w14:paraId="3C55FA89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Храна није погодна за исхрану људи, ако је та храна неприхватљива за употребу којој је намењена, због контаминације спољним или неким другим фактором, као и због труљења, кварења или распадања.</w:t>
            </w:r>
          </w:p>
          <w:p w14:paraId="497930B0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Министарство ближе уређује опште и посебне услове хигијене хране у било којој фази производње, прераде и промета; услове у погледу ветеринарског јавног здравства; супстанце са фармаколошким дејством или њихове метаболите, начин њихове употребе као и максимално дозвољене количине њихових остатака; мониторинг живих животиња, њихових производа ради утврђивања присуства остатака и утицаја на здравље животиња и људи, као и услове и начин поступања са споредним производима који настају у току поступка са храном.</w:t>
            </w:r>
          </w:p>
          <w:p w14:paraId="494D9E63" w14:textId="77777777" w:rsidR="00742E03" w:rsidRPr="00471A2B" w:rsidRDefault="00742E03" w:rsidP="00742E03">
            <w:pPr>
              <w:spacing w:after="15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Министар надлежан за послове здравља ближе уређује: здравствену исправност воде за пиће, природне минералне, природне изворске и стоне воде; здравствену исправност дијететских производа (додаци исхрани, храна за посебне прехрамбене потребе, храна за одојчад и малу децу, храна за посебне медицинске потребе и др.); здравствену исправност предмета и материјала који долазе у контакт са храном; прехрамбене адитиве, ароме, ензиме и помоћне материјале у процесу производње хране; мониторинг хране ради утврђивања присуства контаминената и утицаја на здравље; прехрамбене и здравствене изјаве које се наводе на декларацији хране.</w:t>
            </w:r>
          </w:p>
          <w:p w14:paraId="41C21C9F" w14:textId="77777777" w:rsidR="00742E03" w:rsidRPr="00471A2B" w:rsidRDefault="00742E03" w:rsidP="00742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D0E5BD" w14:textId="5436A3E0" w:rsidR="00742E03" w:rsidRPr="00471A2B" w:rsidRDefault="00742E03" w:rsidP="00742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ОДНОСНО МИНИСТАР НАДЛЕЖАН ЗА ПОСЛОВЕ ЗДРАВЉА БЛИЖЕ ПРОПИСУЈЕ УСЛОВЕ ЗА УВОЗ ДИЈЕТЕТСКИХ ПРОИЗВОДА, ДЕЧИЈЕ ХРАНЕ И ЗАМЕНЕ ЗА МАЈЧИНО МЛЕКО, ХРАН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ОСОБЕ НА ДИЈЕТИ ЗА МРШАВЉЕЊЕ, ХРАН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ПОСЕБНЕ МЕДИЦИНСКЕ НАМЕНЕ, ХРАН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ОСОБЕ ИНТОЛЕРАНТНЕ НА ГЛУТЕН, ЗАМЕНЕ СОЛИ ЗА ЉУДСКУ ИСХРАНУ И СОЛИ ЗА ИСХРАНУ ЉУДИ,  ДОДА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ТАКАA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ИСХРАНИ, ДИЈЕТЕТСКИХ СУПЛЕМЕНАТА, АДИТИВА, АРОМА, ЕНЗИМСКИХ ПРЕПАРАТА НЕЖИВОТИЊСКОГ ПОРЕКЛА,ПОМОЋНИХ СРЕДСТАВА НЕЖИВОТИЊСКОГ ПОРЕКЛА, НОВЕ ХРАНЕ, КАО И ВОДЕ ЗА ПИЋЕ У ОРИГИНАЛНОЈ АМБАЛАЖИ (СТОНА ВОДА, МИНЕРАЛНА ВОДА И ИЗВОРСКА ВОДА) И УЗОРАКА ХРАНЕ РАДИ ЛАБОРАТОРИЈСКОГ ИСПИТИВАЊА.</w:t>
            </w:r>
          </w:p>
          <w:p w14:paraId="4F39A07D" w14:textId="77777777" w:rsidR="000E5028" w:rsidRPr="00471A2B" w:rsidRDefault="000E5028" w:rsidP="00742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54DC8F" w14:textId="77777777" w:rsidR="000E5028" w:rsidRPr="00471A2B" w:rsidRDefault="000E5028" w:rsidP="000E5028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09E282C" w14:textId="77777777" w:rsidR="000E5028" w:rsidRPr="00471A2B" w:rsidRDefault="000E5028" w:rsidP="000E502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0722727" w14:textId="5E781219" w:rsidR="000E5028" w:rsidRPr="00471A2B" w:rsidRDefault="000E5028" w:rsidP="000E502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препоруке 3.1. „Утврђивање правног основа за документацију“, поред  допуна Закона, потребно је и доношење новог правилника</w:t>
            </w:r>
          </w:p>
          <w:p w14:paraId="488D0192" w14:textId="77777777" w:rsidR="00CA1CE9" w:rsidRPr="00471A2B" w:rsidRDefault="00CA1CE9" w:rsidP="00EE172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09844DA" w14:textId="77777777" w:rsidR="000E5028" w:rsidRPr="00471A2B" w:rsidRDefault="000E5028" w:rsidP="00EE172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506ADFF" w14:textId="64822A29" w:rsidR="000E5028" w:rsidRPr="00471A2B" w:rsidRDefault="000E5028" w:rsidP="00EE172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471A2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71A2B" w:rsidRDefault="00CA1CE9" w:rsidP="00BD0BDB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1A2B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E8EEC8B" w14:textId="77777777" w:rsidR="000E5028" w:rsidRPr="00471A2B" w:rsidRDefault="000E5028" w:rsidP="00A576AF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64BC78F" w14:textId="1C9656DC" w:rsidR="00A576AF" w:rsidRPr="00471A2B" w:rsidRDefault="00A576AF" w:rsidP="00A576AF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471A2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5.413.012,50 РСД. Усвајање и примена препорука ће донети привредним субјектима годишње директне уштеде од 1.721.782,28 РСД или 14.156,84 ЕУР. Ове уштеде износе 31,81% укупних директних трошкова привредних субјеката у поступку.</w:t>
            </w:r>
          </w:p>
          <w:p w14:paraId="7CA28E4F" w14:textId="264A4C6C" w:rsidR="00CA1CE9" w:rsidRPr="00471A2B" w:rsidRDefault="00CA1CE9" w:rsidP="00C041D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38EDD77F" w:rsidR="00C041DF" w:rsidRPr="000E5028" w:rsidRDefault="00D71FFC" w:rsidP="00C041D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</w:t>
            </w:r>
            <w:r w:rsidR="00B307AB"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поступка за привредне субјекте</w:t>
            </w:r>
            <w:r w:rsidRPr="00471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 смањењу издатака</w:t>
            </w:r>
            <w:r w:rsidRPr="00471A2B">
              <w:rPr>
                <w:rFonts w:ascii="Times New Roman" w:eastAsia="Times New Roman" w:hAnsi="Times New Roman"/>
                <w:lang w:val="sr-Cyrl-RS"/>
              </w:rPr>
              <w:t>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44F146" w16cid:durableId="229C5232"/>
  <w16cid:commentId w16cid:paraId="14251A8D" w16cid:durableId="229C52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FB178" w14:textId="77777777" w:rsidR="00D1700E" w:rsidRDefault="00D1700E" w:rsidP="002A202F">
      <w:r>
        <w:separator/>
      </w:r>
    </w:p>
  </w:endnote>
  <w:endnote w:type="continuationSeparator" w:id="0">
    <w:p w14:paraId="35CAFCDB" w14:textId="77777777" w:rsidR="00D1700E" w:rsidRDefault="00D1700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5903EC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D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90122" w14:textId="77777777" w:rsidR="00D1700E" w:rsidRDefault="00D1700E" w:rsidP="002A202F">
      <w:r>
        <w:separator/>
      </w:r>
    </w:p>
  </w:footnote>
  <w:footnote w:type="continuationSeparator" w:id="0">
    <w:p w14:paraId="1F6E187B" w14:textId="77777777" w:rsidR="00D1700E" w:rsidRDefault="00D1700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926"/>
    <w:multiLevelType w:val="multilevel"/>
    <w:tmpl w:val="B4187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4F7E"/>
    <w:multiLevelType w:val="hybridMultilevel"/>
    <w:tmpl w:val="CB4A89B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4D2D"/>
    <w:multiLevelType w:val="hybridMultilevel"/>
    <w:tmpl w:val="8202E988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026353"/>
    <w:multiLevelType w:val="hybridMultilevel"/>
    <w:tmpl w:val="8222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15AA6"/>
    <w:multiLevelType w:val="multilevel"/>
    <w:tmpl w:val="06B24F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E14B4"/>
    <w:multiLevelType w:val="hybridMultilevel"/>
    <w:tmpl w:val="E2ECF730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B7F1269"/>
    <w:multiLevelType w:val="hybridMultilevel"/>
    <w:tmpl w:val="DF742ACE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C2104"/>
    <w:multiLevelType w:val="multilevel"/>
    <w:tmpl w:val="9AE0153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43434"/>
    <w:multiLevelType w:val="hybridMultilevel"/>
    <w:tmpl w:val="81F04744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06B24F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F553B"/>
    <w:multiLevelType w:val="hybridMultilevel"/>
    <w:tmpl w:val="E2ECF730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7"/>
  </w:num>
  <w:num w:numId="5">
    <w:abstractNumId w:val="3"/>
  </w:num>
  <w:num w:numId="6">
    <w:abstractNumId w:val="19"/>
  </w:num>
  <w:num w:numId="7">
    <w:abstractNumId w:val="33"/>
  </w:num>
  <w:num w:numId="8">
    <w:abstractNumId w:val="15"/>
  </w:num>
  <w:num w:numId="9">
    <w:abstractNumId w:val="31"/>
  </w:num>
  <w:num w:numId="10">
    <w:abstractNumId w:val="29"/>
  </w:num>
  <w:num w:numId="11">
    <w:abstractNumId w:val="28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6"/>
  </w:num>
  <w:num w:numId="17">
    <w:abstractNumId w:val="14"/>
  </w:num>
  <w:num w:numId="18">
    <w:abstractNumId w:val="32"/>
  </w:num>
  <w:num w:numId="19">
    <w:abstractNumId w:val="9"/>
  </w:num>
  <w:num w:numId="20">
    <w:abstractNumId w:val="34"/>
  </w:num>
  <w:num w:numId="21">
    <w:abstractNumId w:val="11"/>
  </w:num>
  <w:num w:numId="22">
    <w:abstractNumId w:val="5"/>
  </w:num>
  <w:num w:numId="23">
    <w:abstractNumId w:val="24"/>
  </w:num>
  <w:num w:numId="24">
    <w:abstractNumId w:val="1"/>
  </w:num>
  <w:num w:numId="25">
    <w:abstractNumId w:val="8"/>
  </w:num>
  <w:num w:numId="26">
    <w:abstractNumId w:val="4"/>
  </w:num>
  <w:num w:numId="27">
    <w:abstractNumId w:val="18"/>
  </w:num>
  <w:num w:numId="28">
    <w:abstractNumId w:val="24"/>
  </w:num>
  <w:num w:numId="29">
    <w:abstractNumId w:val="22"/>
  </w:num>
  <w:num w:numId="30">
    <w:abstractNumId w:val="2"/>
  </w:num>
  <w:num w:numId="31">
    <w:abstractNumId w:val="2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0"/>
  </w:num>
  <w:num w:numId="35">
    <w:abstractNumId w:val="13"/>
  </w:num>
  <w:num w:numId="36">
    <w:abstractNumId w:val="20"/>
  </w:num>
  <w:num w:numId="37">
    <w:abstractNumId w:val="6"/>
  </w:num>
  <w:num w:numId="38">
    <w:abstractNumId w:val="17"/>
  </w:num>
  <w:num w:numId="39">
    <w:abstractNumId w:val="27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548"/>
    <w:rsid w:val="00011A18"/>
    <w:rsid w:val="0001445B"/>
    <w:rsid w:val="000218C6"/>
    <w:rsid w:val="00023EF9"/>
    <w:rsid w:val="00026C2F"/>
    <w:rsid w:val="00027945"/>
    <w:rsid w:val="00036812"/>
    <w:rsid w:val="00044F35"/>
    <w:rsid w:val="00044F63"/>
    <w:rsid w:val="00050616"/>
    <w:rsid w:val="00061070"/>
    <w:rsid w:val="00065D57"/>
    <w:rsid w:val="00071EDB"/>
    <w:rsid w:val="00083993"/>
    <w:rsid w:val="00092B84"/>
    <w:rsid w:val="0009542A"/>
    <w:rsid w:val="000A305B"/>
    <w:rsid w:val="000A53F3"/>
    <w:rsid w:val="000A5CDC"/>
    <w:rsid w:val="000B3651"/>
    <w:rsid w:val="000B54D7"/>
    <w:rsid w:val="000C216A"/>
    <w:rsid w:val="000D5029"/>
    <w:rsid w:val="000E2036"/>
    <w:rsid w:val="000E5028"/>
    <w:rsid w:val="000F0E84"/>
    <w:rsid w:val="000F5E72"/>
    <w:rsid w:val="00113C5C"/>
    <w:rsid w:val="001156BA"/>
    <w:rsid w:val="001247E0"/>
    <w:rsid w:val="0015182D"/>
    <w:rsid w:val="00157299"/>
    <w:rsid w:val="001613D9"/>
    <w:rsid w:val="00161847"/>
    <w:rsid w:val="00164595"/>
    <w:rsid w:val="00170CA7"/>
    <w:rsid w:val="001711C5"/>
    <w:rsid w:val="001822E9"/>
    <w:rsid w:val="001A023F"/>
    <w:rsid w:val="001A1AC7"/>
    <w:rsid w:val="001A3FAC"/>
    <w:rsid w:val="001A6472"/>
    <w:rsid w:val="001C5538"/>
    <w:rsid w:val="001D0EDE"/>
    <w:rsid w:val="001D20E2"/>
    <w:rsid w:val="001D7192"/>
    <w:rsid w:val="001E386B"/>
    <w:rsid w:val="001E38DE"/>
    <w:rsid w:val="001E628B"/>
    <w:rsid w:val="001F7B31"/>
    <w:rsid w:val="0020601F"/>
    <w:rsid w:val="00206CB0"/>
    <w:rsid w:val="00212DA5"/>
    <w:rsid w:val="0021347C"/>
    <w:rsid w:val="00214841"/>
    <w:rsid w:val="002323AC"/>
    <w:rsid w:val="00251CC3"/>
    <w:rsid w:val="00253787"/>
    <w:rsid w:val="00261404"/>
    <w:rsid w:val="00266BCB"/>
    <w:rsid w:val="002673B0"/>
    <w:rsid w:val="00275E2A"/>
    <w:rsid w:val="00296938"/>
    <w:rsid w:val="002A202F"/>
    <w:rsid w:val="002B19B4"/>
    <w:rsid w:val="002B30CF"/>
    <w:rsid w:val="002D0C53"/>
    <w:rsid w:val="002D6FF0"/>
    <w:rsid w:val="002F1BEC"/>
    <w:rsid w:val="002F4757"/>
    <w:rsid w:val="00322199"/>
    <w:rsid w:val="003223C7"/>
    <w:rsid w:val="00326555"/>
    <w:rsid w:val="00334695"/>
    <w:rsid w:val="003410E0"/>
    <w:rsid w:val="00350EAD"/>
    <w:rsid w:val="00357721"/>
    <w:rsid w:val="00360D6A"/>
    <w:rsid w:val="003651DB"/>
    <w:rsid w:val="00370F2C"/>
    <w:rsid w:val="003715A0"/>
    <w:rsid w:val="0037171F"/>
    <w:rsid w:val="003769B0"/>
    <w:rsid w:val="00376FD1"/>
    <w:rsid w:val="0039002C"/>
    <w:rsid w:val="00392911"/>
    <w:rsid w:val="003B4238"/>
    <w:rsid w:val="003B44DB"/>
    <w:rsid w:val="003B4BC9"/>
    <w:rsid w:val="003B6298"/>
    <w:rsid w:val="003E2EB1"/>
    <w:rsid w:val="003E3C16"/>
    <w:rsid w:val="003E6B26"/>
    <w:rsid w:val="00407D96"/>
    <w:rsid w:val="004202F4"/>
    <w:rsid w:val="00426549"/>
    <w:rsid w:val="00426DD4"/>
    <w:rsid w:val="00432495"/>
    <w:rsid w:val="00444DA7"/>
    <w:rsid w:val="00457882"/>
    <w:rsid w:val="00463CC7"/>
    <w:rsid w:val="00471A2B"/>
    <w:rsid w:val="004809C4"/>
    <w:rsid w:val="0048433C"/>
    <w:rsid w:val="004847B1"/>
    <w:rsid w:val="0049545B"/>
    <w:rsid w:val="004958A9"/>
    <w:rsid w:val="00495BDE"/>
    <w:rsid w:val="004B234D"/>
    <w:rsid w:val="004D3BD0"/>
    <w:rsid w:val="004D45B1"/>
    <w:rsid w:val="004D68A7"/>
    <w:rsid w:val="004E1E85"/>
    <w:rsid w:val="004E29D1"/>
    <w:rsid w:val="004E3984"/>
    <w:rsid w:val="00500566"/>
    <w:rsid w:val="00502256"/>
    <w:rsid w:val="005073A3"/>
    <w:rsid w:val="00523608"/>
    <w:rsid w:val="00525C0A"/>
    <w:rsid w:val="00535608"/>
    <w:rsid w:val="00553DBE"/>
    <w:rsid w:val="00556688"/>
    <w:rsid w:val="0056162B"/>
    <w:rsid w:val="0056707B"/>
    <w:rsid w:val="00581A9D"/>
    <w:rsid w:val="0058238B"/>
    <w:rsid w:val="005A1CD4"/>
    <w:rsid w:val="005A2503"/>
    <w:rsid w:val="005B3546"/>
    <w:rsid w:val="005B4F04"/>
    <w:rsid w:val="005B7CB9"/>
    <w:rsid w:val="005D0023"/>
    <w:rsid w:val="005D0377"/>
    <w:rsid w:val="005E21C4"/>
    <w:rsid w:val="005E7591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1999"/>
    <w:rsid w:val="00692071"/>
    <w:rsid w:val="00694B28"/>
    <w:rsid w:val="006C5349"/>
    <w:rsid w:val="006C5F2A"/>
    <w:rsid w:val="006C662C"/>
    <w:rsid w:val="006D385A"/>
    <w:rsid w:val="006F1CA4"/>
    <w:rsid w:val="006F4A5C"/>
    <w:rsid w:val="00715F5C"/>
    <w:rsid w:val="007278C1"/>
    <w:rsid w:val="00733493"/>
    <w:rsid w:val="00737F1D"/>
    <w:rsid w:val="00742E03"/>
    <w:rsid w:val="00782816"/>
    <w:rsid w:val="00785A46"/>
    <w:rsid w:val="007861E3"/>
    <w:rsid w:val="007940D6"/>
    <w:rsid w:val="007B1174"/>
    <w:rsid w:val="007B1740"/>
    <w:rsid w:val="007C61B5"/>
    <w:rsid w:val="007D3889"/>
    <w:rsid w:val="007D39E4"/>
    <w:rsid w:val="007D43A7"/>
    <w:rsid w:val="007E1695"/>
    <w:rsid w:val="007E3394"/>
    <w:rsid w:val="007F204C"/>
    <w:rsid w:val="007F21F3"/>
    <w:rsid w:val="007F43E8"/>
    <w:rsid w:val="00804060"/>
    <w:rsid w:val="00806E08"/>
    <w:rsid w:val="008166C9"/>
    <w:rsid w:val="00824E43"/>
    <w:rsid w:val="00833D8C"/>
    <w:rsid w:val="00834C9A"/>
    <w:rsid w:val="00836F0B"/>
    <w:rsid w:val="0084708C"/>
    <w:rsid w:val="00850AD5"/>
    <w:rsid w:val="00852739"/>
    <w:rsid w:val="008629CC"/>
    <w:rsid w:val="00865EBB"/>
    <w:rsid w:val="00886C36"/>
    <w:rsid w:val="008874B3"/>
    <w:rsid w:val="008A6AC8"/>
    <w:rsid w:val="008B10A7"/>
    <w:rsid w:val="008C5591"/>
    <w:rsid w:val="008D04A6"/>
    <w:rsid w:val="008D2DB9"/>
    <w:rsid w:val="008D4C1A"/>
    <w:rsid w:val="008E3FD4"/>
    <w:rsid w:val="008F0867"/>
    <w:rsid w:val="008F172F"/>
    <w:rsid w:val="008F2044"/>
    <w:rsid w:val="008F2BE1"/>
    <w:rsid w:val="008F4DD1"/>
    <w:rsid w:val="009056DB"/>
    <w:rsid w:val="00947592"/>
    <w:rsid w:val="00947F47"/>
    <w:rsid w:val="00950280"/>
    <w:rsid w:val="00957EFC"/>
    <w:rsid w:val="00965FF3"/>
    <w:rsid w:val="00991A18"/>
    <w:rsid w:val="00994A16"/>
    <w:rsid w:val="009A30D3"/>
    <w:rsid w:val="009A51FE"/>
    <w:rsid w:val="009B55E5"/>
    <w:rsid w:val="009C60C1"/>
    <w:rsid w:val="009D03A7"/>
    <w:rsid w:val="009E0479"/>
    <w:rsid w:val="00A0102E"/>
    <w:rsid w:val="00A12960"/>
    <w:rsid w:val="00A1570D"/>
    <w:rsid w:val="00A22386"/>
    <w:rsid w:val="00A56B75"/>
    <w:rsid w:val="00A576AF"/>
    <w:rsid w:val="00A71C04"/>
    <w:rsid w:val="00A91725"/>
    <w:rsid w:val="00AA0017"/>
    <w:rsid w:val="00AA4BC5"/>
    <w:rsid w:val="00AB09B3"/>
    <w:rsid w:val="00AC02D1"/>
    <w:rsid w:val="00AE4B01"/>
    <w:rsid w:val="00AE5205"/>
    <w:rsid w:val="00AE66D0"/>
    <w:rsid w:val="00AF3BEE"/>
    <w:rsid w:val="00B06019"/>
    <w:rsid w:val="00B07409"/>
    <w:rsid w:val="00B1006E"/>
    <w:rsid w:val="00B1332A"/>
    <w:rsid w:val="00B143E1"/>
    <w:rsid w:val="00B178FB"/>
    <w:rsid w:val="00B22B25"/>
    <w:rsid w:val="00B307AB"/>
    <w:rsid w:val="00B5252A"/>
    <w:rsid w:val="00B63DB1"/>
    <w:rsid w:val="00B67138"/>
    <w:rsid w:val="00B6715C"/>
    <w:rsid w:val="00B740C6"/>
    <w:rsid w:val="00B81CFE"/>
    <w:rsid w:val="00B903AE"/>
    <w:rsid w:val="00B9157F"/>
    <w:rsid w:val="00B915EF"/>
    <w:rsid w:val="00B93B90"/>
    <w:rsid w:val="00B95225"/>
    <w:rsid w:val="00B96B1F"/>
    <w:rsid w:val="00BA55D3"/>
    <w:rsid w:val="00BA6759"/>
    <w:rsid w:val="00BA7204"/>
    <w:rsid w:val="00BB2C8C"/>
    <w:rsid w:val="00BB5AD8"/>
    <w:rsid w:val="00BC59F0"/>
    <w:rsid w:val="00BC6826"/>
    <w:rsid w:val="00BD0BDB"/>
    <w:rsid w:val="00BF1822"/>
    <w:rsid w:val="00C01AC9"/>
    <w:rsid w:val="00C0295C"/>
    <w:rsid w:val="00C03C06"/>
    <w:rsid w:val="00C041DF"/>
    <w:rsid w:val="00C121EC"/>
    <w:rsid w:val="00C12C65"/>
    <w:rsid w:val="00C1331B"/>
    <w:rsid w:val="00C21A76"/>
    <w:rsid w:val="00C445E2"/>
    <w:rsid w:val="00C54E77"/>
    <w:rsid w:val="00C70F1B"/>
    <w:rsid w:val="00C7129D"/>
    <w:rsid w:val="00C748D1"/>
    <w:rsid w:val="00C91014"/>
    <w:rsid w:val="00C9199A"/>
    <w:rsid w:val="00CA1CE9"/>
    <w:rsid w:val="00CB1A4E"/>
    <w:rsid w:val="00CC29F6"/>
    <w:rsid w:val="00CD2287"/>
    <w:rsid w:val="00CD5BBB"/>
    <w:rsid w:val="00CE0685"/>
    <w:rsid w:val="00CE7637"/>
    <w:rsid w:val="00CF660C"/>
    <w:rsid w:val="00D1700E"/>
    <w:rsid w:val="00D37EA5"/>
    <w:rsid w:val="00D7141F"/>
    <w:rsid w:val="00D71FFC"/>
    <w:rsid w:val="00D73628"/>
    <w:rsid w:val="00D73918"/>
    <w:rsid w:val="00D7491A"/>
    <w:rsid w:val="00D967D7"/>
    <w:rsid w:val="00DA125D"/>
    <w:rsid w:val="00DB19B9"/>
    <w:rsid w:val="00DB1A5A"/>
    <w:rsid w:val="00DC09AA"/>
    <w:rsid w:val="00DC2F9B"/>
    <w:rsid w:val="00DC4BC2"/>
    <w:rsid w:val="00DE057D"/>
    <w:rsid w:val="00E0020F"/>
    <w:rsid w:val="00E04A26"/>
    <w:rsid w:val="00E04B3B"/>
    <w:rsid w:val="00E118C7"/>
    <w:rsid w:val="00E1244B"/>
    <w:rsid w:val="00E1427B"/>
    <w:rsid w:val="00E14E0D"/>
    <w:rsid w:val="00E2143C"/>
    <w:rsid w:val="00E22B8B"/>
    <w:rsid w:val="00E317D1"/>
    <w:rsid w:val="00E3292E"/>
    <w:rsid w:val="00E40DF0"/>
    <w:rsid w:val="00E4267B"/>
    <w:rsid w:val="00E43728"/>
    <w:rsid w:val="00E47DAC"/>
    <w:rsid w:val="00E63C8A"/>
    <w:rsid w:val="00E63D5E"/>
    <w:rsid w:val="00E70BF6"/>
    <w:rsid w:val="00EA0ED5"/>
    <w:rsid w:val="00ED12C4"/>
    <w:rsid w:val="00ED1BCC"/>
    <w:rsid w:val="00ED4BEE"/>
    <w:rsid w:val="00EE1721"/>
    <w:rsid w:val="00F04D73"/>
    <w:rsid w:val="00F11C98"/>
    <w:rsid w:val="00F12E47"/>
    <w:rsid w:val="00F15936"/>
    <w:rsid w:val="00F223B2"/>
    <w:rsid w:val="00F30FC2"/>
    <w:rsid w:val="00F53241"/>
    <w:rsid w:val="00F67790"/>
    <w:rsid w:val="00F843EA"/>
    <w:rsid w:val="00FB1A1B"/>
    <w:rsid w:val="00FB2163"/>
    <w:rsid w:val="00FB645B"/>
    <w:rsid w:val="00FC09D6"/>
    <w:rsid w:val="00FC34EC"/>
    <w:rsid w:val="00FC3F69"/>
    <w:rsid w:val="00FC5312"/>
    <w:rsid w:val="00FD3964"/>
    <w:rsid w:val="00FE52F8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8E6D47A-B15B-49E6-812B-F73140A7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3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3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33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57B58-FF92-47FC-A58A-E85053AE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45</cp:revision>
  <cp:lastPrinted>2018-09-05T12:48:00Z</cp:lastPrinted>
  <dcterms:created xsi:type="dcterms:W3CDTF">2018-12-11T15:32:00Z</dcterms:created>
  <dcterms:modified xsi:type="dcterms:W3CDTF">2020-07-03T11:59:00Z</dcterms:modified>
</cp:coreProperties>
</file>