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4AF333DC" w:rsidR="00B1006E" w:rsidRDefault="008D09D2" w:rsidP="001E4788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bookmarkStart w:id="0" w:name="_GoBack"/>
      <w:bookmarkEnd w:id="0"/>
      <w:r w:rsidRPr="008D09D2">
        <w:rPr>
          <w:b/>
          <w:sz w:val="22"/>
          <w:szCs w:val="22"/>
          <w:lang w:val="sr-Cyrl-RS"/>
        </w:rPr>
        <w:t xml:space="preserve">ПОЈЕДНОСТАВЉЕЊЕ ПОСТУПКА ИЗДАВАЊА ДОЗВОЛЕ ЗА УВОЗ </w:t>
      </w:r>
      <w:r w:rsidR="002D19FE" w:rsidRPr="002D19FE">
        <w:t xml:space="preserve"> </w:t>
      </w:r>
      <w:r w:rsidR="002D19FE" w:rsidRPr="002D19FE">
        <w:rPr>
          <w:b/>
          <w:sz w:val="22"/>
          <w:szCs w:val="22"/>
          <w:lang w:val="sr-Cyrl-RS"/>
        </w:rPr>
        <w:t>ПРЕКУРСОРА ЧЕТВРТЕ КАТЕГОРИЈЕ</w:t>
      </w:r>
    </w:p>
    <w:p w14:paraId="5ECF5AC1" w14:textId="77777777" w:rsidR="00867EE3" w:rsidRPr="00D312BE" w:rsidRDefault="00867EE3" w:rsidP="001E4788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61"/>
        <w:gridCol w:w="5999"/>
      </w:tblGrid>
      <w:tr w:rsidR="00122B77" w:rsidRPr="00D312BE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5DAF1204" w:rsidR="00122B77" w:rsidRPr="00D312BE" w:rsidRDefault="00122B77" w:rsidP="001E4788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312B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663BD8" w:rsidRPr="00D312B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7C1D2BF1" w:rsidR="00122B77" w:rsidRPr="00D312BE" w:rsidRDefault="00BF2DAC" w:rsidP="001E4788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D312BE">
              <w:rPr>
                <w:sz w:val="22"/>
                <w:szCs w:val="22"/>
                <w:lang w:val="sr-Cyrl-RS"/>
              </w:rPr>
              <w:t>Дозволе за увоз лека који садржи прекурсор прве категорије (ефедрин, псеудоефедрин, норефедрин или њихове соли)</w:t>
            </w:r>
          </w:p>
        </w:tc>
      </w:tr>
      <w:tr w:rsidR="00122B77" w:rsidRPr="00D312BE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22B77" w:rsidRPr="00D312BE" w:rsidRDefault="00122B77" w:rsidP="001E4788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312BE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256A495D" w:rsidR="00122B77" w:rsidRPr="00D312BE" w:rsidRDefault="00122B77" w:rsidP="001E4788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Latn-RS"/>
              </w:rPr>
            </w:pPr>
            <w:r w:rsidRPr="00D312BE">
              <w:rPr>
                <w:sz w:val="22"/>
                <w:szCs w:val="22"/>
                <w:lang w:val="sr-Cyrl-RS"/>
              </w:rPr>
              <w:t>04.00.0</w:t>
            </w:r>
            <w:r w:rsidR="00A242CC" w:rsidRPr="00D312BE">
              <w:rPr>
                <w:sz w:val="22"/>
                <w:szCs w:val="22"/>
                <w:lang w:val="sr-Cyrl-RS"/>
              </w:rPr>
              <w:t>10</w:t>
            </w:r>
            <w:r w:rsidR="00BF2DAC" w:rsidRPr="00D312BE">
              <w:rPr>
                <w:sz w:val="22"/>
                <w:szCs w:val="22"/>
                <w:lang w:val="sr-Cyrl-RS"/>
              </w:rPr>
              <w:t>3</w:t>
            </w:r>
          </w:p>
        </w:tc>
      </w:tr>
      <w:tr w:rsidR="00122B77" w:rsidRPr="00D312BE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22B77" w:rsidRPr="00D312BE" w:rsidRDefault="00122B77" w:rsidP="001E4788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312BE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22B77" w:rsidRPr="00D312BE" w:rsidRDefault="00122B77" w:rsidP="001E4788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312BE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0A5CF9D0" w:rsidR="00122B77" w:rsidRPr="00D312BE" w:rsidRDefault="00122B77" w:rsidP="001E4788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D312BE">
              <w:rPr>
                <w:sz w:val="22"/>
                <w:szCs w:val="22"/>
                <w:lang w:val="sr-Cyrl-RS"/>
              </w:rPr>
              <w:t>Министарство здравља</w:t>
            </w:r>
          </w:p>
        </w:tc>
      </w:tr>
      <w:tr w:rsidR="00122B77" w:rsidRPr="00D312BE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122B77" w:rsidRPr="00D312BE" w:rsidRDefault="00122B77" w:rsidP="001E4788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312BE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D79BBA9" w14:textId="6F6BFA7C" w:rsidR="00126A9B" w:rsidRPr="00E7482C" w:rsidRDefault="00B505EA" w:rsidP="001E4788">
            <w:pPr>
              <w:pStyle w:val="ListParagraph"/>
              <w:numPr>
                <w:ilvl w:val="0"/>
                <w:numId w:val="4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Latn-CS"/>
              </w:rPr>
            </w:pPr>
            <w:r w:rsidRPr="00D312BE">
              <w:rPr>
                <w:rFonts w:ascii="Times New Roman" w:hAnsi="Times New Roman"/>
                <w:sz w:val="22"/>
                <w:szCs w:val="22"/>
                <w:lang w:val="sr-Cyrl-RS"/>
              </w:rPr>
              <w:t>Закон о супстанцама које се користе у недозвољеној производњи опојних дрога и психотропних супстанци</w:t>
            </w:r>
            <w:r w:rsidR="00E7482C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(„</w:t>
            </w:r>
            <w:r w:rsidR="00E7482C">
              <w:rPr>
                <w:rFonts w:ascii="Times New Roman" w:hAnsi="Times New Roman"/>
                <w:sz w:val="22"/>
                <w:szCs w:val="22"/>
                <w:lang w:val="sr-Latn-CS"/>
              </w:rPr>
              <w:t>Сл</w:t>
            </w:r>
            <w:r w:rsidR="00E7482C" w:rsidRPr="00E7482C">
              <w:rPr>
                <w:rFonts w:ascii="Times New Roman" w:hAnsi="Times New Roman"/>
                <w:sz w:val="22"/>
                <w:szCs w:val="22"/>
                <w:lang w:val="sr-Latn-CS"/>
              </w:rPr>
              <w:t xml:space="preserve">. </w:t>
            </w:r>
            <w:r w:rsidR="00E7482C">
              <w:rPr>
                <w:rFonts w:ascii="Times New Roman" w:hAnsi="Times New Roman"/>
                <w:sz w:val="22"/>
                <w:szCs w:val="22"/>
                <w:lang w:val="sr-Latn-CS"/>
              </w:rPr>
              <w:t>Гласник</w:t>
            </w:r>
            <w:r w:rsidR="00E7482C" w:rsidRPr="00E7482C">
              <w:rPr>
                <w:rFonts w:ascii="Times New Roman" w:hAnsi="Times New Roman"/>
                <w:sz w:val="22"/>
                <w:szCs w:val="22"/>
                <w:lang w:val="sr-Latn-CS"/>
              </w:rPr>
              <w:t xml:space="preserve"> </w:t>
            </w:r>
            <w:r w:rsidR="00E7482C">
              <w:rPr>
                <w:rFonts w:ascii="Times New Roman" w:hAnsi="Times New Roman"/>
                <w:sz w:val="22"/>
                <w:szCs w:val="22"/>
                <w:lang w:val="sr-Latn-CS"/>
              </w:rPr>
              <w:t>РС</w:t>
            </w:r>
            <w:r w:rsidR="00E7482C" w:rsidRPr="00E7482C">
              <w:rPr>
                <w:rFonts w:ascii="Times New Roman" w:hAnsi="Times New Roman"/>
                <w:sz w:val="22"/>
                <w:szCs w:val="22"/>
                <w:lang w:val="sr-Latn-CS"/>
              </w:rPr>
              <w:t>“</w:t>
            </w:r>
            <w:r w:rsidRPr="00E7482C">
              <w:rPr>
                <w:rFonts w:ascii="Times New Roman" w:hAnsi="Times New Roman"/>
                <w:sz w:val="22"/>
                <w:szCs w:val="22"/>
                <w:lang w:val="sr-Latn-CS"/>
              </w:rPr>
              <w:t xml:space="preserve"> 107/05</w:t>
            </w:r>
            <w:r w:rsidR="00E7482C">
              <w:rPr>
                <w:rFonts w:ascii="Times New Roman" w:hAnsi="Times New Roman"/>
                <w:sz w:val="22"/>
                <w:szCs w:val="22"/>
                <w:lang w:val="sr-Latn-CS"/>
              </w:rPr>
              <w:t>)</w:t>
            </w:r>
          </w:p>
          <w:p w14:paraId="2CCB5DCC" w14:textId="6A70409F" w:rsidR="00B505EA" w:rsidRPr="00D312BE" w:rsidRDefault="00B505EA" w:rsidP="001E4788">
            <w:pPr>
              <w:pStyle w:val="ListParagraph"/>
              <w:numPr>
                <w:ilvl w:val="0"/>
                <w:numId w:val="4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312BE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облику и садржају дозволе за увоз, извоз односно транзит прекурсора прве, друге и треће категориј</w:t>
            </w:r>
            <w:r w:rsidR="00C01D05" w:rsidRPr="00D312BE">
              <w:rPr>
                <w:rFonts w:ascii="Times New Roman" w:hAnsi="Times New Roman"/>
                <w:sz w:val="22"/>
                <w:szCs w:val="22"/>
                <w:lang w:val="sr-Cyrl-RS"/>
              </w:rPr>
              <w:t>е</w:t>
            </w:r>
            <w:r w:rsidR="00E7482C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C01D05" w:rsidRPr="00D312B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E7482C">
              <w:rPr>
                <w:rFonts w:ascii="Times New Roman" w:hAnsi="Times New Roman"/>
                <w:sz w:val="22"/>
                <w:szCs w:val="22"/>
                <w:lang w:val="sr-Latn-RS"/>
              </w:rPr>
              <w:t>(„</w:t>
            </w:r>
            <w:r w:rsidR="00E7482C">
              <w:rPr>
                <w:rFonts w:ascii="Times New Roman" w:hAnsi="Times New Roman"/>
                <w:sz w:val="22"/>
                <w:szCs w:val="22"/>
                <w:lang w:val="sr-Latn-CS"/>
              </w:rPr>
              <w:t>Сл</w:t>
            </w:r>
            <w:r w:rsidR="00E7482C" w:rsidRPr="00E7482C">
              <w:rPr>
                <w:rFonts w:ascii="Times New Roman" w:hAnsi="Times New Roman"/>
                <w:sz w:val="22"/>
                <w:szCs w:val="22"/>
                <w:lang w:val="sr-Latn-CS"/>
              </w:rPr>
              <w:t xml:space="preserve">. </w:t>
            </w:r>
            <w:r w:rsidR="00E7482C">
              <w:rPr>
                <w:rFonts w:ascii="Times New Roman" w:hAnsi="Times New Roman"/>
                <w:sz w:val="22"/>
                <w:szCs w:val="22"/>
                <w:lang w:val="sr-Latn-CS"/>
              </w:rPr>
              <w:t>Гласник</w:t>
            </w:r>
            <w:r w:rsidR="00E7482C" w:rsidRPr="00E7482C">
              <w:rPr>
                <w:rFonts w:ascii="Times New Roman" w:hAnsi="Times New Roman"/>
                <w:sz w:val="22"/>
                <w:szCs w:val="22"/>
                <w:lang w:val="sr-Latn-CS"/>
              </w:rPr>
              <w:t xml:space="preserve"> </w:t>
            </w:r>
            <w:r w:rsidR="00E7482C">
              <w:rPr>
                <w:rFonts w:ascii="Times New Roman" w:hAnsi="Times New Roman"/>
                <w:sz w:val="22"/>
                <w:szCs w:val="22"/>
                <w:lang w:val="sr-Latn-CS"/>
              </w:rPr>
              <w:t>РС</w:t>
            </w:r>
            <w:r w:rsidR="00E7482C" w:rsidRPr="00E7482C">
              <w:rPr>
                <w:rFonts w:ascii="Times New Roman" w:hAnsi="Times New Roman"/>
                <w:sz w:val="22"/>
                <w:szCs w:val="22"/>
                <w:lang w:val="sr-Latn-CS"/>
              </w:rPr>
              <w:t xml:space="preserve">“ </w:t>
            </w:r>
            <w:r w:rsidR="00C01D05" w:rsidRPr="00D312BE">
              <w:rPr>
                <w:rFonts w:ascii="Times New Roman" w:hAnsi="Times New Roman"/>
                <w:sz w:val="22"/>
                <w:szCs w:val="22"/>
                <w:lang w:val="sr-Cyrl-RS"/>
              </w:rPr>
              <w:t>101/09</w:t>
            </w:r>
            <w:r w:rsidR="00E7482C">
              <w:rPr>
                <w:rFonts w:ascii="Times New Roman" w:hAnsi="Times New Roman"/>
                <w:sz w:val="22"/>
                <w:szCs w:val="22"/>
                <w:lang w:val="sr-Latn-RS"/>
              </w:rPr>
              <w:t>)</w:t>
            </w:r>
          </w:p>
        </w:tc>
      </w:tr>
      <w:tr w:rsidR="00122B77" w:rsidRPr="00D312BE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22B77" w:rsidRPr="00D312BE" w:rsidRDefault="00122B77" w:rsidP="001E4788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312B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02583B1C" w:rsidR="00122B77" w:rsidRPr="00D312BE" w:rsidRDefault="00FC67CC" w:rsidP="001E4788">
            <w:pPr>
              <w:pStyle w:val="ListParagraph"/>
              <w:spacing w:before="120" w:after="120"/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Нема измене прописа</w:t>
            </w:r>
          </w:p>
        </w:tc>
      </w:tr>
      <w:tr w:rsidR="00DE4C80" w:rsidRPr="00D312BE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DE4C80" w:rsidRPr="00D312BE" w:rsidRDefault="00DE4C80" w:rsidP="001E4788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312BE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3BA8546A" w:rsidR="00DE4C80" w:rsidRPr="00D312BE" w:rsidRDefault="005C52CF" w:rsidP="001E4788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t xml:space="preserve"> </w:t>
            </w:r>
            <w:r w:rsidRPr="005C52CF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DE4C80" w:rsidRPr="00D312BE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DE4C80" w:rsidRPr="00D312BE" w:rsidRDefault="00DE4C80" w:rsidP="001E4788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312BE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DE4C80" w:rsidRPr="00D312BE" w14:paraId="4635A4BE" w14:textId="77777777" w:rsidTr="00CA1CE9">
        <w:tc>
          <w:tcPr>
            <w:tcW w:w="9060" w:type="dxa"/>
            <w:gridSpan w:val="2"/>
          </w:tcPr>
          <w:p w14:paraId="4BCB02C2" w14:textId="7E3086C2" w:rsidR="00DE4C80" w:rsidRPr="00D312BE" w:rsidRDefault="00AE5EDB" w:rsidP="001E4788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Приликом издавања</w:t>
            </w:r>
            <w:r w:rsidRPr="00D312BE">
              <w:rPr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д</w:t>
            </w:r>
            <w:r w:rsidRPr="00AE5EDB">
              <w:rPr>
                <w:rFonts w:ascii="Times New Roman" w:hAnsi="Times New Roman"/>
                <w:sz w:val="22"/>
                <w:szCs w:val="22"/>
                <w:lang w:val="sr-Cyrl-RS"/>
              </w:rPr>
              <w:t>озволе за увоз лека који садржи прекурсор прве категорије (ефедрин, псеудоефедрин, норефедрин</w:t>
            </w:r>
            <w:r w:rsidRPr="00D312BE">
              <w:rPr>
                <w:sz w:val="22"/>
                <w:szCs w:val="22"/>
                <w:lang w:val="sr-Cyrl-RS"/>
              </w:rPr>
              <w:t xml:space="preserve"> </w:t>
            </w:r>
            <w:r w:rsidRPr="00AE5EDB">
              <w:rPr>
                <w:rFonts w:ascii="Times New Roman" w:hAnsi="Times New Roman"/>
                <w:sz w:val="22"/>
                <w:szCs w:val="22"/>
                <w:lang w:val="sr-Cyrl-RS"/>
              </w:rPr>
              <w:t>или њихове соли)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DE4C80" w:rsidRPr="00D312B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пракси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се </w:t>
            </w:r>
            <w:r w:rsidR="00DE4C80" w:rsidRPr="00D312BE">
              <w:rPr>
                <w:rFonts w:ascii="Times New Roman" w:hAnsi="Times New Roman"/>
                <w:sz w:val="22"/>
                <w:szCs w:val="22"/>
                <w:lang w:val="sr-Cyrl-RS"/>
              </w:rPr>
              <w:t>поједини подаци не прибављају по службеној дужности а од подносиоца захтева се траже документа која нису у сагласности са прописима којима се утврђују услови, услед чега долази до непотребног административног оптерећења подносиоца захтева, а и након подношења захтева, поставља се питање да ли је поднет захтев уредан или ће се од подносиоца тражити „још један папир“.</w:t>
            </w:r>
          </w:p>
        </w:tc>
      </w:tr>
      <w:tr w:rsidR="00DE4C80" w:rsidRPr="00D312BE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DE4C80" w:rsidRPr="00D312BE" w:rsidRDefault="00DE4C80" w:rsidP="001E4788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312BE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DE4C80" w:rsidRPr="00D312BE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DE4C80" w:rsidRPr="00D312BE" w:rsidRDefault="00DE4C80" w:rsidP="001E4788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DE4C80" w:rsidRPr="00D312BE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8"/>
              <w:gridCol w:w="1948"/>
              <w:gridCol w:w="1952"/>
              <w:gridCol w:w="1579"/>
              <w:gridCol w:w="7"/>
            </w:tblGrid>
            <w:tr w:rsidR="00DE4C80" w:rsidRPr="00A61BAA" w14:paraId="4F4E413A" w14:textId="77777777" w:rsidTr="008A1E00">
              <w:trPr>
                <w:trHeight w:val="749"/>
              </w:trPr>
              <w:tc>
                <w:tcPr>
                  <w:tcW w:w="33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190DAC1" w14:textId="77777777" w:rsidR="00DE4C80" w:rsidRPr="00A61BAA" w:rsidRDefault="00DE4C80" w:rsidP="001E478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61BA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6D24EE82" w14:textId="77777777" w:rsidR="00DE4C80" w:rsidRPr="00A61BAA" w:rsidRDefault="00DE4C80" w:rsidP="001E478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61BA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3CDEED9C" w14:textId="77777777" w:rsidR="00DE4C80" w:rsidRPr="00A61BAA" w:rsidRDefault="00DE4C80" w:rsidP="001E478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61BA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DE4C80" w:rsidRPr="00A61BAA" w14:paraId="52C5B41C" w14:textId="77777777" w:rsidTr="008A1E00">
              <w:trPr>
                <w:trHeight w:val="260"/>
              </w:trPr>
              <w:tc>
                <w:tcPr>
                  <w:tcW w:w="3348" w:type="dxa"/>
                  <w:vMerge/>
                </w:tcPr>
                <w:p w14:paraId="082939D2" w14:textId="77777777" w:rsidR="00DE4C80" w:rsidRPr="00A61BAA" w:rsidRDefault="00DE4C80" w:rsidP="001E478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309BE869" w14:textId="77777777" w:rsidR="00DE4C80" w:rsidRPr="00A61BAA" w:rsidRDefault="00DE4C80" w:rsidP="001E478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61BA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682FC3AE" w14:textId="77777777" w:rsidR="00DE4C80" w:rsidRPr="00A61BAA" w:rsidRDefault="00DE4C80" w:rsidP="001E478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61BA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586" w:type="dxa"/>
                  <w:gridSpan w:val="2"/>
                  <w:vMerge/>
                </w:tcPr>
                <w:p w14:paraId="0B72EB9E" w14:textId="77777777" w:rsidR="00DE4C80" w:rsidRPr="00A61BAA" w:rsidRDefault="00DE4C80" w:rsidP="001E478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A61BAA" w14:paraId="11C3CB25" w14:textId="77777777" w:rsidTr="008A1E00">
              <w:trPr>
                <w:trHeight w:val="490"/>
              </w:trPr>
              <w:tc>
                <w:tcPr>
                  <w:tcW w:w="3348" w:type="dxa"/>
                  <w:vAlign w:val="center"/>
                </w:tcPr>
                <w:p w14:paraId="059B7A5B" w14:textId="3B98740D" w:rsidR="00DE4C80" w:rsidRPr="00A61BAA" w:rsidRDefault="001E4788" w:rsidP="001E4788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>Утврђивање правног  основа и потребне документације</w:t>
                  </w:r>
                </w:p>
              </w:tc>
              <w:tc>
                <w:tcPr>
                  <w:tcW w:w="5486" w:type="dxa"/>
                  <w:gridSpan w:val="4"/>
                </w:tcPr>
                <w:p w14:paraId="38B1A2EA" w14:textId="77777777" w:rsidR="00DE4C80" w:rsidRPr="00A61BAA" w:rsidRDefault="00DE4C80" w:rsidP="001E478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A61BAA" w14:paraId="63BBE618" w14:textId="77777777" w:rsidTr="008A1E00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0B6D9E91" w14:textId="77777777" w:rsidR="00DE4C80" w:rsidRPr="00A61BAA" w:rsidRDefault="00DE4C80" w:rsidP="001E4788">
                  <w:pPr>
                    <w:jc w:val="left"/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A61BAA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Елиминација непотребне документације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0768C77E" w14:textId="47EE7837" w:rsidR="00DE4C80" w:rsidRPr="00A61BAA" w:rsidRDefault="00DE4C80" w:rsidP="001E478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9B9E3B2" w14:textId="2286B032" w:rsidR="00DE4C80" w:rsidRPr="00A61BAA" w:rsidRDefault="00656E93" w:rsidP="001E478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61BA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6" w:type="dxa"/>
                  <w:gridSpan w:val="2"/>
                  <w:vAlign w:val="center"/>
                </w:tcPr>
                <w:p w14:paraId="4B6102F9" w14:textId="34B2BC4C" w:rsidR="00DE4C80" w:rsidRPr="00A61BAA" w:rsidRDefault="00DE4C80" w:rsidP="001E478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A61BAA" w14:paraId="6F347C1E" w14:textId="77777777" w:rsidTr="008A1E00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3A77062E" w14:textId="67C858E0" w:rsidR="00DE4C80" w:rsidRPr="00CC4E05" w:rsidRDefault="00DE4C80" w:rsidP="001E478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CC4E0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 података по службеној дужности</w:t>
                  </w:r>
                  <w:r w:rsidRPr="00CC4E05"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 xml:space="preserve"> </w:t>
                  </w:r>
                  <w:r w:rsidR="005C52CF" w:rsidRPr="005C52CF"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>у складу са ЗОУП</w:t>
                  </w:r>
                </w:p>
              </w:tc>
              <w:tc>
                <w:tcPr>
                  <w:tcW w:w="1948" w:type="dxa"/>
                  <w:vAlign w:val="center"/>
                </w:tcPr>
                <w:p w14:paraId="0334D5ED" w14:textId="77777777" w:rsidR="00DE4C80" w:rsidRPr="00A61BAA" w:rsidRDefault="00DE4C80" w:rsidP="001E478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CFF95F4" w14:textId="140C6ADF" w:rsidR="00DE4C80" w:rsidRPr="00A61BAA" w:rsidRDefault="00DE4C80" w:rsidP="001E478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61BA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6" w:type="dxa"/>
                  <w:gridSpan w:val="2"/>
                  <w:vAlign w:val="center"/>
                </w:tcPr>
                <w:p w14:paraId="1428759B" w14:textId="77777777" w:rsidR="00DE4C80" w:rsidRPr="00A61BAA" w:rsidRDefault="00DE4C80" w:rsidP="001E478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A61BAA" w14:paraId="7F7B319D" w14:textId="77777777" w:rsidTr="008A1E00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4B8A8FAC" w14:textId="77777777" w:rsidR="00DE4C80" w:rsidRPr="00A61BAA" w:rsidRDefault="00DE4C80" w:rsidP="001E478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61BA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79" w:type="dxa"/>
                  <w:gridSpan w:val="3"/>
                  <w:vAlign w:val="center"/>
                </w:tcPr>
                <w:p w14:paraId="1DB68E3B" w14:textId="77777777" w:rsidR="00DE4C80" w:rsidRPr="00A61BAA" w:rsidRDefault="00DE4C80" w:rsidP="001E478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A61BAA" w14:paraId="6A432120" w14:textId="77777777" w:rsidTr="008A1E00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342B5F7A" w14:textId="1E56B6DA" w:rsidR="00DE4C80" w:rsidRPr="00A61BAA" w:rsidRDefault="001E4788" w:rsidP="001E4788">
                  <w:pPr>
                    <w:pStyle w:val="NormalWeb"/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Унапређење обрасца за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7EFAA681" w14:textId="77777777" w:rsidR="00DE4C80" w:rsidRPr="00A61BAA" w:rsidRDefault="00DE4C80" w:rsidP="001E478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70D2A53C" w14:textId="0556FD37" w:rsidR="00DE4C80" w:rsidRPr="00A61BAA" w:rsidRDefault="00DE4C80" w:rsidP="001E478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61BA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5C19F119" w14:textId="77777777" w:rsidR="00DE4C80" w:rsidRPr="00A61BAA" w:rsidRDefault="00DE4C80" w:rsidP="001E478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F7364F" w:rsidRPr="00A61BAA" w14:paraId="493536E9" w14:textId="77777777" w:rsidTr="008A1E00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0D4CDF74" w14:textId="4DC02DA3" w:rsidR="00F7364F" w:rsidRPr="00A61BAA" w:rsidRDefault="00F7364F" w:rsidP="001E4788">
                  <w:pPr>
                    <w:pStyle w:val="NormalWeb"/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A61BAA">
                    <w:rPr>
                      <w:b/>
                      <w:sz w:val="20"/>
                      <w:szCs w:val="20"/>
                      <w:lang w:val="sr-Cyrl-RS"/>
                    </w:rPr>
                    <w:t>Електронско подношење захтева</w:t>
                  </w:r>
                  <w:r w:rsidRPr="00A61BAA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  </w:t>
                  </w:r>
                  <w:r w:rsidR="005C52CF" w:rsidRPr="005C52CF">
                    <w:rPr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по успостављању електронске писарнице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59251E9C" w14:textId="77777777" w:rsidR="00F7364F" w:rsidRPr="00A61BAA" w:rsidRDefault="00F7364F" w:rsidP="001E478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00142CBA" w14:textId="79B87052" w:rsidR="00F7364F" w:rsidRPr="00A61BAA" w:rsidRDefault="00F7364F" w:rsidP="001E478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61BA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21049E2F" w14:textId="77777777" w:rsidR="00F7364F" w:rsidRPr="00A61BAA" w:rsidRDefault="00F7364F" w:rsidP="001E478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8CCBC5B" w:rsidR="00DE4C80" w:rsidRPr="00D312BE" w:rsidRDefault="00DE4C80" w:rsidP="001E4788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DE4C80" w:rsidRPr="00D312BE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DE4C80" w:rsidRPr="00D312BE" w:rsidRDefault="00DE4C80" w:rsidP="001E4788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312BE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DE4C80" w:rsidRPr="009B5045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3BFB984" w14:textId="77777777" w:rsidR="00DE4C80" w:rsidRPr="009B5045" w:rsidRDefault="00DE4C80" w:rsidP="001E4788">
            <w:pPr>
              <w:pStyle w:val="NormalWeb"/>
              <w:spacing w:before="0" w:beforeAutospacing="0" w:after="0" w:afterAutospacing="0"/>
              <w:ind w:left="459"/>
              <w:rPr>
                <w:b/>
                <w:sz w:val="22"/>
                <w:szCs w:val="22"/>
                <w:lang w:val="sr-Cyrl-RS"/>
              </w:rPr>
            </w:pPr>
          </w:p>
          <w:p w14:paraId="14FEDC11" w14:textId="77777777" w:rsidR="00DE4C80" w:rsidRPr="009B5045" w:rsidRDefault="00DE4C80" w:rsidP="001E4788">
            <w:pPr>
              <w:pStyle w:val="ListParagraph"/>
              <w:numPr>
                <w:ilvl w:val="0"/>
                <w:numId w:val="5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7A88033C" w14:textId="77777777" w:rsidR="00DE4C80" w:rsidRPr="009B5045" w:rsidRDefault="00DE4C80" w:rsidP="001E4788">
            <w:pPr>
              <w:pStyle w:val="ListParagraph"/>
              <w:numPr>
                <w:ilvl w:val="0"/>
                <w:numId w:val="5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1101BB49" w14:textId="77777777" w:rsidR="00DE4C80" w:rsidRPr="009B5045" w:rsidRDefault="00DE4C80" w:rsidP="001E4788">
            <w:pPr>
              <w:pStyle w:val="ListParagraph"/>
              <w:numPr>
                <w:ilvl w:val="0"/>
                <w:numId w:val="5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1316ED20" w14:textId="77777777" w:rsidR="00DE4C80" w:rsidRPr="009B5045" w:rsidRDefault="00DE4C80" w:rsidP="001E4788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rPr>
                <w:i/>
                <w:sz w:val="22"/>
                <w:szCs w:val="22"/>
                <w:lang w:val="sr-Cyrl-RS"/>
              </w:rPr>
            </w:pPr>
            <w:r w:rsidRPr="009B5045">
              <w:rPr>
                <w:b/>
                <w:sz w:val="22"/>
                <w:szCs w:val="22"/>
                <w:lang w:val="sr-Cyrl-RS"/>
              </w:rPr>
              <w:t>Елиминација документације</w:t>
            </w:r>
          </w:p>
          <w:p w14:paraId="1B391865" w14:textId="77777777" w:rsidR="00DE4C80" w:rsidRPr="009B5045" w:rsidRDefault="00DE4C80" w:rsidP="001E4788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78699DFA" w14:textId="1BD710BD" w:rsidR="00DE4C80" w:rsidRPr="009B5045" w:rsidRDefault="00DE4C80" w:rsidP="001E4788">
            <w:pPr>
              <w:pStyle w:val="NormalWeb"/>
              <w:spacing w:before="0" w:beforeAutospacing="0" w:after="0" w:afterAutospacing="0"/>
              <w:jc w:val="both"/>
              <w:rPr>
                <w:i/>
                <w:sz w:val="22"/>
                <w:szCs w:val="22"/>
                <w:lang w:val="sr-Cyrl-RS"/>
              </w:rPr>
            </w:pPr>
            <w:r w:rsidRPr="009B5045">
              <w:rPr>
                <w:sz w:val="22"/>
                <w:szCs w:val="22"/>
                <w:lang w:val="sr-Cyrl-RS"/>
              </w:rPr>
              <w:t>Поједина документа која се достављају приликом подношења захтева нису потребна ради одлучивања о захтеву, те се сходно томе предлаже њихова елиминација. Реч је о следећ</w:t>
            </w:r>
            <w:r w:rsidR="00276252" w:rsidRPr="009B5045">
              <w:rPr>
                <w:sz w:val="22"/>
                <w:szCs w:val="22"/>
                <w:lang w:val="sr-Cyrl-RS"/>
              </w:rPr>
              <w:t>ем</w:t>
            </w:r>
            <w:r w:rsidRPr="009B5045">
              <w:rPr>
                <w:sz w:val="22"/>
                <w:szCs w:val="22"/>
                <w:lang w:val="sr-Cyrl-RS"/>
              </w:rPr>
              <w:t xml:space="preserve"> документ</w:t>
            </w:r>
            <w:r w:rsidR="00276252" w:rsidRPr="009B5045">
              <w:rPr>
                <w:sz w:val="22"/>
                <w:szCs w:val="22"/>
                <w:lang w:val="sr-Cyrl-RS"/>
              </w:rPr>
              <w:t>у</w:t>
            </w:r>
            <w:r w:rsidRPr="009B5045">
              <w:rPr>
                <w:sz w:val="22"/>
                <w:szCs w:val="22"/>
                <w:lang w:val="sr-Cyrl-RS"/>
              </w:rPr>
              <w:t xml:space="preserve">: </w:t>
            </w:r>
          </w:p>
          <w:p w14:paraId="2B8F0369" w14:textId="6A8FB01B" w:rsidR="00B2668A" w:rsidRPr="009B5045" w:rsidRDefault="00B2668A" w:rsidP="001E4788">
            <w:pPr>
              <w:pStyle w:val="ListParagraph"/>
              <w:numPr>
                <w:ilvl w:val="0"/>
                <w:numId w:val="8"/>
              </w:numPr>
              <w:spacing w:before="120" w:beforeAutospacing="1" w:after="120" w:afterAutospacing="1"/>
              <w:ind w:left="45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9B504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Документ 1 –</w:t>
            </w:r>
            <w:r w:rsidR="00276252" w:rsidRPr="009B504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Изјава да су докази из тачке од 1 до </w:t>
            </w:r>
            <w:r w:rsidR="00206815" w:rsidRPr="009B504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5</w:t>
            </w:r>
            <w:r w:rsidR="00276252" w:rsidRPr="009B504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верни оригиналу</w:t>
            </w:r>
          </w:p>
          <w:p w14:paraId="1D886D55" w14:textId="52F38412" w:rsidR="00276252" w:rsidRPr="009B5045" w:rsidRDefault="009173A2" w:rsidP="001E4788">
            <w:pPr>
              <w:spacing w:before="120" w:beforeAutospacing="1" w:after="120" w:afterAutospacing="1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9B504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Од подносиоца захтева</w:t>
            </w:r>
            <w:r w:rsidR="00276252" w:rsidRPr="009B504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се тражи да поднесе доказ </w:t>
            </w:r>
            <w:r w:rsidR="00C25495" w:rsidRPr="009B504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да поседује све релевантне дозволе везане за производњу, промет и увоз психоактивних супстанци и лекова. Поред чињенице да је надлежни орган дужан да по службеној дужности </w:t>
            </w:r>
            <w:r w:rsidR="00D84A8D" w:rsidRPr="009B504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прибави тражене податке, потпуно је сувишно да подносилац захтева изјављује да су акти које су издали државни органи верни оригиналу те се предлаже елиминација овог документа.</w:t>
            </w:r>
            <w:r w:rsidR="00C25495" w:rsidRPr="009B504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77F12E05" w14:textId="7DB678E6" w:rsidR="00DE4C80" w:rsidRPr="009B5045" w:rsidRDefault="00DE4C80" w:rsidP="001E4788">
            <w:pPr>
              <w:spacing w:before="120" w:beforeAutospacing="1" w:after="120" w:afterAutospacing="1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9B504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За примену </w:t>
            </w:r>
            <w:r w:rsidR="00D84A8D" w:rsidRPr="009B504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ове</w:t>
            </w:r>
            <w:r w:rsidRPr="009B504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препорук</w:t>
            </w:r>
            <w:r w:rsidR="00D84A8D" w:rsidRPr="009B504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е</w:t>
            </w:r>
            <w:r w:rsidRPr="009B504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није потребна измена прописа</w:t>
            </w:r>
            <w:r w:rsidR="000E5F04" w:rsidRPr="009B504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.</w:t>
            </w:r>
          </w:p>
          <w:p w14:paraId="69FD416B" w14:textId="4987BAB2" w:rsidR="00DE4C80" w:rsidRPr="009B5045" w:rsidRDefault="00DE4C80" w:rsidP="001E4788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B5045">
              <w:rPr>
                <w:b/>
                <w:sz w:val="22"/>
                <w:szCs w:val="22"/>
                <w:lang w:val="sr-Cyrl-RS"/>
              </w:rPr>
              <w:t>Прибављање података по службеној дужности</w:t>
            </w:r>
            <w:r w:rsidR="005C52CF">
              <w:t xml:space="preserve"> </w:t>
            </w:r>
            <w:r w:rsidR="005C52CF" w:rsidRPr="005C52CF">
              <w:rPr>
                <w:b/>
                <w:sz w:val="22"/>
                <w:szCs w:val="22"/>
                <w:lang w:val="sr-Cyrl-RS"/>
              </w:rPr>
              <w:t>у складу са ЗОУП</w:t>
            </w:r>
          </w:p>
          <w:p w14:paraId="5D67B20B" w14:textId="6D742D5E" w:rsidR="00F261F6" w:rsidRPr="009B5045" w:rsidRDefault="00DE4C80" w:rsidP="001E4788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9B5045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2C81D142" w14:textId="3410D450" w:rsidR="00066DB2" w:rsidRPr="009B5045" w:rsidRDefault="00C8345E" w:rsidP="001E4788">
            <w:pPr>
              <w:pStyle w:val="NormalWeb"/>
              <w:numPr>
                <w:ilvl w:val="2"/>
                <w:numId w:val="5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B5045">
              <w:rPr>
                <w:b/>
                <w:sz w:val="22"/>
                <w:szCs w:val="22"/>
                <w:lang w:val="sr-Cyrl-RS"/>
              </w:rPr>
              <w:t xml:space="preserve">Дозвола за производњу и/или промет </w:t>
            </w:r>
            <w:r w:rsidR="008C60FE" w:rsidRPr="009B5045">
              <w:rPr>
                <w:b/>
                <w:sz w:val="22"/>
                <w:szCs w:val="22"/>
                <w:lang w:val="sr-Cyrl-RS"/>
              </w:rPr>
              <w:t>прекурсора</w:t>
            </w:r>
            <w:r w:rsidR="007020EF" w:rsidRPr="009B5045">
              <w:rPr>
                <w:b/>
                <w:sz w:val="22"/>
                <w:szCs w:val="22"/>
                <w:lang w:val="sr-Cyrl-RS"/>
              </w:rPr>
              <w:t xml:space="preserve"> прве, друге или треће категорије</w:t>
            </w:r>
          </w:p>
          <w:p w14:paraId="0BD83353" w14:textId="0035A922" w:rsidR="00066DB2" w:rsidRPr="009B5045" w:rsidRDefault="00066DB2" w:rsidP="001E4788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25A636C0" w14:textId="0A244690" w:rsidR="00066DB2" w:rsidRPr="009B5045" w:rsidRDefault="00721511" w:rsidP="001E4788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9B5045">
              <w:rPr>
                <w:sz w:val="22"/>
                <w:szCs w:val="22"/>
                <w:lang w:val="sr-Cyrl-RS"/>
              </w:rPr>
              <w:t xml:space="preserve">Овај документ се потражује од подносиоца захтева као доказ да </w:t>
            </w:r>
            <w:r w:rsidR="00C8345E" w:rsidRPr="009B5045">
              <w:rPr>
                <w:sz w:val="22"/>
                <w:szCs w:val="22"/>
                <w:lang w:val="sr-Cyrl-RS"/>
              </w:rPr>
              <w:t xml:space="preserve">подносилац захтева </w:t>
            </w:r>
            <w:r w:rsidR="003E1712" w:rsidRPr="009B5045">
              <w:rPr>
                <w:sz w:val="22"/>
                <w:szCs w:val="22"/>
                <w:lang w:val="sr-Cyrl-RS"/>
              </w:rPr>
              <w:t xml:space="preserve">има основану потребу и образложење за </w:t>
            </w:r>
            <w:r w:rsidR="00A95591" w:rsidRPr="009B5045">
              <w:rPr>
                <w:sz w:val="22"/>
                <w:szCs w:val="22"/>
                <w:lang w:val="sr-Cyrl-RS"/>
              </w:rPr>
              <w:t>увоз лека који садржи прекурсор прве категорије</w:t>
            </w:r>
            <w:r w:rsidR="008F4766" w:rsidRPr="009B5045">
              <w:rPr>
                <w:sz w:val="22"/>
                <w:szCs w:val="22"/>
                <w:lang w:val="sr-Cyrl-RS"/>
              </w:rPr>
              <w:t>.</w:t>
            </w:r>
          </w:p>
          <w:p w14:paraId="40951F17" w14:textId="356B1852" w:rsidR="00721511" w:rsidRPr="009B5045" w:rsidRDefault="00721511" w:rsidP="001E4788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6890E07F" w14:textId="1F6ED026" w:rsidR="00721511" w:rsidRPr="009B5045" w:rsidRDefault="003E1712" w:rsidP="001E4788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9B5045">
              <w:rPr>
                <w:sz w:val="22"/>
                <w:szCs w:val="22"/>
                <w:lang w:val="sr-Cyrl-RS"/>
              </w:rPr>
              <w:t xml:space="preserve">Имајући у виду да је надлежни орган за одлучивање у овом поступку истовремено и </w:t>
            </w:r>
            <w:r w:rsidR="0097017D" w:rsidRPr="009B5045">
              <w:rPr>
                <w:sz w:val="22"/>
                <w:szCs w:val="22"/>
                <w:lang w:val="sr-Cyrl-RS"/>
              </w:rPr>
              <w:t>надлежан за издавање горенаведене дозволе, потребно је само да изврши увид у сопствене евиденције.</w:t>
            </w:r>
          </w:p>
          <w:p w14:paraId="49BEBD25" w14:textId="77777777" w:rsidR="00721511" w:rsidRPr="009B5045" w:rsidRDefault="00721511" w:rsidP="001E4788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17092A0F" w14:textId="1EFA5202" w:rsidR="00DE4C80" w:rsidRPr="009B5045" w:rsidRDefault="00DE4C80" w:rsidP="001E4788">
            <w:pPr>
              <w:pStyle w:val="NormalWeb"/>
              <w:numPr>
                <w:ilvl w:val="2"/>
                <w:numId w:val="5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B5045">
              <w:rPr>
                <w:b/>
                <w:sz w:val="22"/>
                <w:szCs w:val="22"/>
                <w:lang w:val="sr-Cyrl-RS"/>
              </w:rPr>
              <w:t>До</w:t>
            </w:r>
            <w:r w:rsidR="0097017D" w:rsidRPr="009B5045">
              <w:rPr>
                <w:b/>
                <w:sz w:val="22"/>
                <w:szCs w:val="22"/>
                <w:lang w:val="sr-Cyrl-RS"/>
              </w:rPr>
              <w:t>звола за промет</w:t>
            </w:r>
            <w:r w:rsidR="00A06E4C" w:rsidRPr="009B5045">
              <w:rPr>
                <w:b/>
                <w:sz w:val="22"/>
                <w:szCs w:val="22"/>
                <w:lang w:val="sr-Cyrl-RS"/>
              </w:rPr>
              <w:t xml:space="preserve"> и/или промет</w:t>
            </w:r>
            <w:r w:rsidR="0097017D" w:rsidRPr="009B5045">
              <w:rPr>
                <w:b/>
                <w:sz w:val="22"/>
                <w:szCs w:val="22"/>
                <w:lang w:val="sr-Cyrl-RS"/>
              </w:rPr>
              <w:t xml:space="preserve"> лекова на велико</w:t>
            </w:r>
          </w:p>
          <w:p w14:paraId="0E46E913" w14:textId="77777777" w:rsidR="0097017D" w:rsidRPr="009B5045" w:rsidRDefault="0097017D" w:rsidP="001E4788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3B59C5A1" w14:textId="7CD24118" w:rsidR="0097017D" w:rsidRPr="009B5045" w:rsidRDefault="0097017D" w:rsidP="001E4788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9B5045">
              <w:rPr>
                <w:sz w:val="22"/>
                <w:szCs w:val="22"/>
                <w:lang w:val="sr-Cyrl-RS"/>
              </w:rPr>
              <w:t xml:space="preserve">Овај документ се потражује од подносиоца захтева као доказ да подносилац захтева има основану потребу и образложење за </w:t>
            </w:r>
            <w:r w:rsidR="00A95591" w:rsidRPr="009B5045">
              <w:rPr>
                <w:sz w:val="22"/>
                <w:szCs w:val="22"/>
                <w:lang w:val="sr-Cyrl-RS"/>
              </w:rPr>
              <w:t>увоз лека који садржи прекурсор прве категорије</w:t>
            </w:r>
            <w:r w:rsidR="008F4766" w:rsidRPr="009B5045">
              <w:rPr>
                <w:sz w:val="22"/>
                <w:szCs w:val="22"/>
                <w:lang w:val="sr-Cyrl-RS"/>
              </w:rPr>
              <w:t>.</w:t>
            </w:r>
          </w:p>
          <w:p w14:paraId="3D817A1E" w14:textId="77777777" w:rsidR="008B1C73" w:rsidRPr="009B5045" w:rsidRDefault="008B1C73" w:rsidP="001E4788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56848F33" w14:textId="77777777" w:rsidR="008B1C73" w:rsidRPr="009B5045" w:rsidRDefault="008B1C73" w:rsidP="001E4788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9B5045">
              <w:rPr>
                <w:sz w:val="22"/>
                <w:szCs w:val="22"/>
                <w:lang w:val="sr-Cyrl-RS"/>
              </w:rPr>
              <w:t>Имајући у виду да је надлежни орган за одлучивање у овом поступку истовремено и надлежан за издавање горенаведене дозволе, потребно је само да изврши увид у сопствене евиденције.</w:t>
            </w:r>
          </w:p>
          <w:p w14:paraId="367673C4" w14:textId="77777777" w:rsidR="008B1C73" w:rsidRPr="009B5045" w:rsidRDefault="008B1C73" w:rsidP="001E4788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6C9B34A6" w14:textId="2346EC57" w:rsidR="00DE4C80" w:rsidRPr="009B5045" w:rsidRDefault="008B1C73" w:rsidP="001E4788">
            <w:pPr>
              <w:pStyle w:val="NormalWeb"/>
              <w:numPr>
                <w:ilvl w:val="2"/>
                <w:numId w:val="5"/>
              </w:numPr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9B5045">
              <w:rPr>
                <w:b/>
                <w:color w:val="000000" w:themeColor="text1"/>
                <w:sz w:val="22"/>
                <w:szCs w:val="22"/>
                <w:lang w:val="sr-Cyrl-RS"/>
              </w:rPr>
              <w:t>Решење о упису у Регистар привредних субјеката</w:t>
            </w:r>
          </w:p>
          <w:p w14:paraId="335B50ED" w14:textId="77777777" w:rsidR="00CE4B66" w:rsidRPr="009B5045" w:rsidRDefault="00CE4B66" w:rsidP="001E4788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0D9245BC" w14:textId="73CE657C" w:rsidR="00CE4B66" w:rsidRPr="009B5045" w:rsidRDefault="00CE4B66" w:rsidP="001E4788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9B5045">
              <w:rPr>
                <w:sz w:val="22"/>
                <w:szCs w:val="22"/>
                <w:lang w:val="sr-Cyrl-RS"/>
              </w:rPr>
              <w:t>Овај документ се потражује од подносиоца захтева као доказ да подносилац захтева регистрован у складу са законом.</w:t>
            </w:r>
          </w:p>
          <w:p w14:paraId="244C3A0A" w14:textId="1EB89C8B" w:rsidR="00B358CE" w:rsidRPr="009B5045" w:rsidRDefault="00CE4B66" w:rsidP="001E4788">
            <w:pPr>
              <w:pStyle w:val="odluka-zakon"/>
              <w:shd w:val="clear" w:color="auto" w:fill="FFFFFF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9B5045">
              <w:rPr>
                <w:color w:val="000000" w:themeColor="text1"/>
                <w:sz w:val="22"/>
                <w:szCs w:val="22"/>
                <w:lang w:val="sr-Cyrl-RS"/>
              </w:rPr>
              <w:t>С</w:t>
            </w:r>
            <w:r w:rsidR="008B1C73" w:rsidRPr="009B5045">
              <w:rPr>
                <w:color w:val="000000" w:themeColor="text1"/>
                <w:sz w:val="22"/>
                <w:szCs w:val="22"/>
                <w:lang w:val="sr-Cyrl-RS"/>
              </w:rPr>
              <w:t xml:space="preserve">ви подаци су јавно доступни на сајту АПР и надлежни орган увек може извршити проверу увидом на сајт АПР. </w:t>
            </w:r>
          </w:p>
          <w:p w14:paraId="6DD7A841" w14:textId="77777777" w:rsidR="00AA0D8F" w:rsidRPr="009B5045" w:rsidRDefault="00AA0D8F" w:rsidP="001E4788">
            <w:pPr>
              <w:pStyle w:val="NormalWeb"/>
              <w:numPr>
                <w:ilvl w:val="2"/>
                <w:numId w:val="5"/>
              </w:numPr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9B5045">
              <w:rPr>
                <w:b/>
                <w:color w:val="000000" w:themeColor="text1"/>
                <w:sz w:val="22"/>
                <w:szCs w:val="22"/>
                <w:lang w:val="sr-Cyrl-RS"/>
              </w:rPr>
              <w:lastRenderedPageBreak/>
              <w:t>Дозвола за стављање лека у промет</w:t>
            </w:r>
          </w:p>
          <w:p w14:paraId="055EA7B3" w14:textId="77777777" w:rsidR="00AA0D8F" w:rsidRPr="009B5045" w:rsidRDefault="00AA0D8F" w:rsidP="001E4788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0AA6A82F" w14:textId="77777777" w:rsidR="00F7364F" w:rsidRPr="009B5045" w:rsidRDefault="00F7364F" w:rsidP="001E4788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9B5045">
              <w:rPr>
                <w:sz w:val="22"/>
                <w:szCs w:val="22"/>
                <w:lang w:val="sr-Cyrl-RS"/>
              </w:rPr>
              <w:t xml:space="preserve">Овај документ се потражује од подносиоца захтева као доказ да подносилац захтева има дозволу за стављање лека у промет. Агенција за лекове и медицинска средства води евиденцију о издатим дозволама. </w:t>
            </w:r>
          </w:p>
          <w:p w14:paraId="368EC38E" w14:textId="77777777" w:rsidR="00F7364F" w:rsidRPr="009B5045" w:rsidRDefault="00F7364F" w:rsidP="001E4788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9B5045">
              <w:rPr>
                <w:sz w:val="22"/>
                <w:szCs w:val="22"/>
                <w:lang w:val="sr-Cyrl-RS"/>
              </w:rPr>
              <w:t xml:space="preserve"> </w:t>
            </w:r>
          </w:p>
          <w:p w14:paraId="1DF0E612" w14:textId="77777777" w:rsidR="00F7364F" w:rsidRPr="009B5045" w:rsidRDefault="00F7364F" w:rsidP="001E4788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9B5045">
              <w:rPr>
                <w:sz w:val="22"/>
                <w:szCs w:val="22"/>
                <w:lang w:val="sr-Cyrl-RS"/>
              </w:rPr>
              <w:t>Прибављање података по службеној дужности је потребно спровести путем информационог система еЗУП на порталу е-Управа, од Агенције за лекове и медицинска средства, коришћењем тзв. сервиса 15 еЗУП-а (платформа за кореспонденцију између органа) за прибављање оних података чији увид још увек није обезбеђен постојећим базама података у еЗУП-у.  Како би се ово омогућило, у обрасцу захтева је потребно затражити неопходне информације о правном лицу, за које је потребно утврдити ову чињеницу (податке о леку).</w:t>
            </w:r>
          </w:p>
          <w:p w14:paraId="3DB6FEF4" w14:textId="77777777" w:rsidR="00F7364F" w:rsidRPr="009B5045" w:rsidRDefault="00F7364F" w:rsidP="001E4788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9B5045">
              <w:rPr>
                <w:sz w:val="22"/>
                <w:szCs w:val="22"/>
                <w:lang w:val="sr-Cyrl-RS"/>
              </w:rPr>
              <w:t>За примену ових препорука, није потребна измена прописа.</w:t>
            </w:r>
          </w:p>
          <w:p w14:paraId="656BB920" w14:textId="77777777" w:rsidR="00DE4C80" w:rsidRPr="009B5045" w:rsidRDefault="00DE4C80" w:rsidP="001E4788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9B5045">
              <w:rPr>
                <w:b/>
                <w:color w:val="000000" w:themeColor="text1"/>
                <w:sz w:val="22"/>
                <w:szCs w:val="22"/>
                <w:lang w:val="sr-Cyrl-RS"/>
              </w:rPr>
              <w:t>Увођење обрасца за подношење захтева</w:t>
            </w:r>
          </w:p>
          <w:p w14:paraId="70A9E121" w14:textId="77777777" w:rsidR="00DE4C80" w:rsidRPr="009B5045" w:rsidRDefault="00DE4C80" w:rsidP="001E4788">
            <w:pPr>
              <w:pStyle w:val="NormalWeb"/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9B5045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402EAD65" w14:textId="3BF8123A" w:rsidR="00DE4C80" w:rsidRPr="009B5045" w:rsidRDefault="00DE4C80" w:rsidP="001E478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B50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обрасцу који је самостално припремљен од стране организационе јединице, на основу елемената дефинисаних прописом. Предлаже се:</w:t>
            </w:r>
          </w:p>
          <w:p w14:paraId="59BEBFA6" w14:textId="77777777" w:rsidR="00DE4C80" w:rsidRPr="009B5045" w:rsidRDefault="00DE4C80" w:rsidP="001E4788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B50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217AF9B5" w14:textId="36CDB2A6" w:rsidR="009B5045" w:rsidRPr="009B5045" w:rsidRDefault="009B5045" w:rsidP="009B5045">
            <w:pPr>
              <w:pStyle w:val="ListParagraph"/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B50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05CA60A9" w14:textId="77777777" w:rsidR="009B5045" w:rsidRPr="009B5045" w:rsidRDefault="009B5045" w:rsidP="009B5045">
            <w:pPr>
              <w:pStyle w:val="ListParagraph"/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B50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Шифра административног поступка или назив обрасца може да стоји у горњем десном углу обрасца;</w:t>
            </w:r>
          </w:p>
          <w:p w14:paraId="6076D494" w14:textId="3DBF8C99" w:rsidR="00DE4C80" w:rsidRPr="009B5045" w:rsidRDefault="009B5045" w:rsidP="009B5045">
            <w:pPr>
              <w:pStyle w:val="ListParagraph"/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B50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49C62C0C" w14:textId="4B9F6B7A" w:rsidR="00DE4C80" w:rsidRPr="009B5045" w:rsidRDefault="00DE4C80" w:rsidP="001E4788">
            <w:pPr>
              <w:pStyle w:val="ListParagraph"/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B50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(Пословно име/Назив/, Седиште, Контакт телефон, Име и презиме одговорног лица, Матични број, ПИБ, Адреса електронске поште)</w:t>
            </w:r>
          </w:p>
          <w:p w14:paraId="0A4B1578" w14:textId="77777777" w:rsidR="00B96DB0" w:rsidRPr="009B5045" w:rsidRDefault="00B96DB0" w:rsidP="001E4788">
            <w:pPr>
              <w:pStyle w:val="ListParagraph"/>
              <w:numPr>
                <w:ilvl w:val="1"/>
                <w:numId w:val="9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B50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Места за унос специфичних информација за конкретан поступак: назив прекурсора; количину и физичко-хемијске карактеристике прекурсора; смешу и количину – проценат прекурсора у смеши (ако се ради о смеши); име добављача, дистрибутера и купца као крајњег корисника; изјаву о намени употребе прекурсора; име произвођача прекурсора; назив увозника и извозника, односно правног лица које врши транзит прекурсора преко територије Републике Србије; податке о превозном средству и превознику, релацији превоза и царинској испостави где се пошиљка царини, а у случају транзита податке о царинским испоставама преко којих прекурсори улазе, односно излазе из Републике Србије; информације, потребне за прибављање података по службеној дужности (информације о постојећим дозволама). </w:t>
            </w:r>
          </w:p>
          <w:p w14:paraId="2DA3333B" w14:textId="77777777" w:rsidR="00DE4C80" w:rsidRPr="009B5045" w:rsidRDefault="00DE4C80" w:rsidP="001E4788">
            <w:pPr>
              <w:pStyle w:val="ListParagraph"/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B50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68F1356C" w14:textId="77777777" w:rsidR="00DE4C80" w:rsidRPr="009B5045" w:rsidRDefault="00DE4C80" w:rsidP="009B5045">
            <w:pPr>
              <w:pStyle w:val="ListParagraph"/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B50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Таксативно набројана сва потребна документа (укључује и документа за које се подаци прибављају по службеној дужности, уз напомену код ових докумената да се подаци прибављају по службеној дужности) </w:t>
            </w:r>
          </w:p>
          <w:p w14:paraId="089B6C05" w14:textId="77777777" w:rsidR="00DE4C80" w:rsidRPr="009B5045" w:rsidRDefault="00DE4C80" w:rsidP="009B5045">
            <w:pPr>
              <w:pStyle w:val="ListParagraph"/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B50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4D8BB1FD" w14:textId="77777777" w:rsidR="00DE4C80" w:rsidRPr="009B5045" w:rsidRDefault="00DE4C80" w:rsidP="009B5045">
            <w:pPr>
              <w:pStyle w:val="ListParagraph"/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B50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Издавалац документа</w:t>
            </w:r>
            <w:bookmarkStart w:id="1" w:name="_Hlk515015477"/>
          </w:p>
          <w:p w14:paraId="03381D44" w14:textId="29041F99" w:rsidR="00DE4C80" w:rsidRPr="009B5045" w:rsidRDefault="00DE4C80" w:rsidP="009B5045">
            <w:pPr>
              <w:pStyle w:val="ListParagraph"/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B50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</w:t>
            </w:r>
            <w:bookmarkEnd w:id="1"/>
            <w:r w:rsidRPr="009B50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6DE54BF1" w14:textId="51CE010C" w:rsidR="007A57AE" w:rsidRPr="009B5045" w:rsidRDefault="007A57AE" w:rsidP="001E4788">
            <w:pPr>
              <w:numPr>
                <w:ilvl w:val="1"/>
                <w:numId w:val="12"/>
              </w:num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B50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 xml:space="preserve"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 </w:t>
            </w:r>
          </w:p>
          <w:p w14:paraId="109F539D" w14:textId="77777777" w:rsidR="007A57AE" w:rsidRPr="009B5045" w:rsidRDefault="007A57AE" w:rsidP="001E4788">
            <w:pPr>
              <w:ind w:left="1440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B50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1.ДА </w:t>
            </w:r>
          </w:p>
          <w:p w14:paraId="4B5779A3" w14:textId="77777777" w:rsidR="007A57AE" w:rsidRPr="009B5045" w:rsidRDefault="007A57AE" w:rsidP="001E4788">
            <w:pPr>
              <w:ind w:left="1440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B50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2. НЕ </w:t>
            </w:r>
          </w:p>
          <w:p w14:paraId="75E2469E" w14:textId="77777777" w:rsidR="007A57AE" w:rsidRPr="009B5045" w:rsidRDefault="007A57AE" w:rsidP="001E4788">
            <w:pPr>
              <w:ind w:left="144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B50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</w:t>
            </w:r>
            <w:r w:rsidRPr="009B504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______________________________</w:t>
            </w:r>
            <w:r w:rsidRPr="009B50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____ </w:t>
            </w:r>
          </w:p>
          <w:p w14:paraId="19AD206E" w14:textId="152DB155" w:rsidR="00DE4C80" w:rsidRPr="009B5045" w:rsidRDefault="007A57AE" w:rsidP="009B5045">
            <w:pPr>
              <w:ind w:left="1440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B50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21C1DB21" w14:textId="77777777" w:rsidR="00DE4C80" w:rsidRPr="009B5045" w:rsidRDefault="00DE4C80" w:rsidP="001E4788">
            <w:pPr>
              <w:pStyle w:val="ListParagraph"/>
              <w:numPr>
                <w:ilvl w:val="1"/>
                <w:numId w:val="9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B50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25003930" w14:textId="77777777" w:rsidR="00DE4C80" w:rsidRPr="009B5045" w:rsidRDefault="00DE4C80" w:rsidP="001E4788">
            <w:pPr>
              <w:pStyle w:val="ListParagraph"/>
              <w:numPr>
                <w:ilvl w:val="1"/>
                <w:numId w:val="9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B50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</w:t>
            </w:r>
          </w:p>
          <w:p w14:paraId="0F7B85D2" w14:textId="77777777" w:rsidR="009B5045" w:rsidRPr="009B5045" w:rsidRDefault="009B5045" w:rsidP="009B504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B50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писмена информација о:</w:t>
            </w:r>
          </w:p>
          <w:p w14:paraId="10C99498" w14:textId="77777777" w:rsidR="009B5045" w:rsidRPr="009B5045" w:rsidRDefault="009B5045" w:rsidP="00867EE3">
            <w:pPr>
              <w:pStyle w:val="ListParagraph"/>
              <w:numPr>
                <w:ilvl w:val="1"/>
                <w:numId w:val="13"/>
              </w:numPr>
              <w:spacing w:before="100" w:beforeAutospacing="1" w:after="100" w:afterAutospacing="1"/>
              <w:ind w:left="1560" w:hanging="42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B50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Прописаном року за решавање предмета</w:t>
            </w:r>
          </w:p>
          <w:p w14:paraId="205653C0" w14:textId="77777777" w:rsidR="009B5045" w:rsidRPr="009B5045" w:rsidRDefault="009B5045" w:rsidP="00867EE3">
            <w:pPr>
              <w:pStyle w:val="ListParagraph"/>
              <w:numPr>
                <w:ilvl w:val="1"/>
                <w:numId w:val="13"/>
              </w:numPr>
              <w:spacing w:before="100" w:beforeAutospacing="1" w:after="100" w:afterAutospacing="1"/>
              <w:ind w:left="1560" w:hanging="42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B50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2AD7BFFF" w14:textId="77777777" w:rsidR="009B5045" w:rsidRPr="009B5045" w:rsidRDefault="009B5045" w:rsidP="00867EE3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/>
              <w:ind w:left="1560" w:hanging="42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B50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31ED6BE9" w14:textId="77777777" w:rsidR="009B5045" w:rsidRPr="009B5045" w:rsidRDefault="009B5045" w:rsidP="00867EE3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/>
              <w:ind w:left="1560" w:hanging="42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B50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7C518E0D" w14:textId="77777777" w:rsidR="009B5045" w:rsidRPr="009B5045" w:rsidRDefault="009B5045" w:rsidP="00867EE3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/>
              <w:ind w:left="1560" w:hanging="42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B50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и адреса примаоца</w:t>
            </w:r>
          </w:p>
          <w:p w14:paraId="5FC382B4" w14:textId="77777777" w:rsidR="009B5045" w:rsidRPr="009B5045" w:rsidRDefault="009B5045" w:rsidP="00867EE3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/>
              <w:ind w:left="1560" w:hanging="42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B50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6A7A2880" w14:textId="77777777" w:rsidR="009B5045" w:rsidRPr="009B5045" w:rsidRDefault="009B5045" w:rsidP="00867EE3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/>
              <w:ind w:left="1560" w:hanging="42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B50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7F32B4CC" w14:textId="21BCCF12" w:rsidR="00DE4C80" w:rsidRPr="009B5045" w:rsidRDefault="00DE4C80" w:rsidP="001E4788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9B5045">
              <w:rPr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9B2F9BA" w14:textId="23D483D6" w:rsidR="00F7364F" w:rsidRPr="009B5045" w:rsidRDefault="00F7364F" w:rsidP="001E4788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9B5045">
              <w:rPr>
                <w:b/>
                <w:color w:val="000000" w:themeColor="text1"/>
                <w:sz w:val="22"/>
                <w:szCs w:val="22"/>
                <w:lang w:val="sr-Cyrl-RS"/>
              </w:rPr>
              <w:t>Електронско подношење захтева</w:t>
            </w:r>
            <w:r w:rsidR="005C52CF">
              <w:t xml:space="preserve"> </w:t>
            </w:r>
            <w:r w:rsidR="005C52CF" w:rsidRPr="005C52CF">
              <w:rPr>
                <w:b/>
                <w:color w:val="000000" w:themeColor="text1"/>
                <w:sz w:val="22"/>
                <w:szCs w:val="22"/>
                <w:lang w:val="sr-Cyrl-RS"/>
              </w:rPr>
              <w:t>по успостављању електронске писарнице</w:t>
            </w:r>
          </w:p>
          <w:p w14:paraId="2223348E" w14:textId="078FB873" w:rsidR="00F7364F" w:rsidRPr="009B5045" w:rsidRDefault="00F7364F" w:rsidP="001E4788">
            <w:pPr>
              <w:spacing w:before="100" w:beforeAutospacing="1" w:after="200" w:afterAutospacing="1"/>
              <w:rPr>
                <w:rFonts w:ascii="Times New Roman" w:eastAsia="Times New Roman" w:hAnsi="Times New Roman" w:cstheme="minorBidi"/>
                <w:sz w:val="22"/>
                <w:szCs w:val="22"/>
                <w:lang w:val="sr-Cyrl-RS"/>
              </w:rPr>
            </w:pPr>
            <w:r w:rsidRPr="009B5045">
              <w:rPr>
                <w:rFonts w:ascii="Times New Roman" w:eastAsia="Times New Roman" w:hAnsi="Times New Roman" w:cstheme="minorBidi"/>
                <w:sz w:val="22"/>
                <w:szCs w:val="22"/>
                <w:lang w:val="sr-Cyrl-RS"/>
              </w:rPr>
              <w:t>Поступак подразумева подношење захтева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 такође потписаном квалификованим електронским сертификатом</w:t>
            </w:r>
            <w:r w:rsidR="00A61BAA" w:rsidRPr="009B5045">
              <w:rPr>
                <w:rFonts w:ascii="Times New Roman" w:eastAsia="Times New Roman" w:hAnsi="Times New Roman" w:cstheme="minorBidi"/>
                <w:sz w:val="22"/>
                <w:szCs w:val="22"/>
                <w:lang w:val="sr-Cyrl-RS"/>
              </w:rPr>
              <w:t>.</w:t>
            </w:r>
          </w:p>
          <w:p w14:paraId="3BA3F936" w14:textId="0A195477" w:rsidR="00F7364F" w:rsidRPr="009B5045" w:rsidRDefault="00F7364F" w:rsidP="001E4788">
            <w:pPr>
              <w:spacing w:before="120" w:after="120"/>
              <w:ind w:left="-23"/>
              <w:contextualSpacing/>
              <w:jc w:val="left"/>
              <w:rPr>
                <w:rFonts w:ascii="Times New Roman" w:eastAsiaTheme="minorHAnsi" w:hAnsi="Times New Roman" w:cstheme="minorBidi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9B5045">
              <w:rPr>
                <w:rFonts w:ascii="Times New Roman" w:eastAsiaTheme="minorHAnsi" w:hAnsi="Times New Roman" w:cstheme="minorBidi"/>
                <w:color w:val="000000" w:themeColor="text1"/>
                <w:sz w:val="22"/>
                <w:szCs w:val="22"/>
                <w:lang w:val="sr-Cyrl-RS"/>
              </w:rPr>
              <w:t>За примену ове препоруке</w:t>
            </w:r>
            <w:r w:rsidR="00A61BAA" w:rsidRPr="009B5045">
              <w:rPr>
                <w:rFonts w:ascii="Times New Roman" w:eastAsiaTheme="minorHAnsi" w:hAnsi="Times New Roman" w:cstheme="minorBidi"/>
                <w:color w:val="000000" w:themeColor="text1"/>
                <w:sz w:val="22"/>
                <w:szCs w:val="22"/>
                <w:lang w:val="sr-Cyrl-RS"/>
              </w:rPr>
              <w:t xml:space="preserve"> када се за то стекну услови</w:t>
            </w:r>
            <w:r w:rsidRPr="009B5045">
              <w:rPr>
                <w:rFonts w:ascii="Times New Roman" w:eastAsiaTheme="minorHAnsi" w:hAnsi="Times New Roman" w:cstheme="minorBidi"/>
                <w:color w:val="000000" w:themeColor="text1"/>
                <w:sz w:val="22"/>
                <w:szCs w:val="22"/>
                <w:lang w:val="sr-Cyrl-RS"/>
              </w:rPr>
              <w:t>, није потребна измена прописа</w:t>
            </w:r>
            <w:r w:rsidRPr="009B5045">
              <w:rPr>
                <w:rFonts w:ascii="Times New Roman" w:eastAsiaTheme="minorHAnsi" w:hAnsi="Times New Roman" w:cstheme="minorBidi"/>
                <w:b/>
                <w:color w:val="000000" w:themeColor="text1"/>
                <w:sz w:val="22"/>
                <w:szCs w:val="22"/>
                <w:lang w:val="sr-Cyrl-RS"/>
              </w:rPr>
              <w:t xml:space="preserve">. </w:t>
            </w:r>
          </w:p>
          <w:p w14:paraId="33EC7922" w14:textId="77777777" w:rsidR="00FC67CC" w:rsidRPr="009B5045" w:rsidRDefault="00FC67CC" w:rsidP="001E4788">
            <w:pPr>
              <w:spacing w:before="120" w:after="120"/>
              <w:contextualSpacing/>
              <w:jc w:val="left"/>
              <w:rPr>
                <w:rFonts w:ascii="Times New Roman" w:eastAsiaTheme="minorHAnsi" w:hAnsi="Times New Roman" w:cstheme="minorBidi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3EAB4AF8" w14:textId="2FA7DBDC" w:rsidR="00DE4C80" w:rsidRPr="009B5045" w:rsidRDefault="00DE4C80" w:rsidP="005C52CF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DE4C80" w:rsidRPr="00481A0E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BBC9AE" w:rsidR="00DE4C80" w:rsidRPr="00481A0E" w:rsidRDefault="00DE4C80" w:rsidP="001E4788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81A0E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</w:t>
            </w:r>
            <w:r w:rsidR="00663BD8" w:rsidRPr="00481A0E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481A0E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663BD8" w:rsidRPr="00481A0E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481A0E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DE4C80" w:rsidRPr="00481A0E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77EA2FF5" w:rsidR="00DE4C80" w:rsidRPr="00481A0E" w:rsidRDefault="00481A0E" w:rsidP="001E4788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481A0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tr w:rsidR="00DE4C80" w:rsidRPr="00481A0E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DE4C80" w:rsidRPr="00481A0E" w:rsidRDefault="00DE4C80" w:rsidP="001E4788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81A0E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DE4C80" w:rsidRPr="00481A0E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09286818" w:rsidR="00DE4C80" w:rsidRPr="00481A0E" w:rsidRDefault="00481A0E" w:rsidP="001E4788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481A0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tr w:rsidR="00DE4C80" w:rsidRPr="00481A0E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DE4C80" w:rsidRPr="00481A0E" w:rsidRDefault="00DE4C80" w:rsidP="001E4788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81A0E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DE4C80" w:rsidRPr="00481A0E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7489BDB" w14:textId="77777777" w:rsidR="00DC1E3E" w:rsidRDefault="00DC1E3E" w:rsidP="001E4788">
            <w:pPr>
              <w:spacing w:after="200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4A692DFA" w14:textId="6790148C" w:rsidR="00DC1E3E" w:rsidRDefault="00DC1E3E" w:rsidP="001E4788">
            <w:pPr>
              <w:spacing w:after="20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1E3E">
              <w:rPr>
                <w:rFonts w:ascii="Times New Roman" w:eastAsia="Times New Roman" w:hAnsi="Times New Roman"/>
                <w:sz w:val="22"/>
                <w:szCs w:val="22"/>
              </w:rPr>
              <w:t>Директни трошкови спровођења овог поступка за привредне субјекте на годишњем нивоу износе 1.283.056,45 РСД. Усвајање и примена препорука ће донети привредним субјектима годишње директне уштеде од 102.653,26 РСД или 844,04 ЕУР. Ове уштеде износе 8% укупних директних трошкова привредних субјеката у поступку.</w:t>
            </w:r>
          </w:p>
          <w:p w14:paraId="7E881827" w14:textId="261D2C20" w:rsidR="00AE5EDB" w:rsidRPr="008E3435" w:rsidRDefault="00AE5EDB" w:rsidP="001E4788">
            <w:pPr>
              <w:spacing w:after="2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E343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Усвајање препоруке ће допринети </w:t>
            </w:r>
            <w:r w:rsidR="00DC1E3E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8E343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поједностављењу административног поступка, истоветности поступања и транспарентности поступка.</w:t>
            </w:r>
          </w:p>
          <w:p w14:paraId="331CCBA4" w14:textId="3B1061E3" w:rsidR="00DE4C80" w:rsidRPr="00481A0E" w:rsidRDefault="00DE4C80" w:rsidP="001E4788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</w:tbl>
    <w:p w14:paraId="5CE5710A" w14:textId="1C5B3A41" w:rsidR="003E3C16" w:rsidRPr="00D312BE" w:rsidRDefault="003E3C16" w:rsidP="001E4788">
      <w:pPr>
        <w:rPr>
          <w:rFonts w:ascii="Times New Roman" w:eastAsia="Times New Roman" w:hAnsi="Times New Roman"/>
          <w:lang w:val="sr-Cyrl-RS"/>
        </w:rPr>
      </w:pPr>
    </w:p>
    <w:sectPr w:rsidR="003E3C16" w:rsidRPr="00D312BE" w:rsidSect="00C121EC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CB124" w16cex:dateUtc="2020-06-23T14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76101F1" w16cid:durableId="229C7BBC"/>
  <w16cid:commentId w16cid:paraId="217CCEE4" w16cid:durableId="229CB124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2314BF" w14:textId="77777777" w:rsidR="00395ADE" w:rsidRDefault="00395ADE" w:rsidP="002A202F">
      <w:r>
        <w:separator/>
      </w:r>
    </w:p>
  </w:endnote>
  <w:endnote w:type="continuationSeparator" w:id="0">
    <w:p w14:paraId="610B4AF3" w14:textId="77777777" w:rsidR="00395ADE" w:rsidRDefault="00395ADE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19FFE155" w:rsidR="00A1033D" w:rsidRDefault="00A1033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393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A1033D" w:rsidRDefault="00A103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BD2615" w14:textId="77777777" w:rsidR="00395ADE" w:rsidRDefault="00395ADE" w:rsidP="002A202F">
      <w:r>
        <w:separator/>
      </w:r>
    </w:p>
  </w:footnote>
  <w:footnote w:type="continuationSeparator" w:id="0">
    <w:p w14:paraId="46204B62" w14:textId="77777777" w:rsidR="00395ADE" w:rsidRDefault="00395ADE" w:rsidP="002A2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05B34" w14:textId="444D4CC6" w:rsidR="00FF3757" w:rsidRDefault="00FF3757" w:rsidP="00FF3757">
    <w:pPr>
      <w:pStyle w:val="Header"/>
      <w:tabs>
        <w:tab w:val="clear" w:pos="4680"/>
        <w:tab w:val="clear" w:pos="9360"/>
        <w:tab w:val="left" w:pos="390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A1CE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97F25"/>
    <w:multiLevelType w:val="multilevel"/>
    <w:tmpl w:val="ED6A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EF13532"/>
    <w:multiLevelType w:val="hybridMultilevel"/>
    <w:tmpl w:val="8396773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E94538"/>
    <w:multiLevelType w:val="hybridMultilevel"/>
    <w:tmpl w:val="5CDE0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674ED8"/>
    <w:multiLevelType w:val="multilevel"/>
    <w:tmpl w:val="DB8C3B4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956784"/>
    <w:multiLevelType w:val="multilevel"/>
    <w:tmpl w:val="ED6A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1AB4515"/>
    <w:multiLevelType w:val="multilevel"/>
    <w:tmpl w:val="ED6A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B4F3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ADB540E"/>
    <w:multiLevelType w:val="multilevel"/>
    <w:tmpl w:val="F4FC0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584589C"/>
    <w:multiLevelType w:val="hybridMultilevel"/>
    <w:tmpl w:val="569E6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3"/>
  </w:num>
  <w:num w:numId="4">
    <w:abstractNumId w:val="11"/>
  </w:num>
  <w:num w:numId="5">
    <w:abstractNumId w:val="2"/>
  </w:num>
  <w:num w:numId="6">
    <w:abstractNumId w:val="0"/>
  </w:num>
  <w:num w:numId="7">
    <w:abstractNumId w:val="9"/>
  </w:num>
  <w:num w:numId="8">
    <w:abstractNumId w:val="5"/>
  </w:num>
  <w:num w:numId="9">
    <w:abstractNumId w:val="4"/>
  </w:num>
  <w:num w:numId="10">
    <w:abstractNumId w:val="7"/>
  </w:num>
  <w:num w:numId="11">
    <w:abstractNumId w:val="6"/>
  </w:num>
  <w:num w:numId="12">
    <w:abstractNumId w:val="8"/>
  </w:num>
  <w:num w:numId="13">
    <w:abstractNumId w:val="8"/>
  </w:num>
  <w:num w:numId="14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1760E"/>
    <w:rsid w:val="00020332"/>
    <w:rsid w:val="00020CD0"/>
    <w:rsid w:val="00023EF9"/>
    <w:rsid w:val="00024612"/>
    <w:rsid w:val="00026C2F"/>
    <w:rsid w:val="00027403"/>
    <w:rsid w:val="00027945"/>
    <w:rsid w:val="0003040F"/>
    <w:rsid w:val="000306AE"/>
    <w:rsid w:val="00036522"/>
    <w:rsid w:val="00036812"/>
    <w:rsid w:val="00044F35"/>
    <w:rsid w:val="00044F63"/>
    <w:rsid w:val="00045F3F"/>
    <w:rsid w:val="00050616"/>
    <w:rsid w:val="00053ACF"/>
    <w:rsid w:val="00061070"/>
    <w:rsid w:val="00066DB2"/>
    <w:rsid w:val="00070CC3"/>
    <w:rsid w:val="0007695B"/>
    <w:rsid w:val="00083993"/>
    <w:rsid w:val="00092B84"/>
    <w:rsid w:val="0009542A"/>
    <w:rsid w:val="0009658F"/>
    <w:rsid w:val="000A53F3"/>
    <w:rsid w:val="000A5CDC"/>
    <w:rsid w:val="000B54D7"/>
    <w:rsid w:val="000C3453"/>
    <w:rsid w:val="000C4A8C"/>
    <w:rsid w:val="000D5029"/>
    <w:rsid w:val="000D63EB"/>
    <w:rsid w:val="000E2036"/>
    <w:rsid w:val="000E5F04"/>
    <w:rsid w:val="000E621C"/>
    <w:rsid w:val="000F36CD"/>
    <w:rsid w:val="000F5BE2"/>
    <w:rsid w:val="000F5E72"/>
    <w:rsid w:val="001117B5"/>
    <w:rsid w:val="00112ABD"/>
    <w:rsid w:val="001156BA"/>
    <w:rsid w:val="00122B77"/>
    <w:rsid w:val="0012434A"/>
    <w:rsid w:val="00126A9B"/>
    <w:rsid w:val="001345F7"/>
    <w:rsid w:val="0015182D"/>
    <w:rsid w:val="00157964"/>
    <w:rsid w:val="00161847"/>
    <w:rsid w:val="00163575"/>
    <w:rsid w:val="00164D0A"/>
    <w:rsid w:val="00164DDA"/>
    <w:rsid w:val="00170CA7"/>
    <w:rsid w:val="001711C5"/>
    <w:rsid w:val="00173EC3"/>
    <w:rsid w:val="00192EF9"/>
    <w:rsid w:val="00194826"/>
    <w:rsid w:val="001A023F"/>
    <w:rsid w:val="001A3FAC"/>
    <w:rsid w:val="001A6472"/>
    <w:rsid w:val="001C2519"/>
    <w:rsid w:val="001C5538"/>
    <w:rsid w:val="001D0EDE"/>
    <w:rsid w:val="001D20E2"/>
    <w:rsid w:val="001E25C5"/>
    <w:rsid w:val="001E38DE"/>
    <w:rsid w:val="001E4788"/>
    <w:rsid w:val="001F0A22"/>
    <w:rsid w:val="001F7B31"/>
    <w:rsid w:val="002017A9"/>
    <w:rsid w:val="0020601F"/>
    <w:rsid w:val="00206815"/>
    <w:rsid w:val="00212DA5"/>
    <w:rsid w:val="00212DAF"/>
    <w:rsid w:val="0021347C"/>
    <w:rsid w:val="0021690F"/>
    <w:rsid w:val="00227AFA"/>
    <w:rsid w:val="002323AC"/>
    <w:rsid w:val="00234BF7"/>
    <w:rsid w:val="00236C46"/>
    <w:rsid w:val="00242CA0"/>
    <w:rsid w:val="00261404"/>
    <w:rsid w:val="00265145"/>
    <w:rsid w:val="0026586B"/>
    <w:rsid w:val="002673B0"/>
    <w:rsid w:val="002738BB"/>
    <w:rsid w:val="00275E2A"/>
    <w:rsid w:val="00276252"/>
    <w:rsid w:val="00276302"/>
    <w:rsid w:val="00293802"/>
    <w:rsid w:val="00296938"/>
    <w:rsid w:val="002978D5"/>
    <w:rsid w:val="002A202F"/>
    <w:rsid w:val="002A4025"/>
    <w:rsid w:val="002B19B4"/>
    <w:rsid w:val="002B259B"/>
    <w:rsid w:val="002B5EB7"/>
    <w:rsid w:val="002D19FE"/>
    <w:rsid w:val="002E0AC0"/>
    <w:rsid w:val="002E5DE4"/>
    <w:rsid w:val="002F1BEC"/>
    <w:rsid w:val="002F4757"/>
    <w:rsid w:val="003106B3"/>
    <w:rsid w:val="00322199"/>
    <w:rsid w:val="003222E1"/>
    <w:rsid w:val="003223C7"/>
    <w:rsid w:val="00326555"/>
    <w:rsid w:val="00331139"/>
    <w:rsid w:val="00334B16"/>
    <w:rsid w:val="003410E0"/>
    <w:rsid w:val="00343B8B"/>
    <w:rsid w:val="003443F8"/>
    <w:rsid w:val="00350EAD"/>
    <w:rsid w:val="00352E42"/>
    <w:rsid w:val="0035305C"/>
    <w:rsid w:val="00353F73"/>
    <w:rsid w:val="00361A66"/>
    <w:rsid w:val="003651DB"/>
    <w:rsid w:val="003715A0"/>
    <w:rsid w:val="0037171F"/>
    <w:rsid w:val="003734F1"/>
    <w:rsid w:val="00376FD1"/>
    <w:rsid w:val="003861FD"/>
    <w:rsid w:val="0039002C"/>
    <w:rsid w:val="00395ADE"/>
    <w:rsid w:val="00396F82"/>
    <w:rsid w:val="003B44DB"/>
    <w:rsid w:val="003B4BC9"/>
    <w:rsid w:val="003B6298"/>
    <w:rsid w:val="003D2718"/>
    <w:rsid w:val="003E1712"/>
    <w:rsid w:val="003E2B2C"/>
    <w:rsid w:val="003E2EB1"/>
    <w:rsid w:val="003E3C16"/>
    <w:rsid w:val="00407D96"/>
    <w:rsid w:val="00416B12"/>
    <w:rsid w:val="00432495"/>
    <w:rsid w:val="00434541"/>
    <w:rsid w:val="0044051C"/>
    <w:rsid w:val="00444DA7"/>
    <w:rsid w:val="00450667"/>
    <w:rsid w:val="00457882"/>
    <w:rsid w:val="00463CC7"/>
    <w:rsid w:val="00466EA7"/>
    <w:rsid w:val="004809C4"/>
    <w:rsid w:val="00481A0E"/>
    <w:rsid w:val="00482F46"/>
    <w:rsid w:val="0048433C"/>
    <w:rsid w:val="004847B1"/>
    <w:rsid w:val="0049545B"/>
    <w:rsid w:val="004973A1"/>
    <w:rsid w:val="004A4E9A"/>
    <w:rsid w:val="004D3BD0"/>
    <w:rsid w:val="004D45B1"/>
    <w:rsid w:val="004D68A7"/>
    <w:rsid w:val="004E29D1"/>
    <w:rsid w:val="00500566"/>
    <w:rsid w:val="005073A3"/>
    <w:rsid w:val="00520D9A"/>
    <w:rsid w:val="00521085"/>
    <w:rsid w:val="00523608"/>
    <w:rsid w:val="00524DC2"/>
    <w:rsid w:val="00525C0A"/>
    <w:rsid w:val="00535608"/>
    <w:rsid w:val="00556688"/>
    <w:rsid w:val="0056162B"/>
    <w:rsid w:val="0056707B"/>
    <w:rsid w:val="00581A9D"/>
    <w:rsid w:val="00582CCF"/>
    <w:rsid w:val="00587769"/>
    <w:rsid w:val="00594CFC"/>
    <w:rsid w:val="005A04DB"/>
    <w:rsid w:val="005A2503"/>
    <w:rsid w:val="005B4F04"/>
    <w:rsid w:val="005B7CB9"/>
    <w:rsid w:val="005C01F4"/>
    <w:rsid w:val="005C2954"/>
    <w:rsid w:val="005C52CF"/>
    <w:rsid w:val="005D0023"/>
    <w:rsid w:val="005D5189"/>
    <w:rsid w:val="005E21C4"/>
    <w:rsid w:val="005E22FB"/>
    <w:rsid w:val="005F062A"/>
    <w:rsid w:val="005F1C12"/>
    <w:rsid w:val="005F4D59"/>
    <w:rsid w:val="0060001C"/>
    <w:rsid w:val="00600D31"/>
    <w:rsid w:val="00601C9E"/>
    <w:rsid w:val="006063E4"/>
    <w:rsid w:val="0060786A"/>
    <w:rsid w:val="006237FE"/>
    <w:rsid w:val="00625ACA"/>
    <w:rsid w:val="00627AF7"/>
    <w:rsid w:val="0063148F"/>
    <w:rsid w:val="00632540"/>
    <w:rsid w:val="00633F73"/>
    <w:rsid w:val="00645199"/>
    <w:rsid w:val="00645850"/>
    <w:rsid w:val="006546F4"/>
    <w:rsid w:val="00654E91"/>
    <w:rsid w:val="0065633B"/>
    <w:rsid w:val="00656E93"/>
    <w:rsid w:val="00661ECF"/>
    <w:rsid w:val="00663BD8"/>
    <w:rsid w:val="00667055"/>
    <w:rsid w:val="00677AD2"/>
    <w:rsid w:val="00681371"/>
    <w:rsid w:val="00692071"/>
    <w:rsid w:val="00694B28"/>
    <w:rsid w:val="006C5349"/>
    <w:rsid w:val="006C5F2A"/>
    <w:rsid w:val="006C662C"/>
    <w:rsid w:val="006E0013"/>
    <w:rsid w:val="006E1545"/>
    <w:rsid w:val="006F1921"/>
    <w:rsid w:val="006F381E"/>
    <w:rsid w:val="006F4A5C"/>
    <w:rsid w:val="006F4D66"/>
    <w:rsid w:val="007020EF"/>
    <w:rsid w:val="007040B5"/>
    <w:rsid w:val="00707821"/>
    <w:rsid w:val="00715F5C"/>
    <w:rsid w:val="00717DF5"/>
    <w:rsid w:val="0072002A"/>
    <w:rsid w:val="00721511"/>
    <w:rsid w:val="007278C1"/>
    <w:rsid w:val="00730AFC"/>
    <w:rsid w:val="00733493"/>
    <w:rsid w:val="00737F1D"/>
    <w:rsid w:val="00782816"/>
    <w:rsid w:val="00785A46"/>
    <w:rsid w:val="00785B0D"/>
    <w:rsid w:val="007861E3"/>
    <w:rsid w:val="007940D6"/>
    <w:rsid w:val="00794A1B"/>
    <w:rsid w:val="007A57AE"/>
    <w:rsid w:val="007B1740"/>
    <w:rsid w:val="007C522A"/>
    <w:rsid w:val="007C6113"/>
    <w:rsid w:val="007C61B5"/>
    <w:rsid w:val="007D3889"/>
    <w:rsid w:val="007D39E4"/>
    <w:rsid w:val="007D3BA2"/>
    <w:rsid w:val="007D43A7"/>
    <w:rsid w:val="007E1695"/>
    <w:rsid w:val="007F204C"/>
    <w:rsid w:val="007F5FAA"/>
    <w:rsid w:val="00803939"/>
    <w:rsid w:val="00804060"/>
    <w:rsid w:val="008166C9"/>
    <w:rsid w:val="00824E43"/>
    <w:rsid w:val="00825090"/>
    <w:rsid w:val="00833D8C"/>
    <w:rsid w:val="00834C9A"/>
    <w:rsid w:val="0084708C"/>
    <w:rsid w:val="00850AD5"/>
    <w:rsid w:val="00852739"/>
    <w:rsid w:val="0086118D"/>
    <w:rsid w:val="008629CC"/>
    <w:rsid w:val="00865EBB"/>
    <w:rsid w:val="00867EE3"/>
    <w:rsid w:val="008701A5"/>
    <w:rsid w:val="00872544"/>
    <w:rsid w:val="008857FA"/>
    <w:rsid w:val="00886C36"/>
    <w:rsid w:val="00890D37"/>
    <w:rsid w:val="008A1E00"/>
    <w:rsid w:val="008A6AC8"/>
    <w:rsid w:val="008B1C73"/>
    <w:rsid w:val="008B4FF6"/>
    <w:rsid w:val="008C5591"/>
    <w:rsid w:val="008C60FE"/>
    <w:rsid w:val="008D04A6"/>
    <w:rsid w:val="008D09D2"/>
    <w:rsid w:val="008D4C1A"/>
    <w:rsid w:val="008E46C1"/>
    <w:rsid w:val="008F0867"/>
    <w:rsid w:val="008F172F"/>
    <w:rsid w:val="008F2044"/>
    <w:rsid w:val="008F2BE1"/>
    <w:rsid w:val="008F4766"/>
    <w:rsid w:val="008F4DD1"/>
    <w:rsid w:val="009056DB"/>
    <w:rsid w:val="00912AA4"/>
    <w:rsid w:val="009173A2"/>
    <w:rsid w:val="00917EED"/>
    <w:rsid w:val="00920987"/>
    <w:rsid w:val="00932235"/>
    <w:rsid w:val="00944EBB"/>
    <w:rsid w:val="00947592"/>
    <w:rsid w:val="00950280"/>
    <w:rsid w:val="009508E4"/>
    <w:rsid w:val="009537F2"/>
    <w:rsid w:val="0097017D"/>
    <w:rsid w:val="00971DEB"/>
    <w:rsid w:val="00973E2F"/>
    <w:rsid w:val="0098312A"/>
    <w:rsid w:val="0098652C"/>
    <w:rsid w:val="00991A18"/>
    <w:rsid w:val="00992783"/>
    <w:rsid w:val="00994A16"/>
    <w:rsid w:val="009A30D3"/>
    <w:rsid w:val="009A51C7"/>
    <w:rsid w:val="009B0A78"/>
    <w:rsid w:val="009B5045"/>
    <w:rsid w:val="009C660D"/>
    <w:rsid w:val="009D02FF"/>
    <w:rsid w:val="009D03A7"/>
    <w:rsid w:val="009D28B5"/>
    <w:rsid w:val="009D4950"/>
    <w:rsid w:val="009E0179"/>
    <w:rsid w:val="009E0479"/>
    <w:rsid w:val="009E3384"/>
    <w:rsid w:val="009E346B"/>
    <w:rsid w:val="009E6FC8"/>
    <w:rsid w:val="009F4549"/>
    <w:rsid w:val="009F7861"/>
    <w:rsid w:val="00A00F6D"/>
    <w:rsid w:val="00A0102E"/>
    <w:rsid w:val="00A06E4C"/>
    <w:rsid w:val="00A1033D"/>
    <w:rsid w:val="00A12960"/>
    <w:rsid w:val="00A1570D"/>
    <w:rsid w:val="00A20B0F"/>
    <w:rsid w:val="00A2128F"/>
    <w:rsid w:val="00A22386"/>
    <w:rsid w:val="00A242CC"/>
    <w:rsid w:val="00A50803"/>
    <w:rsid w:val="00A5260A"/>
    <w:rsid w:val="00A56B75"/>
    <w:rsid w:val="00A61BAA"/>
    <w:rsid w:val="00A64C0E"/>
    <w:rsid w:val="00A71C04"/>
    <w:rsid w:val="00A73936"/>
    <w:rsid w:val="00A95591"/>
    <w:rsid w:val="00AA0017"/>
    <w:rsid w:val="00AA0D8F"/>
    <w:rsid w:val="00AA4BC5"/>
    <w:rsid w:val="00AB09B3"/>
    <w:rsid w:val="00AB513F"/>
    <w:rsid w:val="00AB7123"/>
    <w:rsid w:val="00AC02D1"/>
    <w:rsid w:val="00AD1BE3"/>
    <w:rsid w:val="00AD5185"/>
    <w:rsid w:val="00AE2272"/>
    <w:rsid w:val="00AE5CA5"/>
    <w:rsid w:val="00AE5EDB"/>
    <w:rsid w:val="00AE7041"/>
    <w:rsid w:val="00AF10F9"/>
    <w:rsid w:val="00AF58F3"/>
    <w:rsid w:val="00B0266E"/>
    <w:rsid w:val="00B06019"/>
    <w:rsid w:val="00B0635F"/>
    <w:rsid w:val="00B07409"/>
    <w:rsid w:val="00B1006E"/>
    <w:rsid w:val="00B140A4"/>
    <w:rsid w:val="00B178FB"/>
    <w:rsid w:val="00B26228"/>
    <w:rsid w:val="00B2668A"/>
    <w:rsid w:val="00B32372"/>
    <w:rsid w:val="00B332D6"/>
    <w:rsid w:val="00B358CE"/>
    <w:rsid w:val="00B505EA"/>
    <w:rsid w:val="00B5252A"/>
    <w:rsid w:val="00B53E9A"/>
    <w:rsid w:val="00B61E19"/>
    <w:rsid w:val="00B63DB1"/>
    <w:rsid w:val="00B67138"/>
    <w:rsid w:val="00B6715C"/>
    <w:rsid w:val="00B81CFE"/>
    <w:rsid w:val="00B903AE"/>
    <w:rsid w:val="00B9157F"/>
    <w:rsid w:val="00B94771"/>
    <w:rsid w:val="00B95225"/>
    <w:rsid w:val="00B96DB0"/>
    <w:rsid w:val="00BA55D3"/>
    <w:rsid w:val="00BA6759"/>
    <w:rsid w:val="00BA7204"/>
    <w:rsid w:val="00BB2C8C"/>
    <w:rsid w:val="00BB2E34"/>
    <w:rsid w:val="00BC28F7"/>
    <w:rsid w:val="00BC4C36"/>
    <w:rsid w:val="00BC6826"/>
    <w:rsid w:val="00BC7F47"/>
    <w:rsid w:val="00BE4C32"/>
    <w:rsid w:val="00BF017B"/>
    <w:rsid w:val="00BF2DAC"/>
    <w:rsid w:val="00BF34F5"/>
    <w:rsid w:val="00C01D05"/>
    <w:rsid w:val="00C0295C"/>
    <w:rsid w:val="00C03C06"/>
    <w:rsid w:val="00C121EC"/>
    <w:rsid w:val="00C12C65"/>
    <w:rsid w:val="00C1771B"/>
    <w:rsid w:val="00C25495"/>
    <w:rsid w:val="00C313A6"/>
    <w:rsid w:val="00C36D24"/>
    <w:rsid w:val="00C420B4"/>
    <w:rsid w:val="00C445E2"/>
    <w:rsid w:val="00C62FB9"/>
    <w:rsid w:val="00C6391C"/>
    <w:rsid w:val="00C64003"/>
    <w:rsid w:val="00C70F1B"/>
    <w:rsid w:val="00C7129D"/>
    <w:rsid w:val="00C748D1"/>
    <w:rsid w:val="00C811B0"/>
    <w:rsid w:val="00C8345E"/>
    <w:rsid w:val="00C91014"/>
    <w:rsid w:val="00CA1CE9"/>
    <w:rsid w:val="00CA3C5C"/>
    <w:rsid w:val="00CA5F94"/>
    <w:rsid w:val="00CB1A4E"/>
    <w:rsid w:val="00CB3386"/>
    <w:rsid w:val="00CC04E0"/>
    <w:rsid w:val="00CC29F6"/>
    <w:rsid w:val="00CC449E"/>
    <w:rsid w:val="00CC4E05"/>
    <w:rsid w:val="00CD2287"/>
    <w:rsid w:val="00CD5BBB"/>
    <w:rsid w:val="00CE0685"/>
    <w:rsid w:val="00CE37D0"/>
    <w:rsid w:val="00CE3E36"/>
    <w:rsid w:val="00CE4B66"/>
    <w:rsid w:val="00CE7DC7"/>
    <w:rsid w:val="00CF73CD"/>
    <w:rsid w:val="00D02BFB"/>
    <w:rsid w:val="00D15ADB"/>
    <w:rsid w:val="00D15DC7"/>
    <w:rsid w:val="00D312BE"/>
    <w:rsid w:val="00D31A1D"/>
    <w:rsid w:val="00D3353C"/>
    <w:rsid w:val="00D37EA5"/>
    <w:rsid w:val="00D466D8"/>
    <w:rsid w:val="00D507A6"/>
    <w:rsid w:val="00D6144C"/>
    <w:rsid w:val="00D6257C"/>
    <w:rsid w:val="00D73628"/>
    <w:rsid w:val="00D73918"/>
    <w:rsid w:val="00D84A8D"/>
    <w:rsid w:val="00D967D7"/>
    <w:rsid w:val="00DA125D"/>
    <w:rsid w:val="00DA14BE"/>
    <w:rsid w:val="00DA2C7F"/>
    <w:rsid w:val="00DB19B9"/>
    <w:rsid w:val="00DB24CC"/>
    <w:rsid w:val="00DC1E3E"/>
    <w:rsid w:val="00DC4BC2"/>
    <w:rsid w:val="00DC5974"/>
    <w:rsid w:val="00DC6B06"/>
    <w:rsid w:val="00DD4717"/>
    <w:rsid w:val="00DE057D"/>
    <w:rsid w:val="00DE2F63"/>
    <w:rsid w:val="00DE408E"/>
    <w:rsid w:val="00DE4C80"/>
    <w:rsid w:val="00DF01B1"/>
    <w:rsid w:val="00DF5D92"/>
    <w:rsid w:val="00DF77B2"/>
    <w:rsid w:val="00E0020F"/>
    <w:rsid w:val="00E00343"/>
    <w:rsid w:val="00E00B6D"/>
    <w:rsid w:val="00E118C7"/>
    <w:rsid w:val="00E1427B"/>
    <w:rsid w:val="00E14E0D"/>
    <w:rsid w:val="00E2143C"/>
    <w:rsid w:val="00E2269F"/>
    <w:rsid w:val="00E22B8B"/>
    <w:rsid w:val="00E3123C"/>
    <w:rsid w:val="00E317D1"/>
    <w:rsid w:val="00E402CB"/>
    <w:rsid w:val="00E40DF0"/>
    <w:rsid w:val="00E4267B"/>
    <w:rsid w:val="00E47DAC"/>
    <w:rsid w:val="00E63C06"/>
    <w:rsid w:val="00E63C8A"/>
    <w:rsid w:val="00E65017"/>
    <w:rsid w:val="00E6653E"/>
    <w:rsid w:val="00E70BF6"/>
    <w:rsid w:val="00E7482C"/>
    <w:rsid w:val="00E802DE"/>
    <w:rsid w:val="00E92DAF"/>
    <w:rsid w:val="00E97EF9"/>
    <w:rsid w:val="00EA3C1F"/>
    <w:rsid w:val="00EB4006"/>
    <w:rsid w:val="00ED1316"/>
    <w:rsid w:val="00F04D9F"/>
    <w:rsid w:val="00F07BDA"/>
    <w:rsid w:val="00F11C98"/>
    <w:rsid w:val="00F12E47"/>
    <w:rsid w:val="00F169BC"/>
    <w:rsid w:val="00F223B2"/>
    <w:rsid w:val="00F261F6"/>
    <w:rsid w:val="00F34FFE"/>
    <w:rsid w:val="00F5283A"/>
    <w:rsid w:val="00F53241"/>
    <w:rsid w:val="00F6368A"/>
    <w:rsid w:val="00F67790"/>
    <w:rsid w:val="00F7082C"/>
    <w:rsid w:val="00F7364F"/>
    <w:rsid w:val="00F80CE6"/>
    <w:rsid w:val="00F80FDA"/>
    <w:rsid w:val="00F86E42"/>
    <w:rsid w:val="00FB1A1B"/>
    <w:rsid w:val="00FB5F6F"/>
    <w:rsid w:val="00FB645B"/>
    <w:rsid w:val="00FC0090"/>
    <w:rsid w:val="00FC09D6"/>
    <w:rsid w:val="00FC34EC"/>
    <w:rsid w:val="00FC3F69"/>
    <w:rsid w:val="00FC5312"/>
    <w:rsid w:val="00FC67CC"/>
    <w:rsid w:val="00FD0319"/>
    <w:rsid w:val="00FD310E"/>
    <w:rsid w:val="00FD3964"/>
    <w:rsid w:val="00FD5160"/>
    <w:rsid w:val="00FE10D7"/>
    <w:rsid w:val="00FF3757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9977850E-0060-4F5E-9FF4-57E5413BC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0D63E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0C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0CC3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70CC3"/>
    <w:rPr>
      <w:vertAlign w:val="superscript"/>
    </w:rPr>
  </w:style>
  <w:style w:type="paragraph" w:customStyle="1" w:styleId="m-3870232041492058488gmail-msolistparagraph">
    <w:name w:val="m_-3870232041492058488gmail-msolistparagraph"/>
    <w:basedOn w:val="Normal"/>
    <w:rsid w:val="00B0635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91717-CB14-46B8-AE40-F3A20090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1476</Words>
  <Characters>8419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Jelena Veličković</cp:lastModifiedBy>
  <cp:revision>2</cp:revision>
  <cp:lastPrinted>2018-09-05T12:48:00Z</cp:lastPrinted>
  <dcterms:created xsi:type="dcterms:W3CDTF">2020-07-06T12:29:00Z</dcterms:created>
  <dcterms:modified xsi:type="dcterms:W3CDTF">2020-07-06T12:29:00Z</dcterms:modified>
</cp:coreProperties>
</file>