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1DA72937" w:rsidR="000E2036" w:rsidRPr="0042640C" w:rsidRDefault="00D80C88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Cs w:val="22"/>
          <w:lang w:val="sr-Cyrl-RS"/>
        </w:rPr>
      </w:pPr>
      <w:r>
        <w:rPr>
          <w:b/>
          <w:noProof/>
          <w:szCs w:val="22"/>
          <w:lang w:val="sr-Cyrl-RS"/>
        </w:rPr>
        <w:t>ПОЈЕДНОСТАВЉЕЊЕ ПОСТУПКА</w:t>
      </w:r>
      <w:r w:rsidR="000A446D" w:rsidRPr="0042640C">
        <w:rPr>
          <w:b/>
          <w:noProof/>
          <w:szCs w:val="22"/>
          <w:lang w:val="sr-Cyrl-RS"/>
        </w:rPr>
        <w:t xml:space="preserve"> ПРВОГ УПИСА БРОДА У УПИСНИК</w:t>
      </w:r>
    </w:p>
    <w:p w14:paraId="299395FC" w14:textId="77777777" w:rsidR="00B1006E" w:rsidRPr="0042640C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6095"/>
      </w:tblGrid>
      <w:tr w:rsidR="00850AD5" w:rsidRPr="0042640C" w14:paraId="1976FB87" w14:textId="77777777" w:rsidTr="0042640C">
        <w:trPr>
          <w:trHeight w:val="714"/>
        </w:trPr>
        <w:tc>
          <w:tcPr>
            <w:tcW w:w="2965" w:type="dxa"/>
            <w:shd w:val="clear" w:color="auto" w:fill="DBE5F1" w:themeFill="accent1" w:themeFillTint="33"/>
            <w:vAlign w:val="center"/>
          </w:tcPr>
          <w:p w14:paraId="11F785D1" w14:textId="77777777" w:rsidR="000E2036" w:rsidRPr="0042640C" w:rsidRDefault="000E2036" w:rsidP="00850AD5">
            <w:pPr>
              <w:jc w:val="left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42640C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095" w:type="dxa"/>
            <w:vAlign w:val="center"/>
          </w:tcPr>
          <w:p w14:paraId="5FD56B01" w14:textId="25AA06B9" w:rsidR="000E2036" w:rsidRPr="0042640C" w:rsidRDefault="006C2F5B" w:rsidP="00850AD5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2640C">
              <w:rPr>
                <w:b/>
                <w:noProof/>
                <w:sz w:val="22"/>
                <w:szCs w:val="22"/>
                <w:lang w:val="sr-Cyrl-RS"/>
              </w:rPr>
              <w:t>Први упис брода у уписник</w:t>
            </w:r>
          </w:p>
        </w:tc>
      </w:tr>
      <w:tr w:rsidR="00850AD5" w:rsidRPr="0042640C" w14:paraId="7A6AA442" w14:textId="77777777" w:rsidTr="0042640C">
        <w:trPr>
          <w:trHeight w:val="418"/>
        </w:trPr>
        <w:tc>
          <w:tcPr>
            <w:tcW w:w="2965" w:type="dxa"/>
            <w:shd w:val="clear" w:color="auto" w:fill="DBE5F1" w:themeFill="accent1" w:themeFillTint="33"/>
            <w:vAlign w:val="center"/>
          </w:tcPr>
          <w:p w14:paraId="049C2EAE" w14:textId="77777777" w:rsidR="000E2036" w:rsidRPr="0042640C" w:rsidRDefault="000E2036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2640C">
              <w:rPr>
                <w:b/>
                <w:noProof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095" w:type="dxa"/>
            <w:vAlign w:val="center"/>
          </w:tcPr>
          <w:p w14:paraId="76B78B5F" w14:textId="1E1B925D" w:rsidR="000E2036" w:rsidRPr="0042640C" w:rsidRDefault="006C2F5B" w:rsidP="00850AD5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2640C">
              <w:rPr>
                <w:b/>
                <w:noProof/>
                <w:sz w:val="22"/>
                <w:szCs w:val="22"/>
                <w:lang w:val="sr-Cyrl-RS"/>
              </w:rPr>
              <w:t>05.00.0024</w:t>
            </w:r>
          </w:p>
        </w:tc>
      </w:tr>
      <w:tr w:rsidR="00850AD5" w:rsidRPr="0042640C" w14:paraId="2CEE52A6" w14:textId="77777777" w:rsidTr="0042640C">
        <w:tc>
          <w:tcPr>
            <w:tcW w:w="2965" w:type="dxa"/>
            <w:shd w:val="clear" w:color="auto" w:fill="DBE5F1" w:themeFill="accent1" w:themeFillTint="33"/>
            <w:vAlign w:val="center"/>
          </w:tcPr>
          <w:p w14:paraId="682C75C7" w14:textId="77777777" w:rsidR="00275E2A" w:rsidRPr="0042640C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2640C">
              <w:rPr>
                <w:b/>
                <w:noProof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42640C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2640C">
              <w:rPr>
                <w:b/>
                <w:noProof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095" w:type="dxa"/>
            <w:vAlign w:val="center"/>
          </w:tcPr>
          <w:p w14:paraId="5795E7E6" w14:textId="2501805D" w:rsidR="00092B84" w:rsidRPr="0042640C" w:rsidRDefault="006C2F5B" w:rsidP="00850AD5">
            <w:pPr>
              <w:pStyle w:val="NormalWeb"/>
              <w:spacing w:before="120" w:beforeAutospacing="0" w:after="120" w:afterAutospacing="0"/>
              <w:rPr>
                <w:noProof/>
                <w:sz w:val="22"/>
                <w:szCs w:val="22"/>
                <w:lang w:val="sr-Cyrl-RS"/>
              </w:rPr>
            </w:pPr>
            <w:r w:rsidRPr="0042640C">
              <w:rPr>
                <w:noProof/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850AD5" w:rsidRPr="0042640C" w14:paraId="10DA1CD3" w14:textId="77777777" w:rsidTr="0042640C">
        <w:tc>
          <w:tcPr>
            <w:tcW w:w="2965" w:type="dxa"/>
            <w:shd w:val="clear" w:color="auto" w:fill="DBE5F1" w:themeFill="accent1" w:themeFillTint="33"/>
            <w:vAlign w:val="center"/>
          </w:tcPr>
          <w:p w14:paraId="4DE579F4" w14:textId="77777777" w:rsidR="00275E2A" w:rsidRPr="0042640C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2640C">
              <w:rPr>
                <w:b/>
                <w:noProof/>
                <w:sz w:val="22"/>
                <w:szCs w:val="22"/>
                <w:lang w:val="sr-Cyrl-RS"/>
              </w:rPr>
              <w:t>Правни о</w:t>
            </w:r>
            <w:r w:rsidR="00B903AE" w:rsidRPr="0042640C">
              <w:rPr>
                <w:b/>
                <w:noProof/>
                <w:sz w:val="22"/>
                <w:szCs w:val="22"/>
                <w:lang w:val="sr-Cyrl-RS"/>
              </w:rPr>
              <w:t>квир</w:t>
            </w:r>
            <w:r w:rsidR="00DC4BC2" w:rsidRPr="0042640C">
              <w:rPr>
                <w:b/>
                <w:noProof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095" w:type="dxa"/>
            <w:vAlign w:val="center"/>
          </w:tcPr>
          <w:p w14:paraId="41AC507B" w14:textId="6AA5C949" w:rsidR="000A446D" w:rsidRPr="004E1828" w:rsidRDefault="000A446D" w:rsidP="00B2192B">
            <w:pPr>
              <w:pStyle w:val="ListParagraph"/>
              <w:numPr>
                <w:ilvl w:val="0"/>
                <w:numId w:val="34"/>
              </w:numPr>
              <w:spacing w:before="120" w:after="120"/>
              <w:ind w:left="706"/>
              <w:rPr>
                <w:rFonts w:ascii="Times New Roman" w:hAnsi="Times New Roman"/>
                <w:bCs/>
                <w:noProof/>
                <w:sz w:val="22"/>
                <w:lang w:val="sr-Cyrl-RS"/>
              </w:rPr>
            </w:pPr>
            <w:r w:rsidRPr="004E1828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 xml:space="preserve">Закон о државној припадности и упису пловила </w:t>
            </w:r>
            <w:r w:rsidR="004E1828" w:rsidRPr="004B37A9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4E1828" w:rsidRPr="004B37A9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4E1828">
              <w:rPr>
                <w:rFonts w:ascii="Times New Roman" w:hAnsi="Times New Roman"/>
                <w:bCs/>
                <w:sz w:val="22"/>
                <w:lang w:val="sr-Latn-RS"/>
              </w:rPr>
              <w:t xml:space="preserve"> </w:t>
            </w:r>
            <w:r w:rsidRPr="004E1828">
              <w:rPr>
                <w:rFonts w:ascii="Times New Roman" w:hAnsi="Times New Roman"/>
                <w:noProof/>
                <w:sz w:val="22"/>
                <w:lang w:val="sr-Cyrl-RS"/>
              </w:rPr>
              <w:t xml:space="preserve">бр. </w:t>
            </w:r>
            <w:r w:rsidRPr="004E1828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 xml:space="preserve"> 10/13, 18/15</w:t>
            </w:r>
            <w:r w:rsidR="0042640C" w:rsidRPr="004E1828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 xml:space="preserve"> и</w:t>
            </w:r>
            <w:r w:rsidRPr="004E1828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 xml:space="preserve"> 83/18)</w:t>
            </w:r>
          </w:p>
          <w:p w14:paraId="2CCB5DCC" w14:textId="411EEF7F" w:rsidR="006C2F5B" w:rsidRPr="004E1828" w:rsidRDefault="006C2F5B" w:rsidP="00B2192B">
            <w:pPr>
              <w:pStyle w:val="ListParagraph"/>
              <w:numPr>
                <w:ilvl w:val="0"/>
                <w:numId w:val="34"/>
              </w:numPr>
              <w:spacing w:before="120" w:after="120"/>
              <w:ind w:left="706"/>
              <w:rPr>
                <w:rFonts w:ascii="Times New Roman" w:hAnsi="Times New Roman"/>
                <w:noProof/>
                <w:lang w:val="sr-Cyrl-RS"/>
              </w:rPr>
            </w:pPr>
            <w:r w:rsidRPr="004E1828">
              <w:rPr>
                <w:rFonts w:ascii="Times New Roman" w:hAnsi="Times New Roman"/>
                <w:noProof/>
                <w:sz w:val="22"/>
                <w:lang w:val="sr-Cyrl-RS"/>
              </w:rPr>
              <w:t>Уредба о највишој допуштеној старости бродова за упис у један од уписника бродова</w:t>
            </w:r>
            <w:r w:rsidR="000A446D" w:rsidRPr="004E1828">
              <w:rPr>
                <w:rFonts w:ascii="Times New Roman" w:hAnsi="Times New Roman"/>
                <w:noProof/>
                <w:sz w:val="22"/>
                <w:lang w:val="sr-Cyrl-RS"/>
              </w:rPr>
              <w:t xml:space="preserve"> </w:t>
            </w:r>
            <w:r w:rsidRPr="004E1828">
              <w:rPr>
                <w:rFonts w:ascii="Times New Roman" w:hAnsi="Times New Roman"/>
                <w:noProof/>
                <w:sz w:val="22"/>
                <w:lang w:val="sr-Cyrl-RS"/>
              </w:rPr>
              <w:t xml:space="preserve"> </w:t>
            </w:r>
            <w:r w:rsidR="000A446D" w:rsidRPr="004E1828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 xml:space="preserve">пловила </w:t>
            </w:r>
            <w:r w:rsidR="004E1828" w:rsidRPr="004B37A9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4E1828" w:rsidRPr="004B37A9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4E1828">
              <w:rPr>
                <w:rFonts w:ascii="Times New Roman" w:hAnsi="Times New Roman"/>
                <w:bCs/>
                <w:sz w:val="22"/>
                <w:lang w:val="sr-Latn-RS"/>
              </w:rPr>
              <w:t xml:space="preserve"> </w:t>
            </w:r>
            <w:r w:rsidR="000A446D" w:rsidRPr="004E1828">
              <w:rPr>
                <w:rFonts w:ascii="Times New Roman" w:hAnsi="Times New Roman"/>
                <w:noProof/>
                <w:sz w:val="22"/>
                <w:lang w:val="sr-Cyrl-RS"/>
              </w:rPr>
              <w:t xml:space="preserve">бр. </w:t>
            </w:r>
            <w:r w:rsidR="000A446D" w:rsidRPr="004E1828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 xml:space="preserve"> </w:t>
            </w:r>
            <w:r w:rsidR="00C345DC" w:rsidRPr="004E1828">
              <w:rPr>
                <w:rFonts w:ascii="Times New Roman" w:hAnsi="Times New Roman"/>
                <w:noProof/>
                <w:sz w:val="22"/>
                <w:lang w:val="sr-Cyrl-RS"/>
              </w:rPr>
              <w:t>3/15, 12/16</w:t>
            </w:r>
            <w:r w:rsidR="00315A8F">
              <w:rPr>
                <w:rFonts w:ascii="Times New Roman" w:hAnsi="Times New Roman"/>
                <w:noProof/>
                <w:sz w:val="22"/>
                <w:lang w:val="sr-Cyrl-RS"/>
              </w:rPr>
              <w:t>,</w:t>
            </w:r>
            <w:r w:rsidR="00C345DC" w:rsidRPr="004E1828">
              <w:rPr>
                <w:rFonts w:ascii="Times New Roman" w:hAnsi="Times New Roman"/>
                <w:noProof/>
                <w:sz w:val="22"/>
                <w:lang w:val="sr-Cyrl-RS"/>
              </w:rPr>
              <w:t xml:space="preserve"> 33/19</w:t>
            </w:r>
            <w:r w:rsidR="00315A8F">
              <w:rPr>
                <w:rFonts w:ascii="Times New Roman" w:hAnsi="Times New Roman"/>
                <w:noProof/>
                <w:sz w:val="22"/>
                <w:lang w:val="sr-Cyrl-RS"/>
              </w:rPr>
              <w:t xml:space="preserve"> и 90/19</w:t>
            </w:r>
            <w:r w:rsidR="000A446D" w:rsidRPr="004E1828">
              <w:rPr>
                <w:rFonts w:ascii="Times New Roman" w:hAnsi="Times New Roman"/>
                <w:noProof/>
                <w:sz w:val="22"/>
                <w:lang w:val="sr-Cyrl-RS"/>
              </w:rPr>
              <w:t>)</w:t>
            </w:r>
            <w:r w:rsidRPr="004E1828">
              <w:rPr>
                <w:rFonts w:ascii="Times New Roman" w:hAnsi="Times New Roman"/>
                <w:noProof/>
                <w:sz w:val="22"/>
                <w:lang w:val="sr-Cyrl-RS"/>
              </w:rPr>
              <w:t xml:space="preserve"> </w:t>
            </w:r>
          </w:p>
        </w:tc>
      </w:tr>
      <w:tr w:rsidR="00850AD5" w:rsidRPr="0042640C" w14:paraId="724CF23D" w14:textId="77777777" w:rsidTr="0042640C">
        <w:tc>
          <w:tcPr>
            <w:tcW w:w="2965" w:type="dxa"/>
            <w:shd w:val="clear" w:color="auto" w:fill="DBE5F1" w:themeFill="accent1" w:themeFillTint="33"/>
            <w:vAlign w:val="center"/>
          </w:tcPr>
          <w:p w14:paraId="1A908998" w14:textId="11A1AF2D" w:rsidR="00D73918" w:rsidRPr="0042640C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</w:pPr>
            <w:r w:rsidRPr="0042640C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42640C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42640C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095" w:type="dxa"/>
            <w:vAlign w:val="center"/>
          </w:tcPr>
          <w:p w14:paraId="55CB4618" w14:textId="0C6D0290" w:rsidR="00D73918" w:rsidRPr="004E1828" w:rsidRDefault="004E1828" w:rsidP="004E1828">
            <w:pPr>
              <w:spacing w:before="120" w:after="120"/>
              <w:jc w:val="left"/>
              <w:rPr>
                <w:rFonts w:ascii="Times New Roman" w:hAnsi="Times New Roman"/>
                <w:noProof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42640C" w14:paraId="58812BCA" w14:textId="77777777" w:rsidTr="0042640C">
        <w:tc>
          <w:tcPr>
            <w:tcW w:w="2965" w:type="dxa"/>
            <w:shd w:val="clear" w:color="auto" w:fill="DBE5F1" w:themeFill="accent1" w:themeFillTint="33"/>
            <w:vAlign w:val="center"/>
          </w:tcPr>
          <w:p w14:paraId="0CF6011B" w14:textId="0E1BBDD3" w:rsidR="00275E2A" w:rsidRPr="0042640C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2640C">
              <w:rPr>
                <w:b/>
                <w:noProof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42640C">
              <w:rPr>
                <w:b/>
                <w:noProof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095" w:type="dxa"/>
            <w:vAlign w:val="center"/>
          </w:tcPr>
          <w:p w14:paraId="19A48B50" w14:textId="4C116367" w:rsidR="00804060" w:rsidRPr="0042640C" w:rsidRDefault="00A74A15" w:rsidP="00850AD5">
            <w:pPr>
              <w:pStyle w:val="NormalWeb"/>
              <w:spacing w:before="120" w:beforeAutospacing="0" w:after="120" w:afterAutospacing="0"/>
              <w:rPr>
                <w:noProof/>
                <w:sz w:val="22"/>
                <w:szCs w:val="22"/>
                <w:lang w:val="sr-Cyrl-RS"/>
              </w:rPr>
            </w:pPr>
            <w:r w:rsidRPr="00A74A15">
              <w:rPr>
                <w:noProof/>
                <w:sz w:val="22"/>
                <w:szCs w:val="22"/>
                <w:lang w:val="sr-Cyrl-RS"/>
              </w:rPr>
              <w:t xml:space="preserve">Четврти </w:t>
            </w:r>
            <w:r w:rsidR="00A05798" w:rsidRPr="0042640C">
              <w:rPr>
                <w:noProof/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42640C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42640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2640C">
              <w:rPr>
                <w:b/>
                <w:noProof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42640C" w14:paraId="4635A4BE" w14:textId="77777777" w:rsidTr="00CA1CE9">
        <w:tc>
          <w:tcPr>
            <w:tcW w:w="9060" w:type="dxa"/>
            <w:gridSpan w:val="2"/>
          </w:tcPr>
          <w:p w14:paraId="7C88A9BD" w14:textId="683CC920" w:rsidR="00A05798" w:rsidRPr="0042640C" w:rsidRDefault="000F066C" w:rsidP="006F4A5C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2640C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Анализом поступка утврђено је да је образац захтева у слободној форми, и да би прописани образац са унапред одређеним елементима допринео лакшем и ефикаснијем поступању у поступку.</w:t>
            </w:r>
          </w:p>
          <w:p w14:paraId="4BCB02C2" w14:textId="71523A8E" w:rsidR="00A05798" w:rsidRPr="0042640C" w:rsidRDefault="003942CE" w:rsidP="000A446D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2640C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Достављање ових података од стране подносиоца захтева њима ствара непотребно административно оптерећење.</w:t>
            </w:r>
            <w:r w:rsidR="00493EA2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  <w:r w:rsidRPr="0042640C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Од подносиоца захтева се непотребно тражи да достави документ извод из АПР-а што представља непотребан трошак. </w:t>
            </w:r>
          </w:p>
        </w:tc>
      </w:tr>
      <w:tr w:rsidR="00275E2A" w:rsidRPr="0042640C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42640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2640C">
              <w:rPr>
                <w:b/>
                <w:noProof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42640C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42640C" w:rsidRDefault="00C70F1B" w:rsidP="00C70F1B">
            <w:pPr>
              <w:pStyle w:val="NormalWeb"/>
              <w:spacing w:before="120" w:beforeAutospacing="0" w:after="120" w:afterAutospacing="0"/>
              <w:rPr>
                <w:b/>
                <w:noProof/>
                <w:sz w:val="2"/>
                <w:szCs w:val="22"/>
                <w:lang w:val="sr-Cyrl-RS"/>
              </w:rPr>
            </w:pPr>
          </w:p>
        </w:tc>
      </w:tr>
      <w:tr w:rsidR="00CA1CE9" w:rsidRPr="0042640C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42640C" w14:paraId="30C2F8E8" w14:textId="77777777" w:rsidTr="000A446D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42640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Cs w:val="24"/>
                      <w:lang w:val="sr-Cyrl-RS"/>
                    </w:rPr>
                  </w:pPr>
                  <w:r w:rsidRPr="0042640C">
                    <w:rPr>
                      <w:rFonts w:ascii="Times New Roman" w:eastAsia="Times New Roman" w:hAnsi="Times New Roman"/>
                      <w:b/>
                      <w:noProof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42640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2640C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42640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2640C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42640C" w14:paraId="2B15C487" w14:textId="77777777" w:rsidTr="000A446D">
              <w:trPr>
                <w:trHeight w:val="260"/>
                <w:jc w:val="center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42640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42640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2640C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42640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2640C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42640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CA1CE9" w:rsidRPr="0042640C" w14:paraId="57E988BC" w14:textId="77777777" w:rsidTr="000A446D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269B4895" w14:textId="77777777" w:rsidR="00CA1CE9" w:rsidRPr="0042640C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42640C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  <w:vAlign w:val="center"/>
                </w:tcPr>
                <w:p w14:paraId="2E3C3C7E" w14:textId="77777777" w:rsidR="00CA1CE9" w:rsidRPr="0042640C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CA1CE9" w:rsidRPr="0042640C" w14:paraId="1E77C85A" w14:textId="77777777" w:rsidTr="000A446D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34DF82C9" w14:textId="77777777" w:rsidR="00CA1CE9" w:rsidRPr="0042640C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42640C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7DA93255" w14:textId="37A490D4" w:rsidR="00CA1CE9" w:rsidRPr="0042640C" w:rsidRDefault="00CA1CE9" w:rsidP="006D7C57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5EFCD47F" w14:textId="2C5BC2C0" w:rsidR="00CA1CE9" w:rsidRPr="0042640C" w:rsidRDefault="004E1828" w:rsidP="000F066C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2640C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24710273" w14:textId="610E12B7" w:rsidR="00CA1CE9" w:rsidRPr="004E1828" w:rsidRDefault="00CA1CE9" w:rsidP="004E1828">
                  <w:pPr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DB19B9" w:rsidRPr="0042640C" w14:paraId="1228D87D" w14:textId="77777777" w:rsidTr="004E1828">
              <w:trPr>
                <w:gridAfter w:val="1"/>
                <w:wAfter w:w="7" w:type="dxa"/>
                <w:trHeight w:val="480"/>
                <w:jc w:val="center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406288B1" w14:textId="653F3575" w:rsidR="00DB19B9" w:rsidRPr="0042640C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2640C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32D90DC8" w14:textId="301F2B37" w:rsidR="00DB19B9" w:rsidRPr="0042640C" w:rsidRDefault="00DB19B9" w:rsidP="003942CE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4BF2735E" w14:textId="5E728A09" w:rsidR="00DB19B9" w:rsidRPr="0042640C" w:rsidRDefault="004E1828" w:rsidP="003942CE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2640C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  <w:vAlign w:val="center"/>
                </w:tcPr>
                <w:p w14:paraId="1F22B93B" w14:textId="70448690" w:rsidR="00DB19B9" w:rsidRPr="0042640C" w:rsidRDefault="00DB19B9" w:rsidP="006D7C57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4E1828" w:rsidRPr="0042640C" w14:paraId="0D296E79" w14:textId="77777777" w:rsidTr="004E1828">
              <w:trPr>
                <w:gridAfter w:val="1"/>
                <w:wAfter w:w="7" w:type="dxa"/>
                <w:trHeight w:val="480"/>
                <w:jc w:val="center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7B30FDB" w14:textId="77777777" w:rsidR="004E1828" w:rsidRPr="0042640C" w:rsidRDefault="004E1828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B740AC5" w14:textId="77777777" w:rsidR="004E1828" w:rsidRPr="0042640C" w:rsidRDefault="004E1828" w:rsidP="003942CE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DCDE29C" w14:textId="77777777" w:rsidR="004E1828" w:rsidRPr="0042640C" w:rsidRDefault="004E1828" w:rsidP="003942CE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E7B599A" w14:textId="77777777" w:rsidR="004E1828" w:rsidRPr="0042640C" w:rsidRDefault="004E1828" w:rsidP="006D7C57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</w:tbl>
          <w:p w14:paraId="6E28D8C5" w14:textId="0392987D" w:rsidR="00CA1CE9" w:rsidRPr="0042640C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42640C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42640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2640C">
              <w:rPr>
                <w:b/>
                <w:noProof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42640C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1754D9F" w14:textId="7EDD2CD4" w:rsidR="00CA1CE9" w:rsidRDefault="004E1828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u w:val="single"/>
                <w:lang w:val="sr-Cyrl-RS"/>
              </w:rPr>
            </w:pPr>
            <w:r w:rsidRPr="004E1828">
              <w:rPr>
                <w:rFonts w:ascii="Times New Roman" w:eastAsia="Times New Roman" w:hAnsi="Times New Roman"/>
                <w:b/>
                <w:noProof/>
                <w:sz w:val="22"/>
                <w:u w:val="single"/>
                <w:lang w:val="sr-Cyrl-RS"/>
              </w:rPr>
              <w:lastRenderedPageBreak/>
              <w:t>Образац административног захтева</w:t>
            </w:r>
          </w:p>
          <w:p w14:paraId="060DAA98" w14:textId="77777777" w:rsidR="004E1828" w:rsidRPr="004E1828" w:rsidRDefault="004E1828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8"/>
                <w:szCs w:val="24"/>
                <w:u w:val="single"/>
                <w:lang w:val="sr-Cyrl-RS"/>
              </w:rPr>
            </w:pPr>
          </w:p>
          <w:p w14:paraId="5E36B8A2" w14:textId="2DEE9C7A" w:rsidR="00384D12" w:rsidRPr="004E1828" w:rsidRDefault="00384D12" w:rsidP="00384D12">
            <w:pPr>
              <w:contextualSpacing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1828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3.1. </w:t>
            </w:r>
            <w:r w:rsidRPr="004E1828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Увођење обрасца захтева </w:t>
            </w:r>
          </w:p>
          <w:p w14:paraId="74560D5E" w14:textId="77777777" w:rsidR="00384D12" w:rsidRPr="0042640C" w:rsidRDefault="00384D12" w:rsidP="00384D12">
            <w:pPr>
              <w:contextualSpacing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244BCC48" w14:textId="78D94515" w:rsidR="00384D12" w:rsidRPr="0042640C" w:rsidRDefault="00384D12" w:rsidP="00384D12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2640C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Захтев тренутно постоји у слободној форми, и нису прописани елементи обрасца захтева. </w:t>
            </w:r>
          </w:p>
          <w:p w14:paraId="0AE8A6D3" w14:textId="77777777" w:rsidR="00384D12" w:rsidRPr="0042640C" w:rsidRDefault="00384D12" w:rsidP="00384D12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1A5496C4" w14:textId="7147714C" w:rsidR="00384D12" w:rsidRPr="0042640C" w:rsidRDefault="00384D12" w:rsidP="00384D12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2640C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Предлаже се </w:t>
            </w:r>
            <w:r w:rsidR="00A85E68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увође</w:t>
            </w:r>
            <w:r w:rsidR="00424FB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ње</w:t>
            </w:r>
            <w:r w:rsidRPr="0042640C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као и информације потребне за прибављање података по службеној дужности и то: </w:t>
            </w:r>
          </w:p>
          <w:p w14:paraId="3A2893D4" w14:textId="60775464" w:rsidR="00384D12" w:rsidRPr="0042640C" w:rsidRDefault="00384D12" w:rsidP="00384D12">
            <w:pPr>
              <w:pStyle w:val="ListParagraph"/>
              <w:numPr>
                <w:ilvl w:val="0"/>
                <w:numId w:val="26"/>
              </w:numPr>
              <w:ind w:left="78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42640C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Подаци о подносиоцу захтева (назив правног лица, седиште, матични број) ради јасног и прецизног евидентиртања подносиоца захтева као и провере службеника свих наведених података на сајту Агенције за привредне регистре; </w:t>
            </w:r>
          </w:p>
          <w:p w14:paraId="61DDFAE6" w14:textId="6D160278" w:rsidR="00384D12" w:rsidRPr="0042640C" w:rsidRDefault="00384D12" w:rsidP="00384D12">
            <w:pPr>
              <w:pStyle w:val="ListParagraph"/>
              <w:numPr>
                <w:ilvl w:val="0"/>
                <w:numId w:val="26"/>
              </w:numPr>
              <w:ind w:left="78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42640C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Технички подаци о броду (дентификацији брода и технички подаци (границе пловидбе врста брода према конструкцији, истиснина у кубним метрима, највећа носивост брода, машински уређај за погон, димензије брода дужина, ширина, висина бока, газ брода,  година  градње и  др. </w:t>
            </w:r>
            <w:r w:rsidR="00C81925" w:rsidRPr="0042640C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</w:t>
            </w:r>
            <w:r w:rsidRPr="0042640C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одаци) ради лаког и брзог прибављања докумената за која је дат предлог да се прибављају по службеној дужности од самог министарства грађевине, саобраћаја и инфрструктуре и Управе за утврђивање бродова за пловидбу (документи број 3., 4., 5. и 6</w:t>
            </w:r>
            <w:r w:rsidR="00424FB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.</w:t>
            </w:r>
            <w:r w:rsidRPr="0042640C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) ; </w:t>
            </w:r>
          </w:p>
          <w:p w14:paraId="1BEF2784" w14:textId="77777777" w:rsidR="00384D12" w:rsidRPr="0042640C" w:rsidRDefault="00384D12" w:rsidP="00384D12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40CBC440" w14:textId="77777777" w:rsidR="00384D12" w:rsidRPr="0042640C" w:rsidRDefault="00384D12" w:rsidP="00384D12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42640C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42640C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42640C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.</w:t>
            </w:r>
          </w:p>
          <w:p w14:paraId="6434A829" w14:textId="77777777" w:rsidR="00384D12" w:rsidRPr="0042640C" w:rsidRDefault="00384D12" w:rsidP="00384D12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53240FB9" w14:textId="74C02994" w:rsidR="00384D12" w:rsidRPr="0042640C" w:rsidRDefault="00384D12" w:rsidP="00384D12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2640C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Предлаже се о</w:t>
            </w:r>
            <w:r w:rsidRPr="0042640C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 ради лакшег преузимања обрасца од стране подносилаца захтева.</w:t>
            </w:r>
          </w:p>
          <w:p w14:paraId="0B080C01" w14:textId="4EC131F1" w:rsidR="00384D12" w:rsidRPr="0042640C" w:rsidRDefault="00384D12" w:rsidP="00384D12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157B00C2" w14:textId="77777777" w:rsidR="004E1828" w:rsidRDefault="004E1828" w:rsidP="004E1828">
            <w:pPr>
              <w:rPr>
                <w:rFonts w:ascii="Times New Roman" w:hAnsi="Times New Roman"/>
                <w:b/>
                <w:i/>
                <w:sz w:val="22"/>
                <w:lang w:val="ru-RU" w:eastAsia="en-GB"/>
              </w:rPr>
            </w:pPr>
            <w:r w:rsidRPr="006A4CEE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 xml:space="preserve">За примену ове препоруке, није </w:t>
            </w:r>
            <w:r w:rsidRPr="006A4CEE">
              <w:rPr>
                <w:rFonts w:ascii="Times New Roman" w:hAnsi="Times New Roman"/>
                <w:b/>
                <w:i/>
                <w:color w:val="000000"/>
                <w:sz w:val="22"/>
                <w:lang w:val="sr-Cyrl-RS" w:eastAsia="en-GB"/>
              </w:rPr>
              <w:t xml:space="preserve">потребна </w:t>
            </w:r>
            <w:r w:rsidRPr="006A4CEE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>измена прописа.</w:t>
            </w:r>
          </w:p>
          <w:p w14:paraId="1602C9E6" w14:textId="77777777" w:rsidR="003942CE" w:rsidRPr="00343BDC" w:rsidRDefault="003942CE" w:rsidP="00A05798">
            <w:pPr>
              <w:shd w:val="clear" w:color="auto" w:fill="FFFFFF"/>
              <w:rPr>
                <w:rFonts w:ascii="Times New Roman" w:hAnsi="Times New Roman"/>
                <w:b/>
                <w:noProof/>
                <w:sz w:val="22"/>
                <w:szCs w:val="22"/>
                <w:lang w:val="sr-Cyrl-RS" w:eastAsia="en-GB"/>
              </w:rPr>
            </w:pPr>
          </w:p>
          <w:p w14:paraId="62127B0F" w14:textId="7B0BFD56" w:rsidR="00A05798" w:rsidRPr="00343BDC" w:rsidRDefault="00A05798" w:rsidP="00A05798">
            <w:pPr>
              <w:shd w:val="clear" w:color="auto" w:fill="FFFFFF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ME"/>
              </w:rPr>
            </w:pPr>
            <w:r w:rsidRPr="00343BDC">
              <w:rPr>
                <w:rFonts w:ascii="Times New Roman" w:hAnsi="Times New Roman"/>
                <w:b/>
                <w:noProof/>
                <w:sz w:val="22"/>
                <w:szCs w:val="22"/>
                <w:lang w:val="sr-Cyrl-RS" w:eastAsia="en-GB"/>
              </w:rPr>
              <w:t>3.</w:t>
            </w:r>
            <w:r w:rsidR="003942CE" w:rsidRPr="00343BDC">
              <w:rPr>
                <w:rFonts w:ascii="Times New Roman" w:hAnsi="Times New Roman"/>
                <w:b/>
                <w:noProof/>
                <w:sz w:val="22"/>
                <w:szCs w:val="22"/>
                <w:lang w:val="sr-Cyrl-RS" w:eastAsia="en-GB"/>
              </w:rPr>
              <w:t>2</w:t>
            </w:r>
            <w:r w:rsidRPr="00343BDC">
              <w:rPr>
                <w:rFonts w:ascii="Times New Roman" w:hAnsi="Times New Roman"/>
                <w:b/>
                <w:noProof/>
                <w:sz w:val="22"/>
                <w:szCs w:val="22"/>
                <w:lang w:val="sr-Cyrl-RS" w:eastAsia="en-GB"/>
              </w:rPr>
              <w:t xml:space="preserve">. </w:t>
            </w:r>
            <w:r w:rsidRPr="00343BDC"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ME"/>
              </w:rPr>
              <w:t>Прибављање података по службеној дужности</w:t>
            </w:r>
          </w:p>
          <w:p w14:paraId="7A07D027" w14:textId="77777777" w:rsidR="00A05798" w:rsidRPr="0042640C" w:rsidRDefault="00A05798" w:rsidP="00A05798">
            <w:pPr>
              <w:rPr>
                <w:rFonts w:ascii="Times New Roman" w:hAnsi="Times New Roman"/>
                <w:noProof/>
                <w:color w:val="50005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42640C">
              <w:rPr>
                <w:rFonts w:ascii="Times New Roman" w:hAnsi="Times New Roman"/>
                <w:noProof/>
                <w:color w:val="500050"/>
                <w:sz w:val="22"/>
                <w:szCs w:val="22"/>
                <w:shd w:val="clear" w:color="auto" w:fill="FFFFFF"/>
                <w:lang w:val="sr-Cyrl-RS" w:eastAsia="sr-Latn-ME"/>
              </w:rPr>
              <w:t> </w:t>
            </w:r>
          </w:p>
          <w:p w14:paraId="18C962FA" w14:textId="1DD6D25D" w:rsidR="00A05798" w:rsidRPr="0042640C" w:rsidRDefault="00A05798" w:rsidP="00A05798">
            <w:pPr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ЗОУП-а </w:t>
            </w:r>
            <w:r w:rsidR="004E1828" w:rsidRPr="004B37A9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4E1828" w:rsidRPr="004B37A9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4E1828">
              <w:rPr>
                <w:rFonts w:ascii="Times New Roman" w:hAnsi="Times New Roman"/>
                <w:bCs/>
                <w:sz w:val="22"/>
                <w:lang w:val="sr-Latn-RS"/>
              </w:rPr>
              <w:t xml:space="preserve"> </w:t>
            </w:r>
            <w:r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бр. 18/16 и 95/18), Законом о електронском документу, електронској идентификацији и услугама од поверења у електронском пословању </w:t>
            </w:r>
            <w:r w:rsidR="004E1828" w:rsidRPr="004B37A9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4E1828" w:rsidRPr="004B37A9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4E1828">
              <w:rPr>
                <w:rFonts w:ascii="Times New Roman" w:hAnsi="Times New Roman"/>
                <w:bCs/>
                <w:sz w:val="22"/>
                <w:lang w:val="sr-Latn-RS"/>
              </w:rPr>
              <w:t xml:space="preserve"> </w:t>
            </w:r>
            <w:r w:rsidRPr="0042640C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 xml:space="preserve">број 94/17), Законом о електронској управи </w:t>
            </w:r>
            <w:r w:rsidR="004E1828" w:rsidRPr="004B37A9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4E1828" w:rsidRPr="004B37A9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4E1828">
              <w:rPr>
                <w:rFonts w:ascii="Times New Roman" w:hAnsi="Times New Roman"/>
                <w:bCs/>
                <w:sz w:val="22"/>
                <w:lang w:val="sr-Latn-RS"/>
              </w:rPr>
              <w:t xml:space="preserve"> </w:t>
            </w:r>
            <w:r w:rsidRPr="0042640C">
              <w:rPr>
                <w:rFonts w:ascii="Times New Roman" w:hAnsi="Times New Roman"/>
                <w:noProof/>
                <w:sz w:val="22"/>
                <w:szCs w:val="22"/>
                <w:shd w:val="clear" w:color="auto" w:fill="FFFFFF"/>
                <w:lang w:val="sr-Cyrl-RS" w:eastAsia="sr-Latn-ME"/>
              </w:rPr>
              <w:t>број 27/18) и П</w:t>
            </w:r>
            <w:r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</w:t>
            </w:r>
            <w:r w:rsidR="004E1828" w:rsidRPr="004B37A9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4E1828" w:rsidRPr="004B37A9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4E1828">
              <w:rPr>
                <w:rFonts w:ascii="Times New Roman" w:hAnsi="Times New Roman"/>
                <w:bCs/>
                <w:sz w:val="22"/>
                <w:lang w:val="sr-Latn-RS"/>
              </w:rPr>
              <w:t xml:space="preserve"> </w:t>
            </w:r>
            <w:r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број 57/19), по службеној дужности прибави потребне податке од надлежног органа – „власника“ потребних података:</w:t>
            </w:r>
          </w:p>
          <w:p w14:paraId="00E6DF93" w14:textId="0020E058" w:rsidR="00A05798" w:rsidRPr="0042640C" w:rsidRDefault="00A05798" w:rsidP="000F066C">
            <w:pPr>
              <w:ind w:firstLine="60"/>
              <w:rPr>
                <w:rFonts w:ascii="Times New Roman" w:hAnsi="Times New Roman"/>
                <w:noProof/>
                <w:color w:val="500050"/>
                <w:sz w:val="22"/>
                <w:szCs w:val="22"/>
                <w:shd w:val="clear" w:color="auto" w:fill="FFFFFF"/>
                <w:lang w:val="sr-Cyrl-RS" w:eastAsia="sr-Latn-ME"/>
              </w:rPr>
            </w:pPr>
          </w:p>
          <w:p w14:paraId="20D931A4" w14:textId="0292E03C" w:rsidR="000F066C" w:rsidRPr="0042640C" w:rsidRDefault="00A05798" w:rsidP="009170C0">
            <w:pPr>
              <w:pStyle w:val="ListParagraph"/>
              <w:numPr>
                <w:ilvl w:val="0"/>
                <w:numId w:val="31"/>
              </w:num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Документ број </w:t>
            </w:r>
            <w:r w:rsidR="00793B55"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12</w:t>
            </w:r>
            <w:r w:rsidR="000A446D"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 из е-</w:t>
            </w:r>
            <w:r w:rsidR="00493EA2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П</w:t>
            </w:r>
            <w:r w:rsidR="000A446D"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описа</w:t>
            </w:r>
            <w:r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: Извод из привредног регистра</w:t>
            </w:r>
          </w:p>
          <w:p w14:paraId="26C358C0" w14:textId="20032065" w:rsidR="00A05798" w:rsidRPr="0042640C" w:rsidRDefault="000F066C" w:rsidP="000A446D">
            <w:pPr>
              <w:ind w:left="780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42640C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О</w:t>
            </w:r>
            <w:r w:rsidR="00A05798" w:rsidRPr="0042640C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рган од кога је потребно прибавити податке:</w:t>
            </w:r>
            <w:r w:rsidR="00A05798"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 Агенција за привредне регистре</w:t>
            </w:r>
          </w:p>
          <w:p w14:paraId="32FE7D49" w14:textId="77777777" w:rsidR="000A446D" w:rsidRPr="0042640C" w:rsidRDefault="000A446D" w:rsidP="000A446D">
            <w:pPr>
              <w:ind w:left="780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</w:p>
          <w:p w14:paraId="2F308665" w14:textId="21B00A60" w:rsidR="00A05798" w:rsidRPr="0042640C" w:rsidRDefault="002C74E5" w:rsidP="000F066C">
            <w:pPr>
              <w:pStyle w:val="ListParagraph"/>
              <w:numPr>
                <w:ilvl w:val="0"/>
                <w:numId w:val="31"/>
              </w:num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Документ број </w:t>
            </w:r>
            <w:r w:rsidR="000F066C"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6</w:t>
            </w:r>
            <w:r w:rsidR="00493EA2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 из е-Пописа</w:t>
            </w:r>
            <w:r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: </w:t>
            </w:r>
            <w:r w:rsidR="00E441A4"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И</w:t>
            </w:r>
            <w:r w:rsidR="000F066C"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справа  којом се доказују други подаци који се уносе у лист А улошка  главне књиге уписника бродова</w:t>
            </w:r>
          </w:p>
          <w:p w14:paraId="52856B76" w14:textId="422F9409" w:rsidR="00E441A4" w:rsidRPr="0042640C" w:rsidRDefault="008C3A73" w:rsidP="000A446D">
            <w:pPr>
              <w:ind w:left="690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Орган од кога је потребно прибавити податке: </w:t>
            </w:r>
            <w:r w:rsidR="00E441A4"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Управа за утврђивање способности бродова за пловидбу</w:t>
            </w:r>
          </w:p>
          <w:p w14:paraId="4EA0A489" w14:textId="5C10EC5F" w:rsidR="000F066C" w:rsidRPr="001B55D2" w:rsidRDefault="00E441A4" w:rsidP="000F066C">
            <w:pPr>
              <w:pStyle w:val="ListParagraph"/>
              <w:numPr>
                <w:ilvl w:val="0"/>
                <w:numId w:val="31"/>
              </w:num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1B55D2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Документ број 5</w:t>
            </w:r>
            <w:r w:rsidR="000A446D" w:rsidRPr="001B55D2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 из е-</w:t>
            </w:r>
            <w:r w:rsidR="00493EA2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П</w:t>
            </w:r>
            <w:r w:rsidR="000A446D" w:rsidRPr="001B55D2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описа</w:t>
            </w:r>
            <w:r w:rsidRPr="001B55D2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: Сведочанство о способности брода за пловидбу брода унутрашње пловидбе</w:t>
            </w:r>
          </w:p>
          <w:p w14:paraId="51890C12" w14:textId="34BFCA41" w:rsidR="00E441A4" w:rsidRPr="0042640C" w:rsidRDefault="008C3A73" w:rsidP="000A446D">
            <w:pPr>
              <w:ind w:left="690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1B55D2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lastRenderedPageBreak/>
              <w:t xml:space="preserve">Орган од кога је потребно прибавити податке: </w:t>
            </w:r>
            <w:r w:rsidR="00E441A4" w:rsidRPr="001B55D2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Управа за утврђивање способности бродова за пловидбу</w:t>
            </w:r>
          </w:p>
          <w:p w14:paraId="3CBEE12D" w14:textId="77777777" w:rsidR="000A446D" w:rsidRPr="0042640C" w:rsidRDefault="000A446D" w:rsidP="000A446D">
            <w:pPr>
              <w:ind w:left="690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</w:p>
          <w:p w14:paraId="462B9990" w14:textId="5704FDFC" w:rsidR="00E441A4" w:rsidRPr="0042640C" w:rsidRDefault="00E441A4" w:rsidP="000F066C">
            <w:pPr>
              <w:pStyle w:val="ListParagraph"/>
              <w:numPr>
                <w:ilvl w:val="0"/>
                <w:numId w:val="31"/>
              </w:num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Документ број 4</w:t>
            </w:r>
            <w:r w:rsidR="000A446D"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 из е-</w:t>
            </w:r>
            <w:r w:rsidR="00493EA2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П</w:t>
            </w:r>
            <w:r w:rsidR="000A446D"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описа</w:t>
            </w:r>
            <w:r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: </w:t>
            </w:r>
            <w:r w:rsidR="008C3A73"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С</w:t>
            </w:r>
            <w:r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ведочанство о баждарењу брода</w:t>
            </w:r>
          </w:p>
          <w:p w14:paraId="2D9B644D" w14:textId="6AD8728E" w:rsidR="00E441A4" w:rsidRPr="0042640C" w:rsidRDefault="008C3A73" w:rsidP="000A446D">
            <w:pPr>
              <w:ind w:left="780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Орган од кога је потребно прибавити податке: Управа за утврђивање способности бродова за пловидбу</w:t>
            </w:r>
          </w:p>
          <w:p w14:paraId="0CAF94F2" w14:textId="77777777" w:rsidR="000A446D" w:rsidRPr="0042640C" w:rsidRDefault="000A446D" w:rsidP="000A446D">
            <w:pPr>
              <w:ind w:left="780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</w:p>
          <w:p w14:paraId="3F3305DD" w14:textId="44ED90B9" w:rsidR="00E441A4" w:rsidRPr="0042640C" w:rsidRDefault="008C3A73" w:rsidP="000F066C">
            <w:pPr>
              <w:pStyle w:val="ListParagraph"/>
              <w:numPr>
                <w:ilvl w:val="0"/>
                <w:numId w:val="31"/>
              </w:num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Документ број 3</w:t>
            </w:r>
            <w:r w:rsidR="000A446D"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 из е-</w:t>
            </w:r>
            <w:r w:rsidR="00493EA2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П</w:t>
            </w:r>
            <w:r w:rsidR="000A446D"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описа</w:t>
            </w:r>
            <w:r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: Решење о одређивању имена, односно ознаке  брода, луке уписа, као и ЕНИ броја</w:t>
            </w:r>
          </w:p>
          <w:p w14:paraId="672A9977" w14:textId="306BD678" w:rsidR="008C3A73" w:rsidRPr="0042640C" w:rsidRDefault="008C3A73" w:rsidP="000A446D">
            <w:pPr>
              <w:ind w:left="780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42640C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Орган од кога је потребно прибавити податке: Министарство грађевинарства, саобраћаја и инфраструктуре </w:t>
            </w:r>
          </w:p>
          <w:p w14:paraId="3101D489" w14:textId="77777777" w:rsidR="00A05798" w:rsidRPr="0042640C" w:rsidRDefault="00A05798" w:rsidP="00A05798">
            <w:pPr>
              <w:rPr>
                <w:rFonts w:ascii="Times New Roman" w:hAnsi="Times New Roman"/>
                <w:noProof/>
                <w:sz w:val="22"/>
                <w:szCs w:val="22"/>
                <w:lang w:val="sr-Cyrl-RS" w:eastAsia="en-GB"/>
              </w:rPr>
            </w:pPr>
          </w:p>
          <w:p w14:paraId="2E436BE7" w14:textId="36942F1F" w:rsidR="00A05798" w:rsidRPr="0042640C" w:rsidRDefault="00A05798" w:rsidP="00A05798">
            <w:pPr>
              <w:rPr>
                <w:rFonts w:ascii="Times New Roman" w:hAnsi="Times New Roman"/>
                <w:noProof/>
                <w:sz w:val="22"/>
                <w:szCs w:val="22"/>
                <w:lang w:val="sr-Cyrl-RS" w:eastAsia="sr-Latn-ME"/>
              </w:rPr>
            </w:pPr>
            <w:r w:rsidRPr="0042640C">
              <w:rPr>
                <w:rFonts w:ascii="Times New Roman" w:hAnsi="Times New Roman"/>
                <w:noProof/>
                <w:sz w:val="22"/>
                <w:szCs w:val="22"/>
                <w:lang w:val="sr-Cyrl-RS" w:eastAsia="en-GB"/>
              </w:rPr>
              <w:t xml:space="preserve">Наведени документ </w:t>
            </w:r>
            <w:r w:rsidR="008C3A73" w:rsidRPr="0042640C">
              <w:rPr>
                <w:rFonts w:ascii="Times New Roman" w:hAnsi="Times New Roman"/>
                <w:noProof/>
                <w:sz w:val="22"/>
                <w:szCs w:val="22"/>
                <w:lang w:val="sr-Cyrl-RS" w:eastAsia="en-GB"/>
              </w:rPr>
              <w:t xml:space="preserve">број 12 </w:t>
            </w:r>
            <w:r w:rsidRPr="0042640C">
              <w:rPr>
                <w:rFonts w:ascii="Times New Roman" w:hAnsi="Times New Roman"/>
                <w:noProof/>
                <w:sz w:val="22"/>
                <w:szCs w:val="22"/>
                <w:lang w:val="sr-Cyrl-RS" w:eastAsia="en-GB"/>
              </w:rPr>
              <w:t xml:space="preserve">прибавља се као доказ за </w:t>
            </w:r>
            <w:r w:rsidR="00793B55" w:rsidRPr="0042640C">
              <w:rPr>
                <w:rFonts w:ascii="Times New Roman" w:hAnsi="Times New Roman"/>
                <w:noProof/>
                <w:sz w:val="22"/>
                <w:szCs w:val="22"/>
                <w:lang w:val="sr-Cyrl-RS" w:eastAsia="en-GB"/>
              </w:rPr>
              <w:t xml:space="preserve">податке о правном лицу које подноси захтев  да се упише као власник брода у уписник. </w:t>
            </w:r>
          </w:p>
          <w:p w14:paraId="6B8F587A" w14:textId="77777777" w:rsidR="00A05798" w:rsidRPr="0042640C" w:rsidRDefault="00A05798" w:rsidP="00A05798">
            <w:pPr>
              <w:shd w:val="clear" w:color="auto" w:fill="FFFFFF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ME"/>
              </w:rPr>
            </w:pPr>
            <w:r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75423F2C" w14:textId="19C37B3B" w:rsidR="00A05798" w:rsidRPr="0042640C" w:rsidRDefault="00A05798" w:rsidP="00A05798">
            <w:pPr>
              <w:shd w:val="clear" w:color="auto" w:fill="FFFFFF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ME"/>
              </w:rPr>
            </w:pPr>
            <w:r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ME"/>
              </w:rPr>
              <w:t xml:space="preserve">Предлаже се прибављање података по службеној дужности које је могуће спровести </w:t>
            </w:r>
            <w:r w:rsidR="00793B55"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ME"/>
              </w:rPr>
              <w:t>на следећи начин</w:t>
            </w:r>
            <w:r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ME"/>
              </w:rPr>
              <w:t>:</w:t>
            </w:r>
          </w:p>
          <w:p w14:paraId="097E68C2" w14:textId="77777777" w:rsidR="00A05798" w:rsidRPr="0042640C" w:rsidRDefault="00A05798" w:rsidP="00A05798">
            <w:pPr>
              <w:shd w:val="clear" w:color="auto" w:fill="FFFFFF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ME"/>
              </w:rPr>
            </w:pPr>
            <w:r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0C3ED455" w14:textId="7F5982FD" w:rsidR="00A05798" w:rsidRPr="0042640C" w:rsidRDefault="00793B55" w:rsidP="00793B55">
            <w:pPr>
              <w:numPr>
                <w:ilvl w:val="0"/>
                <w:numId w:val="29"/>
              </w:numPr>
              <w:shd w:val="clear" w:color="auto" w:fill="FFFFFF"/>
              <w:contextualSpacing/>
              <w:jc w:val="left"/>
              <w:rPr>
                <w:rFonts w:ascii="Times New Roman" w:eastAsia="Times New Roman" w:hAnsi="Times New Roman"/>
                <w:noProof/>
                <w:color w:val="000000"/>
                <w:sz w:val="22"/>
                <w:szCs w:val="22"/>
                <w:lang w:val="sr-Cyrl-RS" w:eastAsia="sr-Latn-ME"/>
              </w:rPr>
            </w:pPr>
            <w:r w:rsidRPr="0042640C">
              <w:rPr>
                <w:rFonts w:ascii="Times New Roman" w:eastAsia="Times New Roman" w:hAnsi="Times New Roman"/>
                <w:noProof/>
                <w:color w:val="000000"/>
                <w:sz w:val="22"/>
                <w:szCs w:val="22"/>
                <w:lang w:val="sr-Cyrl-RS" w:eastAsia="sr-Latn-ME"/>
              </w:rPr>
              <w:t>Увидом у јавни регистар Агенције за привредне регистре на сајту органа</w:t>
            </w:r>
          </w:p>
          <w:p w14:paraId="1FA9ACD8" w14:textId="28032F5A" w:rsidR="00A05798" w:rsidRPr="0042640C" w:rsidRDefault="00A05798" w:rsidP="00A05798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 w:eastAsia="en-GB"/>
              </w:rPr>
            </w:pPr>
          </w:p>
          <w:p w14:paraId="4B58AD6A" w14:textId="77777777" w:rsidR="00A05798" w:rsidRPr="0042640C" w:rsidRDefault="00A05798" w:rsidP="00A05798">
            <w:pPr>
              <w:shd w:val="clear" w:color="auto" w:fill="FFFFFF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</w:pPr>
          </w:p>
          <w:p w14:paraId="24019845" w14:textId="6DE097A5" w:rsidR="00A05798" w:rsidRPr="0042640C" w:rsidRDefault="00A05798" w:rsidP="00A05798">
            <w:pPr>
              <w:shd w:val="clear" w:color="auto" w:fill="FFFFFF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</w:pPr>
            <w:r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  <w:t>Како би се ово омогућило, потребно је од подносиоца захтева затражити следеће неопходне информације:</w:t>
            </w:r>
            <w:r w:rsidR="00793B55"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  <w:t xml:space="preserve"> назив и седиште правног лица/подносиоца захтева, матични број правног лица.</w:t>
            </w:r>
          </w:p>
          <w:p w14:paraId="5C26778C" w14:textId="4AC51132" w:rsidR="008C3A73" w:rsidRPr="0042640C" w:rsidRDefault="008C3A73" w:rsidP="00A05798">
            <w:pPr>
              <w:shd w:val="clear" w:color="auto" w:fill="FFFFFF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</w:pPr>
          </w:p>
          <w:p w14:paraId="0531951E" w14:textId="0323D28C" w:rsidR="008C3A73" w:rsidRDefault="008C3A73" w:rsidP="00A05798">
            <w:pPr>
              <w:shd w:val="clear" w:color="auto" w:fill="FFFFFF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</w:pPr>
            <w:r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  <w:t xml:space="preserve">Наведени документи број </w:t>
            </w:r>
            <w:r w:rsidR="000A446D"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  <w:t>4, 5</w:t>
            </w:r>
            <w:r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  <w:t xml:space="preserve"> и  </w:t>
            </w:r>
            <w:r w:rsidR="000A446D"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  <w:t>6</w:t>
            </w:r>
            <w:r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  <w:t xml:space="preserve"> прибављају се као доказ да брод испуњава техничке захтеве прописане техничким правилима. У питању су документа која пре отпочињања овог поступка већ поседује Управа за утврђивање способности бродова за пловидбу, која ради у оквиру министарства грађевинарства, саобраћаја и инфраструктуре, и самим тим орган је у обавези да примењује ЗОУП и податке потребне за одлучивање прибави директно од </w:t>
            </w:r>
            <w:r w:rsidR="003942CE"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  <w:t>Управе за утврђивање способности бродова за пловидбу</w:t>
            </w:r>
            <w:r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  <w:t>, надлежног за вођење службене евиденције, било конвенционалном директном комуникацијом било електронским путем. 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сервиса, али до приступања наведеном сервису, орган може да прибави тражене податке и путем мејла.</w:t>
            </w:r>
          </w:p>
          <w:p w14:paraId="1051012E" w14:textId="0EA6FDA9" w:rsidR="00493EA2" w:rsidRDefault="00493EA2" w:rsidP="00A05798">
            <w:pPr>
              <w:shd w:val="clear" w:color="auto" w:fill="FFFFFF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</w:pPr>
          </w:p>
          <w:p w14:paraId="375DEC80" w14:textId="5BB04656" w:rsidR="00493EA2" w:rsidRPr="0042640C" w:rsidRDefault="00493EA2" w:rsidP="00A05798">
            <w:pPr>
              <w:shd w:val="clear" w:color="auto" w:fill="FFFFFF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  <w:t>Документ број 3 издаје само м</w:t>
            </w:r>
            <w:r w:rsidRPr="00493EA2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  <w:t>инистарство грађевинарства, саобраћаја и инфраструктуре</w:t>
            </w: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  <w:t>, па ће убудуће бити прибављан по службеној дужности.</w:t>
            </w:r>
          </w:p>
          <w:p w14:paraId="21C9E705" w14:textId="59B07405" w:rsidR="003942CE" w:rsidRPr="0042640C" w:rsidRDefault="003942CE" w:rsidP="00A05798">
            <w:pPr>
              <w:shd w:val="clear" w:color="auto" w:fill="FFFFFF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</w:pPr>
          </w:p>
          <w:p w14:paraId="10B41F4F" w14:textId="60639AF6" w:rsidR="003942CE" w:rsidRPr="0042640C" w:rsidRDefault="003942CE" w:rsidP="003942CE">
            <w:pPr>
              <w:shd w:val="clear" w:color="auto" w:fill="FFFFFF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</w:pPr>
            <w:r w:rsidRPr="0042640C"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en-GB"/>
              </w:rPr>
              <w:t xml:space="preserve">Како би се ово омогућило, потребно је од подносиоца захтева затражити следеће неопходне информације: подаци о броду (име, ЕНИ број), подаци о техничким спецификацијама брода. </w:t>
            </w:r>
          </w:p>
          <w:p w14:paraId="6696631E" w14:textId="21303845" w:rsidR="00CA05F9" w:rsidRDefault="00CA05F9" w:rsidP="00A05798">
            <w:pPr>
              <w:rPr>
                <w:rFonts w:ascii="Times New Roman" w:eastAsia="Times New Roman" w:hAnsi="Times New Roman"/>
                <w:b/>
                <w:i/>
                <w:noProof/>
                <w:color w:val="FF0000"/>
                <w:sz w:val="24"/>
                <w:szCs w:val="24"/>
                <w:lang w:val="sr-Cyrl-RS"/>
              </w:rPr>
            </w:pPr>
          </w:p>
          <w:p w14:paraId="64B36FA4" w14:textId="77777777" w:rsidR="004E1828" w:rsidRDefault="004E1828" w:rsidP="004E1828">
            <w:pPr>
              <w:rPr>
                <w:rFonts w:ascii="Times New Roman" w:hAnsi="Times New Roman"/>
                <w:b/>
                <w:i/>
                <w:sz w:val="22"/>
                <w:lang w:val="ru-RU" w:eastAsia="en-GB"/>
              </w:rPr>
            </w:pPr>
            <w:r w:rsidRPr="006A4CEE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 xml:space="preserve">За примену ове препоруке, није </w:t>
            </w:r>
            <w:r w:rsidRPr="006A4CEE">
              <w:rPr>
                <w:rFonts w:ascii="Times New Roman" w:hAnsi="Times New Roman"/>
                <w:b/>
                <w:i/>
                <w:color w:val="000000"/>
                <w:sz w:val="22"/>
                <w:lang w:val="sr-Cyrl-RS" w:eastAsia="en-GB"/>
              </w:rPr>
              <w:t xml:space="preserve">потребна </w:t>
            </w:r>
            <w:r w:rsidRPr="006A4CEE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>измена прописа.</w:t>
            </w:r>
          </w:p>
          <w:p w14:paraId="3EAB4AF8" w14:textId="7C2F997C" w:rsidR="00A05798" w:rsidRPr="0042640C" w:rsidRDefault="00A05798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</w:tc>
      </w:tr>
      <w:tr w:rsidR="00CA1CE9" w:rsidRPr="0042640C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42640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lang w:val="sr-Cyrl-RS"/>
              </w:rPr>
            </w:pPr>
            <w:r w:rsidRPr="0042640C">
              <w:rPr>
                <w:b/>
                <w:noProof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42640C" w14:paraId="077D3505" w14:textId="77777777" w:rsidTr="004E1828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9763933" w14:textId="0C03315F" w:rsidR="000A446D" w:rsidRPr="0042640C" w:rsidRDefault="004E1828" w:rsidP="004E1828">
            <w:pPr>
              <w:contextualSpacing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  <w:r w:rsidRPr="00471247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За примену препорука није потребна измена прописа.</w:t>
            </w:r>
          </w:p>
        </w:tc>
      </w:tr>
      <w:tr w:rsidR="00CA1CE9" w:rsidRPr="0042640C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42640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2640C">
              <w:rPr>
                <w:b/>
                <w:noProof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42640C" w14:paraId="3C4DDA6A" w14:textId="77777777" w:rsidTr="004E1828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06ADFF" w14:textId="7FA929F4" w:rsidR="00CA1CE9" w:rsidRPr="0042640C" w:rsidRDefault="004E1828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  <w:r w:rsidRPr="00471247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За примену препорука није потребна измена прописа.</w:t>
            </w:r>
          </w:p>
        </w:tc>
      </w:tr>
      <w:tr w:rsidR="00CA1CE9" w:rsidRPr="0042640C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42640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2640C">
              <w:rPr>
                <w:b/>
                <w:noProof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42640C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C8A760D" w14:textId="77777777" w:rsidR="00CA1CE9" w:rsidRPr="0042640C" w:rsidRDefault="00CA1CE9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  <w:p w14:paraId="32468152" w14:textId="1D10879B" w:rsidR="00C345DC" w:rsidRDefault="00B2192B" w:rsidP="00B2192B">
            <w:pP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  <w:r w:rsidRPr="00B2192B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1.267.167,57 РСД. Усвајање и примена препорука ће донети привредним субјектима годишње директне уштеде од 31.960,41 РСД или 262,79 ЕУР. Ове уштеде износе 2,52 %укупних директних трошкова п</w:t>
            </w:r>
            <w: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ривредних субјеката у поступку.</w:t>
            </w:r>
          </w:p>
          <w:p w14:paraId="1E2EFD0F" w14:textId="531EA518" w:rsidR="00B2192B" w:rsidRDefault="00B2192B" w:rsidP="00B2192B">
            <w:pP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</w:p>
          <w:p w14:paraId="3E63E443" w14:textId="5CBB5216" w:rsidR="00C345DC" w:rsidRPr="0042640C" w:rsidRDefault="00B2192B" w:rsidP="00B2192B">
            <w:pP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  <w:r w:rsidRPr="00B2192B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 xml:space="preserve">Препоруке ће допринети истоветности поступања, транспарентности поступка, поједностављењу </w:t>
            </w:r>
            <w: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поступка за привредне субјекте и смањењу документациј</w:t>
            </w:r>
            <w:r w:rsidRPr="00B2192B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. Препорукама се такође утиче на</w:t>
            </w:r>
            <w: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322BEB21" w14:textId="77777777" w:rsidR="00C345DC" w:rsidRPr="0042640C" w:rsidRDefault="00C345DC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  <w:p w14:paraId="331CCBA4" w14:textId="6BBC4EE7" w:rsidR="00C345DC" w:rsidRPr="0042640C" w:rsidRDefault="00C345DC" w:rsidP="00DB19B9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42640C" w:rsidRDefault="003E3C16" w:rsidP="003E3C16">
      <w:pPr>
        <w:rPr>
          <w:rFonts w:ascii="Times New Roman" w:eastAsia="Times New Roman" w:hAnsi="Times New Roman"/>
          <w:noProof/>
          <w:sz w:val="24"/>
          <w:szCs w:val="24"/>
          <w:lang w:val="sr-Cyrl-RS"/>
        </w:rPr>
      </w:pPr>
    </w:p>
    <w:sectPr w:rsidR="003E3C16" w:rsidRPr="0042640C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0E2C0" w14:textId="77777777" w:rsidR="005D4891" w:rsidRDefault="005D4891" w:rsidP="002A202F">
      <w:r>
        <w:separator/>
      </w:r>
    </w:p>
  </w:endnote>
  <w:endnote w:type="continuationSeparator" w:id="0">
    <w:p w14:paraId="58CD56B7" w14:textId="77777777" w:rsidR="005D4891" w:rsidRDefault="005D489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1CDD6D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4A1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6FDF1" w14:textId="77777777" w:rsidR="005D4891" w:rsidRDefault="005D4891" w:rsidP="002A202F">
      <w:r>
        <w:separator/>
      </w:r>
    </w:p>
  </w:footnote>
  <w:footnote w:type="continuationSeparator" w:id="0">
    <w:p w14:paraId="35A39381" w14:textId="77777777" w:rsidR="005D4891" w:rsidRDefault="005D489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41C46"/>
    <w:multiLevelType w:val="hybridMultilevel"/>
    <w:tmpl w:val="BD4EF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C2B1E"/>
    <w:multiLevelType w:val="hybridMultilevel"/>
    <w:tmpl w:val="F9F6F37A"/>
    <w:lvl w:ilvl="0" w:tplc="3EBAC224">
      <w:start w:val="1"/>
      <w:numFmt w:val="decimal"/>
      <w:lvlText w:val="%1."/>
      <w:lvlJc w:val="left"/>
      <w:pPr>
        <w:ind w:left="1051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</w:lvl>
    <w:lvl w:ilvl="3" w:tplc="0409000F" w:tentative="1">
      <w:start w:val="1"/>
      <w:numFmt w:val="decimal"/>
      <w:lvlText w:val="%4."/>
      <w:lvlJc w:val="left"/>
      <w:pPr>
        <w:ind w:left="3211" w:hanging="360"/>
      </w:p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</w:lvl>
    <w:lvl w:ilvl="6" w:tplc="0409000F" w:tentative="1">
      <w:start w:val="1"/>
      <w:numFmt w:val="decimal"/>
      <w:lvlText w:val="%7."/>
      <w:lvlJc w:val="left"/>
      <w:pPr>
        <w:ind w:left="5371" w:hanging="360"/>
      </w:p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1E183AB3"/>
    <w:multiLevelType w:val="hybridMultilevel"/>
    <w:tmpl w:val="7206B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A49E3"/>
    <w:multiLevelType w:val="hybridMultilevel"/>
    <w:tmpl w:val="8810496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51A2E16"/>
    <w:multiLevelType w:val="hybridMultilevel"/>
    <w:tmpl w:val="56BAA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B3B58"/>
    <w:multiLevelType w:val="hybridMultilevel"/>
    <w:tmpl w:val="DE74A660"/>
    <w:lvl w:ilvl="0" w:tplc="0409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30ED0"/>
    <w:multiLevelType w:val="hybridMultilevel"/>
    <w:tmpl w:val="C2C8EFC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7"/>
  </w:num>
  <w:num w:numId="5">
    <w:abstractNumId w:val="3"/>
  </w:num>
  <w:num w:numId="6">
    <w:abstractNumId w:val="17"/>
  </w:num>
  <w:num w:numId="7">
    <w:abstractNumId w:val="29"/>
  </w:num>
  <w:num w:numId="8">
    <w:abstractNumId w:val="14"/>
  </w:num>
  <w:num w:numId="9">
    <w:abstractNumId w:val="27"/>
  </w:num>
  <w:num w:numId="10">
    <w:abstractNumId w:val="25"/>
  </w:num>
  <w:num w:numId="11">
    <w:abstractNumId w:val="24"/>
  </w:num>
  <w:num w:numId="12">
    <w:abstractNumId w:val="23"/>
  </w:num>
  <w:num w:numId="13">
    <w:abstractNumId w:val="20"/>
  </w:num>
  <w:num w:numId="14">
    <w:abstractNumId w:val="26"/>
  </w:num>
  <w:num w:numId="15">
    <w:abstractNumId w:val="22"/>
  </w:num>
  <w:num w:numId="16">
    <w:abstractNumId w:val="15"/>
  </w:num>
  <w:num w:numId="17">
    <w:abstractNumId w:val="13"/>
  </w:num>
  <w:num w:numId="18">
    <w:abstractNumId w:val="28"/>
  </w:num>
  <w:num w:numId="19">
    <w:abstractNumId w:val="8"/>
  </w:num>
  <w:num w:numId="20">
    <w:abstractNumId w:val="31"/>
  </w:num>
  <w:num w:numId="21">
    <w:abstractNumId w:val="10"/>
  </w:num>
  <w:num w:numId="22">
    <w:abstractNumId w:val="6"/>
  </w:num>
  <w:num w:numId="23">
    <w:abstractNumId w:val="21"/>
  </w:num>
  <w:num w:numId="24">
    <w:abstractNumId w:val="2"/>
  </w:num>
  <w:num w:numId="25">
    <w:abstractNumId w:val="30"/>
  </w:num>
  <w:num w:numId="26">
    <w:abstractNumId w:val="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6"/>
  </w:num>
  <w:num w:numId="30">
    <w:abstractNumId w:val="9"/>
  </w:num>
  <w:num w:numId="31">
    <w:abstractNumId w:val="0"/>
  </w:num>
  <w:num w:numId="32">
    <w:abstractNumId w:val="1"/>
  </w:num>
  <w:num w:numId="33">
    <w:abstractNumId w:val="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057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0FB0"/>
    <w:rsid w:val="00083993"/>
    <w:rsid w:val="00092B84"/>
    <w:rsid w:val="0009542A"/>
    <w:rsid w:val="000A446D"/>
    <w:rsid w:val="000A53F3"/>
    <w:rsid w:val="000A5CDC"/>
    <w:rsid w:val="000B54D7"/>
    <w:rsid w:val="000C65B9"/>
    <w:rsid w:val="000D5029"/>
    <w:rsid w:val="000E2036"/>
    <w:rsid w:val="000F066C"/>
    <w:rsid w:val="000F5E72"/>
    <w:rsid w:val="00101CBE"/>
    <w:rsid w:val="00103444"/>
    <w:rsid w:val="001156BA"/>
    <w:rsid w:val="00125883"/>
    <w:rsid w:val="001358F5"/>
    <w:rsid w:val="0015182D"/>
    <w:rsid w:val="00161847"/>
    <w:rsid w:val="00170CA7"/>
    <w:rsid w:val="001711C5"/>
    <w:rsid w:val="00173247"/>
    <w:rsid w:val="00184878"/>
    <w:rsid w:val="001A023F"/>
    <w:rsid w:val="001A3FAC"/>
    <w:rsid w:val="001A6472"/>
    <w:rsid w:val="001B55D2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323AC"/>
    <w:rsid w:val="002542D8"/>
    <w:rsid w:val="00261404"/>
    <w:rsid w:val="00261BDC"/>
    <w:rsid w:val="002673B0"/>
    <w:rsid w:val="00275E2A"/>
    <w:rsid w:val="00296938"/>
    <w:rsid w:val="002A202F"/>
    <w:rsid w:val="002B19B4"/>
    <w:rsid w:val="002C74E5"/>
    <w:rsid w:val="002E70E1"/>
    <w:rsid w:val="002F1BEC"/>
    <w:rsid w:val="002F1FD5"/>
    <w:rsid w:val="002F4757"/>
    <w:rsid w:val="00315A8F"/>
    <w:rsid w:val="00322199"/>
    <w:rsid w:val="003223C7"/>
    <w:rsid w:val="00326555"/>
    <w:rsid w:val="00336C25"/>
    <w:rsid w:val="003410E0"/>
    <w:rsid w:val="00343BDC"/>
    <w:rsid w:val="00350EAD"/>
    <w:rsid w:val="003651DB"/>
    <w:rsid w:val="003715A0"/>
    <w:rsid w:val="0037171F"/>
    <w:rsid w:val="00376FD1"/>
    <w:rsid w:val="00384D12"/>
    <w:rsid w:val="0039002C"/>
    <w:rsid w:val="003942CE"/>
    <w:rsid w:val="003B44DB"/>
    <w:rsid w:val="003B4BC9"/>
    <w:rsid w:val="003B6298"/>
    <w:rsid w:val="003C7763"/>
    <w:rsid w:val="003E2EB1"/>
    <w:rsid w:val="003E3C16"/>
    <w:rsid w:val="00407D96"/>
    <w:rsid w:val="0041330A"/>
    <w:rsid w:val="00424FB3"/>
    <w:rsid w:val="0042640C"/>
    <w:rsid w:val="00432495"/>
    <w:rsid w:val="00444DA7"/>
    <w:rsid w:val="00457882"/>
    <w:rsid w:val="00463CC7"/>
    <w:rsid w:val="00466F65"/>
    <w:rsid w:val="004809C4"/>
    <w:rsid w:val="0048433C"/>
    <w:rsid w:val="004847B1"/>
    <w:rsid w:val="00493EA2"/>
    <w:rsid w:val="0049436B"/>
    <w:rsid w:val="0049545B"/>
    <w:rsid w:val="004D3BD0"/>
    <w:rsid w:val="004D45B1"/>
    <w:rsid w:val="004D68A7"/>
    <w:rsid w:val="004E1828"/>
    <w:rsid w:val="004E29D1"/>
    <w:rsid w:val="004F64B9"/>
    <w:rsid w:val="00500566"/>
    <w:rsid w:val="005073A3"/>
    <w:rsid w:val="00513FD3"/>
    <w:rsid w:val="00523608"/>
    <w:rsid w:val="00525C0A"/>
    <w:rsid w:val="00535608"/>
    <w:rsid w:val="00536390"/>
    <w:rsid w:val="00546DC6"/>
    <w:rsid w:val="00556688"/>
    <w:rsid w:val="0056162B"/>
    <w:rsid w:val="0056707B"/>
    <w:rsid w:val="00581A9D"/>
    <w:rsid w:val="00586E1E"/>
    <w:rsid w:val="005A2503"/>
    <w:rsid w:val="005B073D"/>
    <w:rsid w:val="005B0C08"/>
    <w:rsid w:val="005B3CC7"/>
    <w:rsid w:val="005B4F04"/>
    <w:rsid w:val="005B7CB9"/>
    <w:rsid w:val="005D0023"/>
    <w:rsid w:val="005D4891"/>
    <w:rsid w:val="005E21C4"/>
    <w:rsid w:val="005F4D59"/>
    <w:rsid w:val="0060001C"/>
    <w:rsid w:val="00600D31"/>
    <w:rsid w:val="0060786A"/>
    <w:rsid w:val="00611C90"/>
    <w:rsid w:val="006237FE"/>
    <w:rsid w:val="00625C23"/>
    <w:rsid w:val="0062658D"/>
    <w:rsid w:val="00627AF7"/>
    <w:rsid w:val="00632540"/>
    <w:rsid w:val="00633F73"/>
    <w:rsid w:val="00642D2B"/>
    <w:rsid w:val="00645199"/>
    <w:rsid w:val="00645850"/>
    <w:rsid w:val="00661ECF"/>
    <w:rsid w:val="00663AFF"/>
    <w:rsid w:val="00673927"/>
    <w:rsid w:val="00690B6D"/>
    <w:rsid w:val="00692071"/>
    <w:rsid w:val="00694B28"/>
    <w:rsid w:val="006C2F5B"/>
    <w:rsid w:val="006C5349"/>
    <w:rsid w:val="006C5F2A"/>
    <w:rsid w:val="006C662C"/>
    <w:rsid w:val="006D7C57"/>
    <w:rsid w:val="006F4A5C"/>
    <w:rsid w:val="00715F5C"/>
    <w:rsid w:val="00726EC9"/>
    <w:rsid w:val="007278C1"/>
    <w:rsid w:val="00733493"/>
    <w:rsid w:val="00737F1D"/>
    <w:rsid w:val="007445A6"/>
    <w:rsid w:val="0076599B"/>
    <w:rsid w:val="00782816"/>
    <w:rsid w:val="00785A46"/>
    <w:rsid w:val="007861E3"/>
    <w:rsid w:val="00793B55"/>
    <w:rsid w:val="007940D6"/>
    <w:rsid w:val="007B1740"/>
    <w:rsid w:val="007C305A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86C36"/>
    <w:rsid w:val="008A6AC8"/>
    <w:rsid w:val="008C155B"/>
    <w:rsid w:val="008C3A73"/>
    <w:rsid w:val="008C5591"/>
    <w:rsid w:val="008D04A6"/>
    <w:rsid w:val="008D4C1A"/>
    <w:rsid w:val="008E5090"/>
    <w:rsid w:val="008F0867"/>
    <w:rsid w:val="008F172F"/>
    <w:rsid w:val="008F1CAC"/>
    <w:rsid w:val="008F2044"/>
    <w:rsid w:val="008F2BE1"/>
    <w:rsid w:val="008F4DD1"/>
    <w:rsid w:val="009056DB"/>
    <w:rsid w:val="009470D3"/>
    <w:rsid w:val="00947592"/>
    <w:rsid w:val="00950280"/>
    <w:rsid w:val="00960BA6"/>
    <w:rsid w:val="00991A18"/>
    <w:rsid w:val="00994A16"/>
    <w:rsid w:val="009A30D3"/>
    <w:rsid w:val="009D03A7"/>
    <w:rsid w:val="009E0479"/>
    <w:rsid w:val="00A0102E"/>
    <w:rsid w:val="00A018EA"/>
    <w:rsid w:val="00A02F2F"/>
    <w:rsid w:val="00A05798"/>
    <w:rsid w:val="00A06B30"/>
    <w:rsid w:val="00A12960"/>
    <w:rsid w:val="00A1570D"/>
    <w:rsid w:val="00A22386"/>
    <w:rsid w:val="00A52557"/>
    <w:rsid w:val="00A56B75"/>
    <w:rsid w:val="00A62BC8"/>
    <w:rsid w:val="00A71C04"/>
    <w:rsid w:val="00A74A15"/>
    <w:rsid w:val="00A85E68"/>
    <w:rsid w:val="00AA0017"/>
    <w:rsid w:val="00AA4BC5"/>
    <w:rsid w:val="00AB09B3"/>
    <w:rsid w:val="00AB5A82"/>
    <w:rsid w:val="00AC02D1"/>
    <w:rsid w:val="00B06019"/>
    <w:rsid w:val="00B07409"/>
    <w:rsid w:val="00B1006E"/>
    <w:rsid w:val="00B178FB"/>
    <w:rsid w:val="00B2192B"/>
    <w:rsid w:val="00B23325"/>
    <w:rsid w:val="00B40A06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0F27"/>
    <w:rsid w:val="00BC6826"/>
    <w:rsid w:val="00C0295C"/>
    <w:rsid w:val="00C03C06"/>
    <w:rsid w:val="00C121EC"/>
    <w:rsid w:val="00C12C65"/>
    <w:rsid w:val="00C345DC"/>
    <w:rsid w:val="00C445E2"/>
    <w:rsid w:val="00C44F0C"/>
    <w:rsid w:val="00C50606"/>
    <w:rsid w:val="00C70F1B"/>
    <w:rsid w:val="00C7129D"/>
    <w:rsid w:val="00C748D1"/>
    <w:rsid w:val="00C81925"/>
    <w:rsid w:val="00C904A8"/>
    <w:rsid w:val="00C91014"/>
    <w:rsid w:val="00C9486F"/>
    <w:rsid w:val="00CA05F9"/>
    <w:rsid w:val="00CA1CE9"/>
    <w:rsid w:val="00CB1A4E"/>
    <w:rsid w:val="00CC29F6"/>
    <w:rsid w:val="00CD2287"/>
    <w:rsid w:val="00CD5BBB"/>
    <w:rsid w:val="00CE0685"/>
    <w:rsid w:val="00CE371F"/>
    <w:rsid w:val="00CF1CE0"/>
    <w:rsid w:val="00D37EA5"/>
    <w:rsid w:val="00D43C2F"/>
    <w:rsid w:val="00D479E3"/>
    <w:rsid w:val="00D5079E"/>
    <w:rsid w:val="00D73628"/>
    <w:rsid w:val="00D73918"/>
    <w:rsid w:val="00D80C88"/>
    <w:rsid w:val="00D967D7"/>
    <w:rsid w:val="00DA125D"/>
    <w:rsid w:val="00DB19B9"/>
    <w:rsid w:val="00DC4BC2"/>
    <w:rsid w:val="00DE057D"/>
    <w:rsid w:val="00DE6ACE"/>
    <w:rsid w:val="00DF27EE"/>
    <w:rsid w:val="00E0020F"/>
    <w:rsid w:val="00E0288C"/>
    <w:rsid w:val="00E118C7"/>
    <w:rsid w:val="00E1427B"/>
    <w:rsid w:val="00E14E0D"/>
    <w:rsid w:val="00E15487"/>
    <w:rsid w:val="00E2143C"/>
    <w:rsid w:val="00E22B8B"/>
    <w:rsid w:val="00E317D1"/>
    <w:rsid w:val="00E40DF0"/>
    <w:rsid w:val="00E4267B"/>
    <w:rsid w:val="00E441A4"/>
    <w:rsid w:val="00E47DAC"/>
    <w:rsid w:val="00E5208D"/>
    <w:rsid w:val="00E63C8A"/>
    <w:rsid w:val="00E70BF6"/>
    <w:rsid w:val="00E734E2"/>
    <w:rsid w:val="00EB4173"/>
    <w:rsid w:val="00EE42F7"/>
    <w:rsid w:val="00EE661F"/>
    <w:rsid w:val="00F11C98"/>
    <w:rsid w:val="00F12E47"/>
    <w:rsid w:val="00F223B2"/>
    <w:rsid w:val="00F24C2B"/>
    <w:rsid w:val="00F53241"/>
    <w:rsid w:val="00F54FBE"/>
    <w:rsid w:val="00F67790"/>
    <w:rsid w:val="00FB1A1B"/>
    <w:rsid w:val="00FB645B"/>
    <w:rsid w:val="00FC09D6"/>
    <w:rsid w:val="00FC34EC"/>
    <w:rsid w:val="00FC3F69"/>
    <w:rsid w:val="00FC5312"/>
    <w:rsid w:val="00FD3964"/>
    <w:rsid w:val="00FD3C4A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2CE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526CD-5DCD-4857-A758-CDCEBFDE3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14</cp:revision>
  <cp:lastPrinted>2019-12-03T10:10:00Z</cp:lastPrinted>
  <dcterms:created xsi:type="dcterms:W3CDTF">2020-01-16T11:58:00Z</dcterms:created>
  <dcterms:modified xsi:type="dcterms:W3CDTF">2020-05-18T08:43:00Z</dcterms:modified>
</cp:coreProperties>
</file>