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E5AF0" w14:textId="17A72666" w:rsidR="000E2036" w:rsidRPr="00DB19B9" w:rsidRDefault="00CA0E7D" w:rsidP="000E2036">
      <w:pPr>
        <w:pStyle w:val="NormalWeb"/>
        <w:spacing w:before="0" w:beforeAutospacing="0" w:after="0" w:afterAutospacing="0" w:line="336" w:lineRule="atLeast"/>
        <w:jc w:val="center"/>
        <w:rPr>
          <w:b/>
          <w:szCs w:val="22"/>
          <w:lang w:val="sr-Cyrl-RS"/>
        </w:rPr>
      </w:pPr>
      <w:r>
        <w:rPr>
          <w:b/>
          <w:szCs w:val="22"/>
          <w:lang w:val="sr-Cyrl-RS"/>
        </w:rPr>
        <w:t>ПОЈЕДНОСТАВЉЕЊЕ ПОСТУПКА ДОЗВОЛА ЗА БЕСПЛАТАН ПРЕВОЗ АУТОПУТЕВИМА</w:t>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jc w:val="center"/>
        <w:tblLook w:val="04A0" w:firstRow="1" w:lastRow="0" w:firstColumn="1" w:lastColumn="0" w:noHBand="0" w:noVBand="1"/>
      </w:tblPr>
      <w:tblGrid>
        <w:gridCol w:w="2689"/>
        <w:gridCol w:w="6371"/>
      </w:tblGrid>
      <w:tr w:rsidR="00850AD5" w:rsidRPr="00DB19B9" w14:paraId="1976FB87" w14:textId="77777777" w:rsidTr="005640C8">
        <w:trPr>
          <w:trHeight w:val="888"/>
          <w:jc w:val="center"/>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1665E99E" w:rsidR="000E2036" w:rsidRPr="00DB19B9" w:rsidRDefault="00B11FF8" w:rsidP="00850AD5">
            <w:pPr>
              <w:pStyle w:val="NormalWeb"/>
              <w:spacing w:before="120" w:beforeAutospacing="0" w:after="120" w:afterAutospacing="0"/>
              <w:rPr>
                <w:b/>
                <w:sz w:val="22"/>
                <w:szCs w:val="22"/>
                <w:lang w:val="sr-Cyrl-RS"/>
              </w:rPr>
            </w:pPr>
            <w:r w:rsidRPr="00A9782E">
              <w:rPr>
                <w:b/>
                <w:bCs/>
                <w:sz w:val="22"/>
                <w:szCs w:val="22"/>
                <w:lang w:val="sr-Cyrl-RS"/>
              </w:rPr>
              <w:t>Дозвола за бесплатан пролаз аутопутевима</w:t>
            </w:r>
          </w:p>
        </w:tc>
      </w:tr>
      <w:tr w:rsidR="00850AD5" w:rsidRPr="00DB19B9" w14:paraId="7A6AA442" w14:textId="77777777" w:rsidTr="005640C8">
        <w:trPr>
          <w:trHeight w:val="418"/>
          <w:jc w:val="center"/>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74472406" w:rsidR="000E2036" w:rsidRPr="00DB19B9" w:rsidRDefault="00B11FF8" w:rsidP="00850AD5">
            <w:pPr>
              <w:pStyle w:val="NormalWeb"/>
              <w:spacing w:before="120" w:beforeAutospacing="0" w:after="120" w:afterAutospacing="0"/>
              <w:rPr>
                <w:b/>
                <w:sz w:val="22"/>
                <w:szCs w:val="22"/>
                <w:lang w:val="sr-Cyrl-RS"/>
              </w:rPr>
            </w:pPr>
            <w:r w:rsidRPr="00A9782E">
              <w:rPr>
                <w:b/>
                <w:bCs/>
                <w:sz w:val="22"/>
                <w:szCs w:val="22"/>
                <w:lang w:val="sr-Cyrl-RS"/>
              </w:rPr>
              <w:t>0</w:t>
            </w:r>
            <w:r w:rsidRPr="00A9782E">
              <w:rPr>
                <w:b/>
                <w:bCs/>
                <w:sz w:val="22"/>
                <w:szCs w:val="22"/>
                <w:lang w:val="sr-Latn-RS"/>
              </w:rPr>
              <w:t>5.08.000</w:t>
            </w:r>
            <w:r w:rsidRPr="00A9782E">
              <w:rPr>
                <w:b/>
                <w:bCs/>
                <w:sz w:val="22"/>
                <w:szCs w:val="22"/>
                <w:lang w:val="sr-Cyrl-RS"/>
              </w:rPr>
              <w:t>6</w:t>
            </w:r>
          </w:p>
        </w:tc>
      </w:tr>
      <w:tr w:rsidR="00850AD5" w:rsidRPr="00DB19B9" w14:paraId="2CEE52A6" w14:textId="77777777" w:rsidTr="005640C8">
        <w:trPr>
          <w:jc w:val="center"/>
        </w:trPr>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72E0CC99" w14:textId="030C07C8" w:rsidR="00B11FF8" w:rsidRDefault="00B11FF8" w:rsidP="00B11FF8">
            <w:pPr>
              <w:pStyle w:val="NormalWeb"/>
              <w:spacing w:before="120" w:beforeAutospacing="0" w:after="120" w:afterAutospacing="0"/>
              <w:rPr>
                <w:sz w:val="22"/>
                <w:szCs w:val="22"/>
                <w:lang w:val="sr-Cyrl-RS"/>
              </w:rPr>
            </w:pPr>
            <w:r w:rsidRPr="007E167C">
              <w:rPr>
                <w:sz w:val="22"/>
                <w:szCs w:val="22"/>
                <w:lang w:val="sr-Cyrl-RS"/>
              </w:rPr>
              <w:t>Министарство грађевинарства, саобраћаја и инфраструктуре</w:t>
            </w:r>
          </w:p>
          <w:p w14:paraId="7F932CDD" w14:textId="7DC5FBEF" w:rsidR="006C46CE" w:rsidRPr="007E167C" w:rsidRDefault="006C46CE" w:rsidP="00B11FF8">
            <w:pPr>
              <w:pStyle w:val="NormalWeb"/>
              <w:spacing w:before="120" w:beforeAutospacing="0" w:after="120" w:afterAutospacing="0"/>
              <w:rPr>
                <w:sz w:val="22"/>
                <w:szCs w:val="22"/>
                <w:lang w:val="sr-Cyrl-RS"/>
              </w:rPr>
            </w:pPr>
            <w:r>
              <w:rPr>
                <w:sz w:val="22"/>
                <w:szCs w:val="22"/>
                <w:lang w:val="sr-Cyrl-RS"/>
              </w:rPr>
              <w:t>Министарство финансија</w:t>
            </w:r>
          </w:p>
          <w:p w14:paraId="5795E7E6" w14:textId="3515F674" w:rsidR="005A4705" w:rsidRPr="00DB19B9" w:rsidRDefault="00B11FF8" w:rsidP="00B11FF8">
            <w:pPr>
              <w:pStyle w:val="NormalWeb"/>
              <w:spacing w:before="120" w:beforeAutospacing="0" w:after="120" w:afterAutospacing="0"/>
              <w:rPr>
                <w:sz w:val="22"/>
                <w:szCs w:val="22"/>
                <w:lang w:val="sr-Cyrl-RS"/>
              </w:rPr>
            </w:pPr>
            <w:r w:rsidRPr="007E167C">
              <w:rPr>
                <w:sz w:val="22"/>
                <w:szCs w:val="22"/>
                <w:lang w:val="sr-Cyrl-RS"/>
              </w:rPr>
              <w:t>ЈП „Путеви Србије“</w:t>
            </w:r>
          </w:p>
        </w:tc>
      </w:tr>
      <w:tr w:rsidR="00850AD5" w:rsidRPr="00DB19B9" w14:paraId="10DA1CD3" w14:textId="77777777" w:rsidTr="005640C8">
        <w:trPr>
          <w:jc w:val="center"/>
        </w:trPr>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2CCB5DCC" w14:textId="48614520" w:rsidR="00ED3BD6" w:rsidRPr="004A759B" w:rsidRDefault="00B11FF8" w:rsidP="004A759B">
            <w:pPr>
              <w:pStyle w:val="ListParagraph"/>
              <w:numPr>
                <w:ilvl w:val="0"/>
                <w:numId w:val="33"/>
              </w:numPr>
              <w:spacing w:before="120" w:after="120"/>
              <w:jc w:val="left"/>
              <w:rPr>
                <w:rFonts w:ascii="Times New Roman" w:hAnsi="Times New Roman"/>
                <w:lang w:val="sr-Cyrl-RS"/>
              </w:rPr>
            </w:pPr>
            <w:r w:rsidRPr="004A759B">
              <w:rPr>
                <w:rFonts w:ascii="Times New Roman" w:hAnsi="Times New Roman"/>
                <w:sz w:val="22"/>
                <w:lang w:val="sr-Cyrl-RS"/>
              </w:rPr>
              <w:t xml:space="preserve">Закон о накнадама за коришћење јавних добара </w:t>
            </w:r>
            <w:r w:rsidR="005640C8" w:rsidRPr="00AD4193">
              <w:rPr>
                <w:rFonts w:ascii="Times New Roman" w:hAnsi="Times New Roman"/>
                <w:bCs/>
                <w:sz w:val="22"/>
                <w:lang w:val="ru-RU"/>
              </w:rPr>
              <w:t>(„Службени гласник РС”</w:t>
            </w:r>
            <w:r w:rsidR="005640C8" w:rsidRPr="000118E1">
              <w:rPr>
                <w:rFonts w:ascii="Times New Roman" w:eastAsia="Times New Roman" w:hAnsi="Times New Roman"/>
                <w:sz w:val="22"/>
                <w:szCs w:val="22"/>
                <w:lang w:val="sr-Cyrl-RS"/>
              </w:rPr>
              <w:t xml:space="preserve">, </w:t>
            </w:r>
            <w:r w:rsidRPr="004A759B">
              <w:rPr>
                <w:rFonts w:ascii="Times New Roman" w:hAnsi="Times New Roman"/>
                <w:sz w:val="22"/>
                <w:lang w:val="sr-Cyrl-RS"/>
              </w:rPr>
              <w:t>бр. 95/18</w:t>
            </w:r>
            <w:r w:rsidR="00F7734C">
              <w:rPr>
                <w:rFonts w:ascii="Times New Roman" w:hAnsi="Times New Roman"/>
                <w:sz w:val="22"/>
                <w:lang w:val="sr-Cyrl-RS"/>
              </w:rPr>
              <w:t>,</w:t>
            </w:r>
            <w:r w:rsidRPr="004A759B">
              <w:rPr>
                <w:rFonts w:ascii="Times New Roman" w:hAnsi="Times New Roman"/>
                <w:sz w:val="22"/>
                <w:lang w:val="sr-Cyrl-RS"/>
              </w:rPr>
              <w:t xml:space="preserve"> 49/19</w:t>
            </w:r>
            <w:r w:rsidR="00F7734C">
              <w:rPr>
                <w:rFonts w:ascii="Times New Roman" w:hAnsi="Times New Roman"/>
                <w:sz w:val="22"/>
                <w:lang w:val="sr-Cyrl-RS"/>
              </w:rPr>
              <w:t xml:space="preserve"> и 86/19 – усклађени дин. изн.</w:t>
            </w:r>
            <w:r w:rsidRPr="004A759B">
              <w:rPr>
                <w:rFonts w:ascii="Times New Roman" w:hAnsi="Times New Roman"/>
                <w:sz w:val="22"/>
                <w:lang w:val="sr-Cyrl-RS"/>
              </w:rPr>
              <w:t>)</w:t>
            </w:r>
          </w:p>
        </w:tc>
      </w:tr>
      <w:tr w:rsidR="00850AD5" w:rsidRPr="00DB19B9" w14:paraId="724CF23D" w14:textId="77777777" w:rsidTr="005640C8">
        <w:trPr>
          <w:jc w:val="center"/>
        </w:trPr>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7ECECA4C" w:rsidR="00D73918" w:rsidRPr="00B235C9" w:rsidRDefault="00B11FF8" w:rsidP="00B235C9">
            <w:pPr>
              <w:pStyle w:val="ListParagraph"/>
              <w:numPr>
                <w:ilvl w:val="0"/>
                <w:numId w:val="26"/>
              </w:numPr>
              <w:spacing w:before="120" w:after="120"/>
              <w:jc w:val="left"/>
              <w:rPr>
                <w:rFonts w:ascii="Times New Roman" w:hAnsi="Times New Roman"/>
                <w:lang w:val="sr-Cyrl-CS"/>
              </w:rPr>
            </w:pPr>
            <w:r w:rsidRPr="00135AE4">
              <w:rPr>
                <w:rFonts w:ascii="Times New Roman" w:hAnsi="Times New Roman"/>
                <w:sz w:val="22"/>
                <w:szCs w:val="22"/>
                <w:lang w:val="sr-Cyrl-RS"/>
              </w:rPr>
              <w:t xml:space="preserve">Потребно је доношење </w:t>
            </w:r>
            <w:r w:rsidR="00C96D01">
              <w:rPr>
                <w:rFonts w:ascii="Times New Roman" w:hAnsi="Times New Roman"/>
                <w:sz w:val="22"/>
                <w:szCs w:val="22"/>
                <w:lang w:val="sr-Cyrl-CS"/>
              </w:rPr>
              <w:t>инструкције за спровођење поступка</w:t>
            </w:r>
          </w:p>
        </w:tc>
      </w:tr>
      <w:tr w:rsidR="00850AD5" w:rsidRPr="00DB19B9" w14:paraId="58812BCA" w14:textId="77777777" w:rsidTr="005640C8">
        <w:trPr>
          <w:jc w:val="center"/>
        </w:trPr>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145E7344" w:rsidR="00804060" w:rsidRPr="00DB19B9" w:rsidRDefault="006153B9" w:rsidP="00850AD5">
            <w:pPr>
              <w:pStyle w:val="NormalWeb"/>
              <w:spacing w:before="120" w:beforeAutospacing="0" w:after="120" w:afterAutospacing="0"/>
              <w:rPr>
                <w:sz w:val="22"/>
                <w:szCs w:val="22"/>
                <w:lang w:val="sr-Cyrl-RS"/>
              </w:rPr>
            </w:pPr>
            <w:r w:rsidRPr="006153B9">
              <w:rPr>
                <w:sz w:val="22"/>
                <w:szCs w:val="22"/>
                <w:lang w:val="sr-Cyrl-RS"/>
              </w:rPr>
              <w:t>Електронско подношење захтева и документације четврти квартал 2021. године, остале активности четврти квартал 2020. године</w:t>
            </w:r>
            <w:bookmarkStart w:id="0" w:name="_GoBack"/>
            <w:bookmarkEnd w:id="0"/>
          </w:p>
        </w:tc>
      </w:tr>
      <w:tr w:rsidR="00275E2A" w:rsidRPr="00DB19B9" w14:paraId="539113B1" w14:textId="77777777" w:rsidTr="005640C8">
        <w:trPr>
          <w:trHeight w:val="409"/>
          <w:jc w:val="center"/>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5640C8">
        <w:trPr>
          <w:jc w:val="center"/>
        </w:trPr>
        <w:tc>
          <w:tcPr>
            <w:tcW w:w="9060" w:type="dxa"/>
            <w:gridSpan w:val="2"/>
          </w:tcPr>
          <w:p w14:paraId="76D98BFE" w14:textId="77777777" w:rsidR="00B862F2" w:rsidRDefault="00B862F2" w:rsidP="00B862F2">
            <w:pPr>
              <w:spacing w:before="120" w:after="120"/>
              <w:rPr>
                <w:rFonts w:ascii="Times New Roman" w:eastAsia="Times New Roman" w:hAnsi="Times New Roman"/>
                <w:sz w:val="22"/>
                <w:szCs w:val="22"/>
                <w:lang w:val="sr-Cyrl-RS"/>
              </w:rPr>
            </w:pPr>
            <w:r w:rsidRPr="007E167C">
              <w:rPr>
                <w:rFonts w:ascii="Times New Roman" w:eastAsia="Times New Roman" w:hAnsi="Times New Roman"/>
                <w:sz w:val="22"/>
                <w:szCs w:val="22"/>
                <w:lang w:val="sr-Cyrl-RS"/>
              </w:rPr>
              <w:t xml:space="preserve">Иако поступак не представља велико административно оптерећење и не ствара велике трошкове привредним друштвима и другим правним лицима, постоји простор за унапређење поступка у контексту прибављања података које издају други јавни органи, по службеној дужности. </w:t>
            </w:r>
          </w:p>
          <w:p w14:paraId="12DC8237" w14:textId="77777777" w:rsidR="00B862F2" w:rsidRPr="007E167C" w:rsidRDefault="00B862F2" w:rsidP="00B862F2">
            <w:pPr>
              <w:spacing w:before="120" w:after="120"/>
              <w:rPr>
                <w:rFonts w:ascii="Times New Roman" w:eastAsia="Times New Roman" w:hAnsi="Times New Roman"/>
                <w:sz w:val="22"/>
                <w:szCs w:val="22"/>
                <w:lang w:val="sr-Cyrl-RS"/>
              </w:rPr>
            </w:pPr>
            <w:r w:rsidRPr="007E167C">
              <w:rPr>
                <w:rFonts w:ascii="Times New Roman" w:eastAsia="Times New Roman" w:hAnsi="Times New Roman"/>
                <w:sz w:val="22"/>
                <w:szCs w:val="22"/>
                <w:lang w:val="sr-Cyrl-RS"/>
              </w:rPr>
              <w:t xml:space="preserve">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14:paraId="5448A7AB" w14:textId="000E7BB6" w:rsidR="009C0CFD" w:rsidRPr="00471247" w:rsidRDefault="009C0CFD" w:rsidP="009C0CFD">
            <w:pPr>
              <w:spacing w:before="120" w:after="120"/>
              <w:rPr>
                <w:rFonts w:ascii="Times New Roman" w:hAnsi="Times New Roman"/>
                <w:noProof/>
                <w:sz w:val="22"/>
                <w:szCs w:val="22"/>
                <w:lang w:val="sr-Cyrl-RS"/>
              </w:rPr>
            </w:pPr>
            <w:r w:rsidRPr="00471247">
              <w:rPr>
                <w:rFonts w:ascii="Times New Roman" w:hAnsi="Times New Roman"/>
                <w:noProof/>
                <w:sz w:val="22"/>
                <w:szCs w:val="22"/>
                <w:lang w:val="sr-Cyrl-RS"/>
              </w:rPr>
              <w:t>Анализом поступка утврђено је да је образац захтева у слободној форми, и да би прописани образац са унапред одређеним елементима допринео лакшем и ефикаснијем поступању у поступку.</w:t>
            </w:r>
            <w:r w:rsidR="007C3071">
              <w:rPr>
                <w:rFonts w:ascii="Times New Roman" w:hAnsi="Times New Roman"/>
                <w:noProof/>
                <w:sz w:val="22"/>
                <w:szCs w:val="22"/>
                <w:lang w:val="sr-Cyrl-RS"/>
              </w:rPr>
              <w:t xml:space="preserve"> </w:t>
            </w:r>
          </w:p>
          <w:p w14:paraId="00F120DA" w14:textId="2ACB8793" w:rsidR="00D60299" w:rsidRDefault="009C0CFD" w:rsidP="006F4A5C">
            <w:pPr>
              <w:spacing w:before="120" w:after="120"/>
              <w:rPr>
                <w:rFonts w:ascii="Times New Roman" w:hAnsi="Times New Roman"/>
                <w:sz w:val="22"/>
                <w:szCs w:val="22"/>
                <w:lang w:val="sr-Cyrl-RS"/>
              </w:rPr>
            </w:pPr>
            <w:r w:rsidRPr="00471247">
              <w:rPr>
                <w:rFonts w:ascii="Times New Roman" w:hAnsi="Times New Roman"/>
                <w:noProof/>
                <w:sz w:val="22"/>
                <w:szCs w:val="22"/>
                <w:lang w:val="sr-Cyrl-RS"/>
              </w:rPr>
              <w:t xml:space="preserve">С обзиром на једноставност поступка и мали број докумената у поступку, изузетно корисно би било </w:t>
            </w:r>
            <w:r>
              <w:rPr>
                <w:rFonts w:ascii="Times New Roman" w:hAnsi="Times New Roman"/>
                <w:noProof/>
                <w:sz w:val="22"/>
                <w:szCs w:val="22"/>
                <w:lang w:val="sr-Cyrl-RS"/>
              </w:rPr>
              <w:t xml:space="preserve">увођење </w:t>
            </w:r>
            <w:r w:rsidRPr="00471247">
              <w:rPr>
                <w:rFonts w:ascii="Times New Roman" w:hAnsi="Times New Roman"/>
                <w:noProof/>
                <w:sz w:val="22"/>
                <w:szCs w:val="22"/>
                <w:lang w:val="sr-Cyrl-RS"/>
              </w:rPr>
              <w:t>Е-управ</w:t>
            </w:r>
            <w:r>
              <w:rPr>
                <w:rFonts w:ascii="Times New Roman" w:hAnsi="Times New Roman"/>
                <w:noProof/>
                <w:sz w:val="22"/>
                <w:szCs w:val="22"/>
                <w:lang w:val="sr-Cyrl-RS"/>
              </w:rPr>
              <w:t>е</w:t>
            </w:r>
            <w:r w:rsidRPr="00471247">
              <w:rPr>
                <w:rFonts w:ascii="Times New Roman" w:hAnsi="Times New Roman"/>
                <w:noProof/>
                <w:sz w:val="22"/>
                <w:szCs w:val="22"/>
                <w:lang w:val="sr-Cyrl-RS"/>
              </w:rPr>
              <w:t xml:space="preserve"> чим се за то обезбеде технички услови.</w:t>
            </w:r>
          </w:p>
          <w:p w14:paraId="4BCB02C2" w14:textId="4F3009B4" w:rsidR="00D60299" w:rsidRPr="00DB19B9" w:rsidRDefault="00D60299" w:rsidP="006F4A5C">
            <w:pPr>
              <w:spacing w:before="120" w:after="120"/>
              <w:rPr>
                <w:rFonts w:ascii="Times New Roman" w:hAnsi="Times New Roman"/>
                <w:sz w:val="22"/>
                <w:szCs w:val="22"/>
                <w:lang w:val="sr-Cyrl-RS"/>
              </w:rPr>
            </w:pPr>
          </w:p>
        </w:tc>
      </w:tr>
      <w:tr w:rsidR="00275E2A" w:rsidRPr="00DB19B9" w14:paraId="31663FC5" w14:textId="77777777" w:rsidTr="005640C8">
        <w:trPr>
          <w:trHeight w:val="454"/>
          <w:jc w:val="center"/>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C70F1B" w:rsidRPr="00DB19B9" w14:paraId="66715B57" w14:textId="77777777" w:rsidTr="005640C8">
        <w:trPr>
          <w:trHeight w:val="454"/>
          <w:jc w:val="center"/>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DB19B9" w14:paraId="3010E605" w14:textId="77777777" w:rsidTr="005640C8">
        <w:trPr>
          <w:trHeight w:val="454"/>
          <w:jc w:val="center"/>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0"/>
              <w:gridCol w:w="7"/>
            </w:tblGrid>
            <w:tr w:rsidR="00C70F1B" w:rsidRPr="00DB19B9"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DB19B9">
              <w:trPr>
                <w:trHeight w:val="260"/>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Pr>
                <w:p w14:paraId="21FE126E" w14:textId="77777777" w:rsidR="00C70F1B" w:rsidRPr="00DB19B9" w:rsidRDefault="00C70F1B" w:rsidP="00CA1CE9">
                  <w:pPr>
                    <w:jc w:val="left"/>
                    <w:rPr>
                      <w:rFonts w:ascii="Times New Roman" w:eastAsia="Times New Roman" w:hAnsi="Times New Roman"/>
                      <w:b/>
                      <w:lang w:val="sr-Cyrl-RS"/>
                    </w:rPr>
                  </w:pPr>
                </w:p>
              </w:tc>
            </w:tr>
            <w:tr w:rsidR="00CA1CE9" w:rsidRPr="00DB19B9" w14:paraId="57E988BC" w14:textId="77777777" w:rsidTr="005640C8">
              <w:trPr>
                <w:trHeight w:val="489"/>
              </w:trPr>
              <w:tc>
                <w:tcPr>
                  <w:tcW w:w="3632" w:type="dxa"/>
                  <w:tcBorders>
                    <w:bottom w:val="single" w:sz="4" w:space="0" w:color="000000"/>
                  </w:tcBorders>
                  <w:vAlign w:val="center"/>
                </w:tcPr>
                <w:p w14:paraId="269B4895"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b/>
                      <w:lang w:val="sr-Cyrl-RS"/>
                    </w:rPr>
                    <w:t xml:space="preserve">Образац административног захтева </w:t>
                  </w:r>
                </w:p>
              </w:tc>
              <w:tc>
                <w:tcPr>
                  <w:tcW w:w="5202" w:type="dxa"/>
                  <w:gridSpan w:val="4"/>
                  <w:tcBorders>
                    <w:bottom w:val="single" w:sz="4" w:space="0" w:color="000000"/>
                  </w:tcBorders>
                </w:tcPr>
                <w:p w14:paraId="2E3C3C7E" w14:textId="77777777" w:rsidR="00CA1CE9" w:rsidRPr="00DB19B9" w:rsidRDefault="00CA1CE9" w:rsidP="00CA1CE9">
                  <w:pPr>
                    <w:jc w:val="left"/>
                    <w:rPr>
                      <w:rFonts w:ascii="Times New Roman" w:eastAsia="Times New Roman" w:hAnsi="Times New Roman"/>
                      <w:b/>
                      <w:lang w:val="sr-Cyrl-RS"/>
                    </w:rPr>
                  </w:pPr>
                </w:p>
              </w:tc>
            </w:tr>
            <w:tr w:rsidR="00CA1CE9" w:rsidRPr="00DB19B9" w14:paraId="1E77C85A" w14:textId="77777777" w:rsidTr="005640C8">
              <w:trPr>
                <w:trHeight w:val="489"/>
              </w:trPr>
              <w:tc>
                <w:tcPr>
                  <w:tcW w:w="3632" w:type="dxa"/>
                  <w:tcBorders>
                    <w:bottom w:val="nil"/>
                  </w:tcBorders>
                  <w:vAlign w:val="center"/>
                </w:tcPr>
                <w:p w14:paraId="34DF82C9"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i/>
                      <w:lang w:val="sr-Cyrl-RS"/>
                    </w:rPr>
                    <w:t>Увођење обрасца захтева</w:t>
                  </w:r>
                </w:p>
              </w:tc>
              <w:tc>
                <w:tcPr>
                  <w:tcW w:w="1784" w:type="dxa"/>
                  <w:tcBorders>
                    <w:bottom w:val="nil"/>
                  </w:tcBorders>
                </w:tcPr>
                <w:p w14:paraId="7DA93255" w14:textId="0709C482" w:rsidR="00CA1CE9" w:rsidRPr="00DB19B9" w:rsidRDefault="00CA0E7D" w:rsidP="00CA0E7D">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781" w:type="dxa"/>
                  <w:tcBorders>
                    <w:bottom w:val="nil"/>
                  </w:tcBorders>
                </w:tcPr>
                <w:p w14:paraId="5EFCD47F" w14:textId="77777777" w:rsidR="00CA1CE9" w:rsidRPr="00DB19B9" w:rsidRDefault="00CA1CE9" w:rsidP="00CA0E7D">
                  <w:pPr>
                    <w:jc w:val="center"/>
                    <w:rPr>
                      <w:rFonts w:ascii="Times New Roman" w:eastAsia="Times New Roman" w:hAnsi="Times New Roman"/>
                      <w:b/>
                      <w:lang w:val="sr-Cyrl-RS"/>
                    </w:rPr>
                  </w:pPr>
                </w:p>
              </w:tc>
              <w:tc>
                <w:tcPr>
                  <w:tcW w:w="1637" w:type="dxa"/>
                  <w:gridSpan w:val="2"/>
                  <w:tcBorders>
                    <w:bottom w:val="nil"/>
                  </w:tcBorders>
                </w:tcPr>
                <w:p w14:paraId="24710273" w14:textId="061F99A9" w:rsidR="00CA1CE9" w:rsidRPr="00C96D01" w:rsidRDefault="00C96D01" w:rsidP="00C96D01">
                  <w:pPr>
                    <w:pStyle w:val="ListParagraph"/>
                    <w:rPr>
                      <w:rFonts w:ascii="Times New Roman" w:eastAsia="Times New Roman" w:hAnsi="Times New Roman"/>
                      <w:b/>
                    </w:rPr>
                  </w:pPr>
                  <w:r>
                    <w:rPr>
                      <w:rFonts w:ascii="Times New Roman" w:eastAsia="Times New Roman" w:hAnsi="Times New Roman"/>
                      <w:b/>
                    </w:rPr>
                    <w:t>1.</w:t>
                  </w:r>
                </w:p>
              </w:tc>
            </w:tr>
            <w:tr w:rsidR="00DB19B9" w:rsidRPr="00DB19B9" w14:paraId="1228D87D" w14:textId="77777777" w:rsidTr="00DB19B9">
              <w:trPr>
                <w:gridAfter w:val="1"/>
                <w:wAfter w:w="7" w:type="dxa"/>
                <w:trHeight w:val="489"/>
              </w:trPr>
              <w:tc>
                <w:tcPr>
                  <w:tcW w:w="3632" w:type="dxa"/>
                  <w:vAlign w:val="center"/>
                </w:tcPr>
                <w:p w14:paraId="406288B1" w14:textId="56076C32" w:rsidR="00DB19B9" w:rsidRPr="00DB19B9" w:rsidRDefault="00DB19B9" w:rsidP="00DB19B9">
                  <w:pPr>
                    <w:jc w:val="left"/>
                    <w:rPr>
                      <w:rFonts w:ascii="Times New Roman" w:eastAsia="Times New Roman" w:hAnsi="Times New Roman"/>
                      <w:b/>
                      <w:lang w:val="sr-Cyrl-RS"/>
                    </w:rPr>
                  </w:pPr>
                  <w:r w:rsidRPr="00DB19B9">
                    <w:rPr>
                      <w:rFonts w:ascii="Times New Roman" w:eastAsia="Times New Roman" w:hAnsi="Times New Roman"/>
                      <w:b/>
                      <w:lang w:val="sr-Cyrl-RS"/>
                    </w:rPr>
                    <w:lastRenderedPageBreak/>
                    <w:t>Прибављање података по службеној дужности и документација која се прибавља од странке</w:t>
                  </w:r>
                </w:p>
              </w:tc>
              <w:tc>
                <w:tcPr>
                  <w:tcW w:w="1784" w:type="dxa"/>
                </w:tcPr>
                <w:p w14:paraId="32D90DC8" w14:textId="1BD79694" w:rsidR="00DB19B9" w:rsidRPr="00C23495" w:rsidRDefault="00C23495" w:rsidP="00CA0E7D">
                  <w:pPr>
                    <w:jc w:val="center"/>
                    <w:rPr>
                      <w:rFonts w:ascii="Times New Roman" w:eastAsia="Times New Roman" w:hAnsi="Times New Roman"/>
                      <w:b/>
                      <w:lang w:val="sr-Latn-RS"/>
                    </w:rPr>
                  </w:pPr>
                  <w:r>
                    <w:rPr>
                      <w:rFonts w:ascii="Times New Roman" w:eastAsia="Times New Roman" w:hAnsi="Times New Roman"/>
                      <w:b/>
                      <w:lang w:val="sr-Latn-RS"/>
                    </w:rPr>
                    <w:t>X</w:t>
                  </w:r>
                </w:p>
              </w:tc>
              <w:tc>
                <w:tcPr>
                  <w:tcW w:w="1781" w:type="dxa"/>
                </w:tcPr>
                <w:p w14:paraId="4BF2735E" w14:textId="77041635" w:rsidR="00DB19B9" w:rsidRPr="00DB19B9" w:rsidRDefault="00DB19B9" w:rsidP="00CA0E7D">
                  <w:pPr>
                    <w:jc w:val="center"/>
                    <w:rPr>
                      <w:rFonts w:ascii="Times New Roman" w:eastAsia="Times New Roman" w:hAnsi="Times New Roman"/>
                      <w:b/>
                      <w:lang w:val="sr-Cyrl-RS"/>
                    </w:rPr>
                  </w:pPr>
                </w:p>
              </w:tc>
              <w:tc>
                <w:tcPr>
                  <w:tcW w:w="1630" w:type="dxa"/>
                </w:tcPr>
                <w:p w14:paraId="1F22B93B" w14:textId="1871CDED" w:rsidR="00DB19B9" w:rsidRPr="00C23495" w:rsidRDefault="00C23495" w:rsidP="00CA0E7D">
                  <w:pPr>
                    <w:jc w:val="center"/>
                    <w:rPr>
                      <w:rFonts w:ascii="Times New Roman" w:eastAsia="Times New Roman" w:hAnsi="Times New Roman"/>
                      <w:b/>
                      <w:lang w:val="sr-Latn-RS"/>
                    </w:rPr>
                  </w:pPr>
                  <w:r>
                    <w:rPr>
                      <w:rFonts w:ascii="Times New Roman" w:eastAsia="Times New Roman" w:hAnsi="Times New Roman"/>
                      <w:b/>
                      <w:lang w:val="sr-Latn-RS"/>
                    </w:rPr>
                    <w:t>1.</w:t>
                  </w:r>
                </w:p>
              </w:tc>
            </w:tr>
            <w:tr w:rsidR="00CA1CE9" w:rsidRPr="00DB19B9" w14:paraId="357C32E1" w14:textId="77777777" w:rsidTr="005640C8">
              <w:trPr>
                <w:trHeight w:val="489"/>
              </w:trPr>
              <w:tc>
                <w:tcPr>
                  <w:tcW w:w="3632" w:type="dxa"/>
                  <w:tcBorders>
                    <w:bottom w:val="single" w:sz="4" w:space="0" w:color="auto"/>
                  </w:tcBorders>
                  <w:vAlign w:val="center"/>
                </w:tcPr>
                <w:p w14:paraId="58B53124" w14:textId="7BAF971C" w:rsidR="00CA1CE9" w:rsidRPr="007C3071" w:rsidRDefault="00CA0E7D" w:rsidP="00DB19B9">
                  <w:pPr>
                    <w:jc w:val="left"/>
                    <w:rPr>
                      <w:rFonts w:ascii="Times New Roman" w:eastAsia="Times New Roman" w:hAnsi="Times New Roman"/>
                      <w:bCs/>
                      <w:i/>
                      <w:iCs/>
                    </w:rPr>
                  </w:pPr>
                  <w:r>
                    <w:rPr>
                      <w:rFonts w:ascii="Times New Roman" w:eastAsia="Times New Roman" w:hAnsi="Times New Roman"/>
                      <w:bCs/>
                      <w:i/>
                      <w:iCs/>
                      <w:lang w:val="sr-Cyrl-RS"/>
                    </w:rPr>
                    <w:t>Увођење е-управе</w:t>
                  </w:r>
                </w:p>
              </w:tc>
              <w:tc>
                <w:tcPr>
                  <w:tcW w:w="1784" w:type="dxa"/>
                  <w:tcBorders>
                    <w:bottom w:val="single" w:sz="4" w:space="0" w:color="auto"/>
                  </w:tcBorders>
                </w:tcPr>
                <w:p w14:paraId="3A2B191B" w14:textId="77777777" w:rsidR="00CA1CE9" w:rsidRPr="00DB19B9" w:rsidRDefault="00CA1CE9" w:rsidP="00CA0E7D">
                  <w:pPr>
                    <w:jc w:val="center"/>
                    <w:rPr>
                      <w:rFonts w:ascii="Times New Roman" w:eastAsia="Times New Roman" w:hAnsi="Times New Roman"/>
                      <w:b/>
                      <w:lang w:val="sr-Cyrl-RS"/>
                    </w:rPr>
                  </w:pPr>
                </w:p>
              </w:tc>
              <w:tc>
                <w:tcPr>
                  <w:tcW w:w="1781" w:type="dxa"/>
                  <w:tcBorders>
                    <w:bottom w:val="single" w:sz="4" w:space="0" w:color="auto"/>
                  </w:tcBorders>
                </w:tcPr>
                <w:p w14:paraId="226EF149" w14:textId="1A450C2E" w:rsidR="00CA1CE9" w:rsidRPr="00DB19B9" w:rsidRDefault="00CA0E7D" w:rsidP="00CA0E7D">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637" w:type="dxa"/>
                  <w:gridSpan w:val="2"/>
                  <w:tcBorders>
                    <w:bottom w:val="single" w:sz="4" w:space="0" w:color="auto"/>
                  </w:tcBorders>
                </w:tcPr>
                <w:p w14:paraId="152B3425" w14:textId="77777777" w:rsidR="00CA1CE9" w:rsidRPr="00DB19B9" w:rsidRDefault="00CA1CE9" w:rsidP="00CA0E7D">
                  <w:pPr>
                    <w:jc w:val="center"/>
                    <w:rPr>
                      <w:rFonts w:ascii="Times New Roman" w:eastAsia="Times New Roman" w:hAnsi="Times New Roman"/>
                      <w:b/>
                      <w:lang w:val="sr-Cyrl-RS"/>
                    </w:rPr>
                  </w:pPr>
                </w:p>
              </w:tc>
            </w:tr>
            <w:tr w:rsidR="005640C8" w:rsidRPr="00DB19B9" w14:paraId="1799DE37" w14:textId="77777777" w:rsidTr="005640C8">
              <w:trPr>
                <w:trHeight w:val="489"/>
              </w:trPr>
              <w:tc>
                <w:tcPr>
                  <w:tcW w:w="3632" w:type="dxa"/>
                  <w:tcBorders>
                    <w:top w:val="single" w:sz="4" w:space="0" w:color="auto"/>
                    <w:left w:val="nil"/>
                    <w:bottom w:val="nil"/>
                    <w:right w:val="nil"/>
                  </w:tcBorders>
                  <w:vAlign w:val="center"/>
                </w:tcPr>
                <w:p w14:paraId="720708FC" w14:textId="77777777" w:rsidR="005640C8" w:rsidRDefault="005640C8" w:rsidP="00DB19B9">
                  <w:pPr>
                    <w:jc w:val="left"/>
                    <w:rPr>
                      <w:rFonts w:ascii="Times New Roman" w:eastAsia="Times New Roman" w:hAnsi="Times New Roman"/>
                      <w:bCs/>
                      <w:i/>
                      <w:iCs/>
                      <w:lang w:val="sr-Cyrl-RS"/>
                    </w:rPr>
                  </w:pPr>
                </w:p>
              </w:tc>
              <w:tc>
                <w:tcPr>
                  <w:tcW w:w="1784" w:type="dxa"/>
                  <w:tcBorders>
                    <w:top w:val="single" w:sz="4" w:space="0" w:color="auto"/>
                    <w:left w:val="nil"/>
                    <w:bottom w:val="nil"/>
                    <w:right w:val="nil"/>
                  </w:tcBorders>
                </w:tcPr>
                <w:p w14:paraId="12F0AB01" w14:textId="77777777" w:rsidR="005640C8" w:rsidRPr="00DB19B9" w:rsidRDefault="005640C8" w:rsidP="00CA0E7D">
                  <w:pPr>
                    <w:jc w:val="center"/>
                    <w:rPr>
                      <w:rFonts w:ascii="Times New Roman" w:eastAsia="Times New Roman" w:hAnsi="Times New Roman"/>
                      <w:b/>
                      <w:lang w:val="sr-Cyrl-RS"/>
                    </w:rPr>
                  </w:pPr>
                </w:p>
              </w:tc>
              <w:tc>
                <w:tcPr>
                  <w:tcW w:w="1781" w:type="dxa"/>
                  <w:tcBorders>
                    <w:top w:val="single" w:sz="4" w:space="0" w:color="auto"/>
                    <w:left w:val="nil"/>
                    <w:bottom w:val="nil"/>
                    <w:right w:val="nil"/>
                  </w:tcBorders>
                </w:tcPr>
                <w:p w14:paraId="35DCF7CA" w14:textId="77777777" w:rsidR="005640C8" w:rsidRDefault="005640C8" w:rsidP="00CA0E7D">
                  <w:pPr>
                    <w:jc w:val="center"/>
                    <w:rPr>
                      <w:rFonts w:ascii="Times New Roman" w:eastAsia="Times New Roman" w:hAnsi="Times New Roman"/>
                      <w:b/>
                      <w:lang w:val="sr-Cyrl-RS"/>
                    </w:rPr>
                  </w:pPr>
                </w:p>
              </w:tc>
              <w:tc>
                <w:tcPr>
                  <w:tcW w:w="1637" w:type="dxa"/>
                  <w:gridSpan w:val="2"/>
                  <w:tcBorders>
                    <w:top w:val="single" w:sz="4" w:space="0" w:color="auto"/>
                    <w:left w:val="nil"/>
                    <w:bottom w:val="nil"/>
                    <w:right w:val="nil"/>
                  </w:tcBorders>
                </w:tcPr>
                <w:p w14:paraId="791AE396" w14:textId="77777777" w:rsidR="005640C8" w:rsidRPr="00DB19B9" w:rsidRDefault="005640C8" w:rsidP="00CA0E7D">
                  <w:pPr>
                    <w:jc w:val="center"/>
                    <w:rPr>
                      <w:rFonts w:ascii="Times New Roman" w:eastAsia="Times New Roman" w:hAnsi="Times New Roman"/>
                      <w:b/>
                      <w:lang w:val="sr-Cyrl-RS"/>
                    </w:rPr>
                  </w:pPr>
                </w:p>
              </w:tc>
            </w:tr>
          </w:tbl>
          <w:p w14:paraId="6E28D8C5" w14:textId="3F198253" w:rsidR="00CA1CE9" w:rsidRPr="00DB19B9" w:rsidRDefault="00CA1CE9" w:rsidP="00BB2C8C">
            <w:pPr>
              <w:pStyle w:val="NormalWeb"/>
              <w:spacing w:before="120" w:beforeAutospacing="0" w:after="120" w:afterAutospacing="0"/>
              <w:jc w:val="both"/>
              <w:rPr>
                <w:b/>
                <w:sz w:val="22"/>
                <w:szCs w:val="22"/>
                <w:lang w:val="sr-Cyrl-RS"/>
              </w:rPr>
            </w:pPr>
          </w:p>
        </w:tc>
      </w:tr>
      <w:tr w:rsidR="00CA1CE9" w:rsidRPr="00DB19B9" w14:paraId="0B4EEBB8" w14:textId="77777777" w:rsidTr="005640C8">
        <w:trPr>
          <w:trHeight w:val="454"/>
          <w:jc w:val="center"/>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ОБРАЗЛОЖЕЊЕ</w:t>
            </w:r>
          </w:p>
        </w:tc>
      </w:tr>
      <w:tr w:rsidR="00CA1CE9" w:rsidRPr="00DB19B9" w14:paraId="4C67EFD3" w14:textId="77777777" w:rsidTr="005640C8">
        <w:trPr>
          <w:trHeight w:val="454"/>
          <w:jc w:val="center"/>
        </w:trPr>
        <w:tc>
          <w:tcPr>
            <w:tcW w:w="9060" w:type="dxa"/>
            <w:gridSpan w:val="2"/>
            <w:shd w:val="clear" w:color="auto" w:fill="auto"/>
          </w:tcPr>
          <w:p w14:paraId="3B9472EF" w14:textId="00F9F0F0" w:rsidR="00CA1CE9" w:rsidRDefault="00541DEB" w:rsidP="00DB19B9">
            <w:pPr>
              <w:jc w:val="left"/>
              <w:rPr>
                <w:rFonts w:ascii="Times New Roman" w:eastAsia="Times New Roman" w:hAnsi="Times New Roman"/>
                <w:b/>
                <w:sz w:val="22"/>
                <w:szCs w:val="24"/>
                <w:u w:val="single"/>
                <w:lang w:val="sr-Cyrl-RS"/>
              </w:rPr>
            </w:pPr>
            <w:r w:rsidRPr="00541DEB">
              <w:rPr>
                <w:rFonts w:ascii="Times New Roman" w:eastAsia="Times New Roman" w:hAnsi="Times New Roman"/>
                <w:b/>
                <w:sz w:val="22"/>
                <w:szCs w:val="24"/>
                <w:u w:val="single"/>
                <w:lang w:val="sr-Cyrl-RS"/>
              </w:rPr>
              <w:t>Образац административног захтева</w:t>
            </w:r>
          </w:p>
          <w:p w14:paraId="0F9CCBD5" w14:textId="77777777" w:rsidR="00541DEB" w:rsidRPr="00541DEB" w:rsidRDefault="00541DEB" w:rsidP="00DB19B9">
            <w:pPr>
              <w:jc w:val="left"/>
              <w:rPr>
                <w:rFonts w:ascii="Times New Roman" w:eastAsia="Times New Roman" w:hAnsi="Times New Roman"/>
                <w:b/>
                <w:sz w:val="24"/>
                <w:szCs w:val="24"/>
                <w:u w:val="single"/>
                <w:lang w:val="sr-Cyrl-RS"/>
              </w:rPr>
            </w:pPr>
          </w:p>
          <w:p w14:paraId="51380D41" w14:textId="0556908F" w:rsidR="007C3071" w:rsidRPr="00541DEB" w:rsidRDefault="007C3071" w:rsidP="00541DEB">
            <w:pPr>
              <w:pStyle w:val="ListParagraph"/>
              <w:numPr>
                <w:ilvl w:val="1"/>
                <w:numId w:val="23"/>
              </w:numPr>
              <w:ind w:left="60" w:firstLine="0"/>
              <w:rPr>
                <w:rFonts w:ascii="Times New Roman" w:eastAsia="Times New Roman" w:hAnsi="Times New Roman"/>
                <w:b/>
                <w:bCs/>
                <w:noProof/>
                <w:sz w:val="22"/>
                <w:szCs w:val="22"/>
                <w:lang w:val="sr-Cyrl-RS"/>
              </w:rPr>
            </w:pPr>
            <w:r w:rsidRPr="00541DEB">
              <w:rPr>
                <w:rFonts w:ascii="Times New Roman" w:eastAsia="Times New Roman" w:hAnsi="Times New Roman"/>
                <w:b/>
                <w:bCs/>
                <w:noProof/>
                <w:sz w:val="22"/>
                <w:szCs w:val="22"/>
                <w:lang w:val="sr-Cyrl-RS"/>
              </w:rPr>
              <w:t xml:space="preserve">Увођење обрасца захтева </w:t>
            </w:r>
          </w:p>
          <w:p w14:paraId="6E614B0E" w14:textId="77777777" w:rsidR="007C3071" w:rsidRPr="007C3071" w:rsidRDefault="007C3071" w:rsidP="007C3071">
            <w:pPr>
              <w:contextualSpacing/>
              <w:rPr>
                <w:rFonts w:ascii="Times New Roman" w:eastAsia="Times New Roman" w:hAnsi="Times New Roman"/>
                <w:b/>
                <w:noProof/>
                <w:sz w:val="22"/>
                <w:szCs w:val="22"/>
                <w:lang w:val="sr-Cyrl-RS"/>
              </w:rPr>
            </w:pPr>
          </w:p>
          <w:p w14:paraId="25894D20" w14:textId="77777777" w:rsidR="007C3071" w:rsidRPr="007C3071" w:rsidRDefault="007C3071" w:rsidP="007C3071">
            <w:pPr>
              <w:contextualSpacing/>
              <w:rPr>
                <w:rFonts w:ascii="Times New Roman" w:hAnsi="Times New Roman"/>
                <w:noProof/>
                <w:sz w:val="22"/>
                <w:szCs w:val="22"/>
                <w:lang w:val="sr-Cyrl-RS"/>
              </w:rPr>
            </w:pPr>
            <w:r w:rsidRPr="007C3071">
              <w:rPr>
                <w:rFonts w:ascii="Times New Roman" w:hAnsi="Times New Roman"/>
                <w:noProof/>
                <w:sz w:val="22"/>
                <w:szCs w:val="22"/>
                <w:lang w:val="sr-Cyrl-RS"/>
              </w:rPr>
              <w:t xml:space="preserve">Захтев тренутно постоји у слободној форми, и нису прописани елементи обрасца захтева. </w:t>
            </w:r>
          </w:p>
          <w:p w14:paraId="1F6093FA" w14:textId="77777777" w:rsidR="007C3071" w:rsidRPr="007C3071" w:rsidRDefault="007C3071" w:rsidP="007C3071">
            <w:pPr>
              <w:contextualSpacing/>
              <w:rPr>
                <w:rFonts w:ascii="Times New Roman" w:hAnsi="Times New Roman"/>
                <w:noProof/>
                <w:sz w:val="22"/>
                <w:szCs w:val="22"/>
                <w:lang w:val="sr-Cyrl-RS"/>
              </w:rPr>
            </w:pPr>
          </w:p>
          <w:p w14:paraId="57199F02" w14:textId="146351DC" w:rsidR="007C3071" w:rsidRDefault="007C3071" w:rsidP="007C3071">
            <w:pPr>
              <w:contextualSpacing/>
              <w:rPr>
                <w:rFonts w:ascii="Times New Roman" w:hAnsi="Times New Roman"/>
                <w:noProof/>
                <w:sz w:val="22"/>
                <w:szCs w:val="22"/>
                <w:lang w:val="sr-Cyrl-RS"/>
              </w:rPr>
            </w:pPr>
            <w:r w:rsidRPr="007C3071">
              <w:rPr>
                <w:rFonts w:ascii="Times New Roman" w:hAnsi="Times New Roman"/>
                <w:noProof/>
                <w:sz w:val="22"/>
                <w:szCs w:val="22"/>
                <w:lang w:val="sr-Cyrl-RS"/>
              </w:rPr>
              <w:t>Предлаже се</w:t>
            </w:r>
            <w:r w:rsidR="00B235C9">
              <w:rPr>
                <w:rFonts w:ascii="Times New Roman" w:hAnsi="Times New Roman"/>
                <w:noProof/>
                <w:sz w:val="22"/>
                <w:szCs w:val="22"/>
                <w:lang w:val="sr-Cyrl-RS"/>
              </w:rPr>
              <w:t xml:space="preserve"> прописивање</w:t>
            </w:r>
            <w:r w:rsidRPr="007C3071">
              <w:rPr>
                <w:rFonts w:ascii="Times New Roman" w:hAnsi="Times New Roman"/>
                <w:noProof/>
                <w:sz w:val="22"/>
                <w:szCs w:val="22"/>
                <w:lang w:val="sr-Cyrl-RS"/>
              </w:rPr>
              <w:t xml:space="preserve"> стандардизованог обрасца за подношење захтева</w:t>
            </w:r>
            <w:r w:rsidR="00D60299">
              <w:rPr>
                <w:rFonts w:ascii="Times New Roman" w:hAnsi="Times New Roman"/>
                <w:noProof/>
                <w:sz w:val="22"/>
                <w:szCs w:val="22"/>
                <w:lang w:val="sr-Cyrl-RS"/>
              </w:rPr>
              <w:t xml:space="preserve"> </w:t>
            </w:r>
            <w:r w:rsidR="00C96D01">
              <w:rPr>
                <w:rFonts w:ascii="Times New Roman" w:hAnsi="Times New Roman"/>
                <w:noProof/>
                <w:sz w:val="22"/>
                <w:szCs w:val="22"/>
                <w:lang w:val="sr-Cyrl-RS"/>
              </w:rPr>
              <w:t>доношењем инструкције за сп</w:t>
            </w:r>
            <w:r w:rsidR="007135F3">
              <w:rPr>
                <w:rFonts w:ascii="Times New Roman" w:hAnsi="Times New Roman"/>
                <w:noProof/>
                <w:sz w:val="22"/>
                <w:szCs w:val="22"/>
                <w:lang w:val="sr-Cyrl-CS"/>
              </w:rPr>
              <w:t>рово</w:t>
            </w:r>
            <w:r w:rsidR="00C96D01">
              <w:rPr>
                <w:rFonts w:ascii="Times New Roman" w:hAnsi="Times New Roman"/>
                <w:noProof/>
                <w:sz w:val="22"/>
                <w:szCs w:val="22"/>
                <w:lang w:val="sr-Cyrl-RS"/>
              </w:rPr>
              <w:t>ђење поступка</w:t>
            </w:r>
            <w:r w:rsidRPr="007C3071">
              <w:rPr>
                <w:rFonts w:ascii="Times New Roman" w:hAnsi="Times New Roman"/>
                <w:noProof/>
                <w:sz w:val="22"/>
                <w:szCs w:val="22"/>
                <w:lang w:val="sr-Cyrl-RS"/>
              </w:rPr>
              <w:t xml:space="preserve">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 и то: </w:t>
            </w:r>
          </w:p>
          <w:p w14:paraId="4148151A" w14:textId="77777777" w:rsidR="000A7140" w:rsidRPr="007C3071" w:rsidRDefault="000A7140" w:rsidP="007C3071">
            <w:pPr>
              <w:contextualSpacing/>
              <w:rPr>
                <w:rFonts w:ascii="Times New Roman" w:hAnsi="Times New Roman"/>
                <w:noProof/>
                <w:sz w:val="22"/>
                <w:szCs w:val="22"/>
                <w:lang w:val="sr-Cyrl-RS"/>
              </w:rPr>
            </w:pPr>
          </w:p>
          <w:p w14:paraId="0CF5EA9E" w14:textId="5B3F47DE" w:rsidR="007C3071" w:rsidRPr="003D12BD" w:rsidRDefault="007C3071" w:rsidP="007C3071">
            <w:pPr>
              <w:numPr>
                <w:ilvl w:val="0"/>
                <w:numId w:val="25"/>
              </w:numPr>
              <w:ind w:left="780"/>
              <w:contextualSpacing/>
              <w:rPr>
                <w:rFonts w:ascii="Times New Roman" w:hAnsi="Times New Roman"/>
                <w:bCs/>
                <w:noProof/>
                <w:sz w:val="22"/>
                <w:szCs w:val="22"/>
                <w:lang w:val="sr-Cyrl-RS"/>
              </w:rPr>
            </w:pPr>
            <w:r w:rsidRPr="007C3071">
              <w:rPr>
                <w:rFonts w:ascii="Times New Roman" w:hAnsi="Times New Roman"/>
                <w:noProof/>
                <w:sz w:val="22"/>
                <w:szCs w:val="22"/>
                <w:lang w:val="sr-Cyrl-RS"/>
              </w:rPr>
              <w:t xml:space="preserve">Подаци о подносиоцу захтева (назив правног лица, седиште, матични број) ради јасног и прецизног евидентиртања подносиоца захтева као и провере службеника свих наведених података на сајту Агенције за привредне регистре; </w:t>
            </w:r>
          </w:p>
          <w:p w14:paraId="6FECFEC2" w14:textId="3F11ED8A" w:rsidR="003D12BD" w:rsidRPr="003D12BD" w:rsidRDefault="003D12BD" w:rsidP="003D12BD">
            <w:pPr>
              <w:numPr>
                <w:ilvl w:val="0"/>
                <w:numId w:val="25"/>
              </w:numPr>
              <w:ind w:left="780"/>
              <w:contextualSpacing/>
              <w:rPr>
                <w:rFonts w:ascii="Times New Roman" w:hAnsi="Times New Roman"/>
                <w:bCs/>
                <w:noProof/>
                <w:sz w:val="22"/>
                <w:szCs w:val="22"/>
                <w:lang w:val="sr-Cyrl-RS"/>
              </w:rPr>
            </w:pPr>
            <w:r w:rsidRPr="003D12BD">
              <w:rPr>
                <w:rFonts w:ascii="Times New Roman" w:hAnsi="Times New Roman"/>
                <w:bCs/>
                <w:noProof/>
                <w:sz w:val="22"/>
                <w:szCs w:val="22"/>
                <w:lang w:val="sr-Cyrl-RS"/>
              </w:rPr>
              <w:t>Подаци о саобраћајним дозволама за возила за која се захтева издавања дозволе забесплатан превоз аутопутевима;</w:t>
            </w:r>
          </w:p>
          <w:p w14:paraId="25B507FC" w14:textId="35FF69FD" w:rsidR="003D12BD" w:rsidRPr="003D12BD" w:rsidRDefault="003D12BD" w:rsidP="003D12BD">
            <w:pPr>
              <w:numPr>
                <w:ilvl w:val="0"/>
                <w:numId w:val="25"/>
              </w:numPr>
              <w:ind w:left="780"/>
              <w:contextualSpacing/>
              <w:rPr>
                <w:rFonts w:ascii="Times New Roman" w:hAnsi="Times New Roman"/>
                <w:bCs/>
                <w:noProof/>
                <w:sz w:val="22"/>
                <w:szCs w:val="22"/>
                <w:lang w:val="sr-Cyrl-RS"/>
              </w:rPr>
            </w:pPr>
            <w:r w:rsidRPr="003D12BD">
              <w:rPr>
                <w:rFonts w:ascii="Times New Roman" w:hAnsi="Times New Roman"/>
                <w:bCs/>
                <w:noProof/>
                <w:sz w:val="22"/>
                <w:szCs w:val="22"/>
                <w:lang w:val="sr-Cyrl-RS"/>
              </w:rPr>
              <w:t>Подаци о уговору између ЈП Путеви Србије и привредног субјекта (подносиоца</w:t>
            </w:r>
            <w:r>
              <w:rPr>
                <w:rFonts w:ascii="Times New Roman" w:hAnsi="Times New Roman"/>
                <w:bCs/>
                <w:noProof/>
                <w:sz w:val="22"/>
                <w:szCs w:val="22"/>
                <w:lang w:val="sr-Latn-RS"/>
              </w:rPr>
              <w:t xml:space="preserve"> </w:t>
            </w:r>
            <w:r w:rsidRPr="003D12BD">
              <w:rPr>
                <w:rFonts w:ascii="Times New Roman" w:hAnsi="Times New Roman"/>
                <w:bCs/>
                <w:noProof/>
                <w:sz w:val="22"/>
                <w:szCs w:val="22"/>
                <w:lang w:val="sr-Cyrl-RS"/>
              </w:rPr>
              <w:t>захтева).</w:t>
            </w:r>
          </w:p>
          <w:p w14:paraId="3061C731" w14:textId="77777777" w:rsidR="007C3071" w:rsidRPr="007C3071" w:rsidRDefault="007C3071" w:rsidP="007C3071">
            <w:pPr>
              <w:contextualSpacing/>
              <w:rPr>
                <w:rFonts w:ascii="Times New Roman" w:hAnsi="Times New Roman"/>
                <w:bCs/>
                <w:noProof/>
                <w:sz w:val="22"/>
                <w:szCs w:val="22"/>
                <w:lang w:val="sr-Cyrl-RS"/>
              </w:rPr>
            </w:pPr>
          </w:p>
          <w:p w14:paraId="32237646" w14:textId="76B477E1" w:rsidR="007C3071" w:rsidRDefault="007C3071" w:rsidP="007C3071">
            <w:pPr>
              <w:contextualSpacing/>
              <w:rPr>
                <w:rFonts w:ascii="Times New Roman" w:hAnsi="Times New Roman"/>
                <w:bCs/>
                <w:noProof/>
                <w:sz w:val="22"/>
                <w:szCs w:val="22"/>
                <w:lang w:val="sr-Cyrl-RS"/>
              </w:rPr>
            </w:pPr>
            <w:r w:rsidRPr="007C3071">
              <w:rPr>
                <w:rFonts w:ascii="Times New Roman" w:hAnsi="Times New Roman"/>
                <w:bCs/>
                <w:noProof/>
                <w:sz w:val="22"/>
                <w:szCs w:val="22"/>
                <w:lang w:val="sr-Cyrl-RS"/>
              </w:rPr>
              <w:t>У обрасцу захтева треба да стоји и писана информација о прописаном року за решавање предмета, као и финансијским издацима (назив издатка, и</w:t>
            </w:r>
            <w:r w:rsidRPr="007C3071">
              <w:rPr>
                <w:rFonts w:ascii="Times New Roman" w:eastAsia="Times New Roman" w:hAnsi="Times New Roman"/>
                <w:noProof/>
                <w:sz w:val="22"/>
                <w:szCs w:val="22"/>
                <w:lang w:val="sr-Cyrl-RS"/>
              </w:rPr>
              <w:t>знос, сврха уплате, назив и адреса примаоца, број рачуна, модел и позив на број)</w:t>
            </w:r>
            <w:r w:rsidRPr="007C3071">
              <w:rPr>
                <w:rFonts w:ascii="Times New Roman" w:hAnsi="Times New Roman"/>
                <w:bCs/>
                <w:noProof/>
                <w:sz w:val="22"/>
                <w:szCs w:val="22"/>
                <w:lang w:val="sr-Cyrl-RS"/>
              </w:rPr>
              <w:t>.</w:t>
            </w:r>
          </w:p>
          <w:p w14:paraId="0467E036" w14:textId="77777777" w:rsidR="00D60299" w:rsidRPr="007C3071" w:rsidRDefault="00D60299" w:rsidP="007C3071">
            <w:pPr>
              <w:contextualSpacing/>
              <w:rPr>
                <w:rFonts w:ascii="Times New Roman" w:hAnsi="Times New Roman"/>
                <w:bCs/>
                <w:noProof/>
                <w:sz w:val="22"/>
                <w:szCs w:val="22"/>
                <w:lang w:val="sr-Cyrl-RS"/>
              </w:rPr>
            </w:pPr>
          </w:p>
          <w:p w14:paraId="157D1C3F" w14:textId="05DA5EB5" w:rsidR="007C3071" w:rsidRPr="007C3071" w:rsidRDefault="007C3071" w:rsidP="007C3071">
            <w:pPr>
              <w:contextualSpacing/>
              <w:rPr>
                <w:rFonts w:ascii="Times New Roman" w:eastAsia="Times New Roman" w:hAnsi="Times New Roman"/>
                <w:noProof/>
                <w:sz w:val="22"/>
                <w:szCs w:val="22"/>
                <w:lang w:val="sr-Cyrl-RS"/>
              </w:rPr>
            </w:pPr>
            <w:r w:rsidRPr="007C3071">
              <w:rPr>
                <w:rFonts w:ascii="Times New Roman" w:hAnsi="Times New Roman"/>
                <w:bCs/>
                <w:noProof/>
                <w:sz w:val="22"/>
                <w:szCs w:val="22"/>
                <w:lang w:val="sr-Cyrl-RS"/>
              </w:rPr>
              <w:t>Предлаже се о</w:t>
            </w:r>
            <w:r w:rsidRPr="007C3071">
              <w:rPr>
                <w:rFonts w:ascii="Times New Roman" w:eastAsia="Times New Roman" w:hAnsi="Times New Roman"/>
                <w:noProof/>
                <w:sz w:val="22"/>
                <w:szCs w:val="22"/>
                <w:lang w:val="sr-Cyrl-RS"/>
              </w:rPr>
              <w:t>могућавање електронског попуњавања обрасца захтева, као и његово постављање на званичну веб презентацију надлежног органа ради лакшег преузимања обрасца од стране подносилаца захтева.</w:t>
            </w:r>
          </w:p>
          <w:p w14:paraId="7BB154EE" w14:textId="77777777" w:rsidR="007C3071" w:rsidRPr="007C3071" w:rsidRDefault="007C3071" w:rsidP="007C3071">
            <w:pPr>
              <w:contextualSpacing/>
              <w:rPr>
                <w:rFonts w:ascii="Times New Roman" w:eastAsia="Times New Roman" w:hAnsi="Times New Roman"/>
                <w:noProof/>
                <w:sz w:val="22"/>
                <w:szCs w:val="22"/>
                <w:lang w:val="sr-Cyrl-RS"/>
              </w:rPr>
            </w:pPr>
          </w:p>
          <w:p w14:paraId="5D142991" w14:textId="7CB85095" w:rsidR="007C3071" w:rsidRPr="007C3071" w:rsidRDefault="007C3071" w:rsidP="00135AE4">
            <w:pPr>
              <w:tabs>
                <w:tab w:val="left" w:pos="5460"/>
              </w:tabs>
              <w:contextualSpacing/>
              <w:rPr>
                <w:rFonts w:ascii="Times New Roman" w:eastAsia="Times New Roman" w:hAnsi="Times New Roman"/>
                <w:b/>
                <w:bCs/>
                <w:i/>
                <w:iCs/>
                <w:noProof/>
                <w:sz w:val="22"/>
                <w:szCs w:val="22"/>
                <w:lang w:val="sr-Cyrl-RS"/>
              </w:rPr>
            </w:pPr>
            <w:r w:rsidRPr="007C3071">
              <w:rPr>
                <w:rFonts w:ascii="Times New Roman" w:eastAsia="Times New Roman" w:hAnsi="Times New Roman"/>
                <w:b/>
                <w:bCs/>
                <w:i/>
                <w:iCs/>
                <w:noProof/>
                <w:sz w:val="22"/>
                <w:szCs w:val="22"/>
                <w:lang w:val="sr-Cyrl-RS"/>
              </w:rPr>
              <w:t>За примену ове препоруке</w:t>
            </w:r>
            <w:r w:rsidR="00AB5E60">
              <w:rPr>
                <w:rFonts w:ascii="Times New Roman" w:eastAsia="Times New Roman" w:hAnsi="Times New Roman"/>
                <w:b/>
                <w:bCs/>
                <w:i/>
                <w:iCs/>
                <w:noProof/>
                <w:sz w:val="22"/>
                <w:szCs w:val="22"/>
                <w:lang w:val="sr-Cyrl-RS"/>
              </w:rPr>
              <w:t xml:space="preserve"> потребно</w:t>
            </w:r>
            <w:r w:rsidRPr="007C3071">
              <w:rPr>
                <w:rFonts w:ascii="Times New Roman" w:eastAsia="Times New Roman" w:hAnsi="Times New Roman"/>
                <w:b/>
                <w:bCs/>
                <w:i/>
                <w:iCs/>
                <w:noProof/>
                <w:sz w:val="22"/>
                <w:szCs w:val="22"/>
                <w:lang w:val="sr-Cyrl-RS"/>
              </w:rPr>
              <w:t xml:space="preserve"> </w:t>
            </w:r>
            <w:r>
              <w:rPr>
                <w:rFonts w:ascii="Times New Roman" w:eastAsia="Times New Roman" w:hAnsi="Times New Roman"/>
                <w:b/>
                <w:bCs/>
                <w:i/>
                <w:iCs/>
                <w:noProof/>
                <w:sz w:val="22"/>
                <w:szCs w:val="22"/>
                <w:lang w:val="sr-Cyrl-RS"/>
              </w:rPr>
              <w:t xml:space="preserve">је доношење </w:t>
            </w:r>
            <w:r w:rsidR="00C96D01">
              <w:rPr>
                <w:rFonts w:ascii="Times New Roman" w:eastAsia="Times New Roman" w:hAnsi="Times New Roman"/>
                <w:b/>
                <w:bCs/>
                <w:i/>
                <w:iCs/>
                <w:noProof/>
                <w:sz w:val="22"/>
                <w:szCs w:val="22"/>
                <w:lang w:val="sr-Cyrl-RS"/>
              </w:rPr>
              <w:t>инструкције за сповођење поступка</w:t>
            </w:r>
            <w:r w:rsidR="00135AE4">
              <w:rPr>
                <w:rFonts w:ascii="Times New Roman" w:eastAsia="Times New Roman" w:hAnsi="Times New Roman"/>
                <w:b/>
                <w:bCs/>
                <w:i/>
                <w:iCs/>
                <w:noProof/>
                <w:sz w:val="22"/>
                <w:szCs w:val="22"/>
                <w:lang w:val="sr-Cyrl-RS"/>
              </w:rPr>
              <w:t>.</w:t>
            </w:r>
          </w:p>
          <w:p w14:paraId="2D6060B9" w14:textId="77777777" w:rsidR="004A759B" w:rsidRPr="007C3071" w:rsidRDefault="004A759B" w:rsidP="004A759B">
            <w:pPr>
              <w:tabs>
                <w:tab w:val="left" w:pos="1500"/>
              </w:tabs>
              <w:contextualSpacing/>
              <w:rPr>
                <w:rFonts w:ascii="Times New Roman" w:eastAsia="Times New Roman" w:hAnsi="Times New Roman"/>
                <w:b/>
                <w:bCs/>
                <w:i/>
                <w:iCs/>
                <w:noProof/>
                <w:sz w:val="22"/>
                <w:szCs w:val="22"/>
                <w:lang w:val="sr-Cyrl-RS"/>
              </w:rPr>
            </w:pPr>
          </w:p>
          <w:p w14:paraId="2D5AC99C" w14:textId="55E6C509" w:rsidR="006C46CE" w:rsidRPr="00541DEB" w:rsidRDefault="006C46CE" w:rsidP="00C96D01">
            <w:pPr>
              <w:pStyle w:val="ListParagraph"/>
              <w:keepNext/>
              <w:keepLines/>
              <w:numPr>
                <w:ilvl w:val="1"/>
                <w:numId w:val="23"/>
              </w:numPr>
              <w:spacing w:before="40"/>
              <w:ind w:left="420" w:hanging="420"/>
              <w:jc w:val="left"/>
              <w:outlineLvl w:val="1"/>
              <w:rPr>
                <w:rFonts w:ascii="Times New Roman" w:eastAsiaTheme="majorEastAsia" w:hAnsi="Times New Roman"/>
                <w:b/>
                <w:noProof/>
                <w:sz w:val="22"/>
                <w:szCs w:val="22"/>
                <w:lang w:val="sr-Cyrl-RS" w:eastAsia="en-GB"/>
              </w:rPr>
            </w:pPr>
            <w:bookmarkStart w:id="1" w:name="_Toc19636061"/>
            <w:r w:rsidRPr="00541DEB">
              <w:rPr>
                <w:rFonts w:ascii="Times New Roman" w:eastAsiaTheme="majorEastAsia" w:hAnsi="Times New Roman"/>
                <w:b/>
                <w:noProof/>
                <w:sz w:val="22"/>
                <w:szCs w:val="22"/>
                <w:lang w:val="sr-Cyrl-RS" w:eastAsia="en-GB"/>
              </w:rPr>
              <w:t>Прибављање података по службеној дужности</w:t>
            </w:r>
          </w:p>
          <w:p w14:paraId="56424901" w14:textId="77777777" w:rsidR="009572FE" w:rsidRDefault="009572FE" w:rsidP="009572FE">
            <w:pPr>
              <w:rPr>
                <w:rFonts w:ascii="Times New Roman" w:hAnsi="Times New Roman"/>
                <w:color w:val="000000"/>
                <w:shd w:val="clear" w:color="auto" w:fill="FFFFFF"/>
                <w:lang w:val="sr-Cyrl-RS" w:eastAsia="sr-Latn-ME"/>
              </w:rPr>
            </w:pPr>
          </w:p>
          <w:p w14:paraId="0B2B2DF8" w14:textId="77777777" w:rsidR="005640C8" w:rsidRDefault="005640C8" w:rsidP="005640C8">
            <w:pPr>
              <w:shd w:val="clear" w:color="auto" w:fill="FFFFFF"/>
              <w:contextualSpacing/>
              <w:rPr>
                <w:rFonts w:ascii="Times New Roman" w:eastAsia="Times New Roman" w:hAnsi="Times New Roman"/>
                <w:sz w:val="22"/>
                <w:szCs w:val="22"/>
                <w:lang w:val="sr-Cyrl-RS"/>
              </w:rPr>
            </w:pPr>
            <w:r w:rsidRPr="000118E1">
              <w:rPr>
                <w:rFonts w:ascii="Times New Roman" w:eastAsia="Times New Roman" w:hAnsi="Times New Roman"/>
                <w:sz w:val="22"/>
                <w:szCs w:val="22"/>
                <w:lang w:val="sr-Cyrl-RS"/>
              </w:rPr>
              <w:t xml:space="preserve">Предлаже се елиминација подношења следећих докумената од стране подносиоца захтева, јер je надлежни орган дужан да, у складу са чл. 9. и 103. ЗОУП-а </w:t>
            </w:r>
            <w:r w:rsidRPr="00AD4193">
              <w:rPr>
                <w:rFonts w:ascii="Times New Roman" w:hAnsi="Times New Roman"/>
                <w:bCs/>
                <w:sz w:val="22"/>
                <w:lang w:val="ru-RU"/>
              </w:rPr>
              <w:t>(„Службени гласник РС”</w:t>
            </w:r>
            <w:r w:rsidRPr="000118E1">
              <w:rPr>
                <w:rFonts w:ascii="Times New Roman" w:eastAsia="Times New Roman" w:hAnsi="Times New Roman"/>
                <w:sz w:val="22"/>
                <w:szCs w:val="22"/>
                <w:lang w:val="sr-Cyrl-RS"/>
              </w:rPr>
              <w:t xml:space="preserve">, број 18/16 и 95/2018), Законом о електронском документу, електронској идентификацији и услугама од поверења у електронском пословању </w:t>
            </w:r>
            <w:r w:rsidRPr="00AD4193">
              <w:rPr>
                <w:rFonts w:ascii="Times New Roman" w:hAnsi="Times New Roman"/>
                <w:bCs/>
                <w:sz w:val="22"/>
                <w:lang w:val="ru-RU"/>
              </w:rPr>
              <w:t>(„Службени гласник РС”</w:t>
            </w:r>
            <w:r w:rsidRPr="000118E1">
              <w:rPr>
                <w:rFonts w:ascii="Times New Roman" w:eastAsia="Times New Roman" w:hAnsi="Times New Roman"/>
                <w:sz w:val="22"/>
                <w:szCs w:val="22"/>
                <w:lang w:val="sr-Cyrl-RS"/>
              </w:rPr>
              <w:t xml:space="preserve">, број 94/17.), Законом о електронској управи </w:t>
            </w:r>
            <w:r w:rsidRPr="00AD4193">
              <w:rPr>
                <w:rFonts w:ascii="Times New Roman" w:hAnsi="Times New Roman"/>
                <w:bCs/>
                <w:sz w:val="22"/>
                <w:lang w:val="ru-RU"/>
              </w:rPr>
              <w:t>(„Службени гласник РС”</w:t>
            </w:r>
            <w:r w:rsidRPr="000118E1">
              <w:rPr>
                <w:rFonts w:ascii="Times New Roman" w:eastAsia="Times New Roman" w:hAnsi="Times New Roman"/>
                <w:sz w:val="22"/>
                <w:szCs w:val="22"/>
                <w:lang w:val="sr-Cyrl-RS"/>
              </w:rPr>
              <w:t xml:space="preserve">,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w:t>
            </w:r>
            <w:r w:rsidRPr="00AD4193">
              <w:rPr>
                <w:rFonts w:ascii="Times New Roman" w:hAnsi="Times New Roman"/>
                <w:bCs/>
                <w:sz w:val="22"/>
                <w:lang w:val="ru-RU"/>
              </w:rPr>
              <w:t>(„Службени гласник РС”</w:t>
            </w:r>
            <w:r>
              <w:rPr>
                <w:rFonts w:ascii="Times New Roman" w:hAnsi="Times New Roman"/>
                <w:bCs/>
                <w:sz w:val="22"/>
                <w:lang w:val="sr-Latn-RS"/>
              </w:rPr>
              <w:t>,</w:t>
            </w:r>
            <w:r w:rsidRPr="000118E1">
              <w:rPr>
                <w:rFonts w:ascii="Times New Roman" w:eastAsia="Times New Roman" w:hAnsi="Times New Roman"/>
                <w:sz w:val="22"/>
                <w:szCs w:val="22"/>
                <w:lang w:val="sr-Cyrl-RS"/>
              </w:rPr>
              <w:t xml:space="preserve"> број 57/19.), по службеној дужности прибави потребне податке од надлежног органа – „власника“ потребних података:</w:t>
            </w:r>
          </w:p>
          <w:p w14:paraId="0C4900A4" w14:textId="77777777" w:rsidR="009572FE" w:rsidRPr="006C27A8" w:rsidRDefault="009572FE" w:rsidP="009572FE">
            <w:pPr>
              <w:rPr>
                <w:rFonts w:ascii="Times New Roman" w:hAnsi="Times New Roman"/>
                <w:color w:val="500050"/>
                <w:shd w:val="clear" w:color="auto" w:fill="FFFFFF"/>
                <w:lang w:val="sr-Latn-ME" w:eastAsia="sr-Latn-ME"/>
              </w:rPr>
            </w:pPr>
            <w:r w:rsidRPr="006C27A8">
              <w:rPr>
                <w:rFonts w:ascii="Times New Roman" w:hAnsi="Times New Roman"/>
                <w:color w:val="500050"/>
                <w:shd w:val="clear" w:color="auto" w:fill="FFFFFF"/>
                <w:lang w:val="sr-Latn-ME" w:eastAsia="sr-Latn-ME"/>
              </w:rPr>
              <w:t> </w:t>
            </w:r>
          </w:p>
          <w:p w14:paraId="225F0844" w14:textId="53FEC218" w:rsidR="009572FE" w:rsidRPr="00B90B42" w:rsidRDefault="009572FE" w:rsidP="009572FE">
            <w:pPr>
              <w:pStyle w:val="ListParagraph"/>
              <w:numPr>
                <w:ilvl w:val="0"/>
                <w:numId w:val="25"/>
              </w:numPr>
              <w:ind w:left="610"/>
              <w:rPr>
                <w:rFonts w:ascii="Times New Roman" w:eastAsia="Times New Roman" w:hAnsi="Times New Roman"/>
                <w:b/>
                <w:bCs/>
                <w:sz w:val="22"/>
                <w:szCs w:val="22"/>
                <w:lang w:val="sr-Cyrl-RS" w:eastAsia="en-GB"/>
              </w:rPr>
            </w:pPr>
            <w:r w:rsidRPr="00B90B42">
              <w:rPr>
                <w:rFonts w:ascii="Times New Roman" w:eastAsia="Times New Roman" w:hAnsi="Times New Roman"/>
                <w:b/>
                <w:bCs/>
                <w:sz w:val="22"/>
                <w:szCs w:val="22"/>
                <w:lang w:val="sr-Cyrl-RS"/>
              </w:rPr>
              <w:t xml:space="preserve">Документ </w:t>
            </w:r>
            <w:r w:rsidRPr="00B90B42">
              <w:rPr>
                <w:rFonts w:ascii="Times New Roman" w:eastAsia="Times New Roman" w:hAnsi="Times New Roman"/>
                <w:b/>
                <w:bCs/>
                <w:sz w:val="22"/>
                <w:szCs w:val="22"/>
                <w:lang w:val="sr-Cyrl-RS" w:eastAsia="en-GB"/>
              </w:rPr>
              <w:t>2: Уговор између ЈП Путеви Србије и привредног субјекта о обављању послова одржавања и заштите јавног пута за чије коришћење се плаћа путарина</w:t>
            </w:r>
          </w:p>
          <w:p w14:paraId="0C82BE18" w14:textId="596B0B02" w:rsidR="009572FE" w:rsidRPr="00B90B42" w:rsidRDefault="009572FE" w:rsidP="00B90B42">
            <w:pPr>
              <w:pStyle w:val="gmail-odluka-zakon"/>
              <w:numPr>
                <w:ilvl w:val="0"/>
                <w:numId w:val="25"/>
              </w:numPr>
              <w:spacing w:before="0" w:beforeAutospacing="0" w:after="0" w:afterAutospacing="0"/>
              <w:ind w:left="610"/>
              <w:jc w:val="both"/>
              <w:rPr>
                <w:rFonts w:ascii="Times New Roman" w:eastAsia="Times New Roman" w:hAnsi="Times New Roman" w:cs="Times New Roman"/>
                <w:b/>
                <w:bCs/>
                <w:sz w:val="22"/>
                <w:szCs w:val="22"/>
              </w:rPr>
            </w:pPr>
            <w:r w:rsidRPr="00B90B42">
              <w:rPr>
                <w:rFonts w:ascii="Times New Roman" w:hAnsi="Times New Roman" w:cs="Times New Roman"/>
                <w:b/>
                <w:bCs/>
                <w:sz w:val="22"/>
                <w:szCs w:val="22"/>
                <w:lang w:val="sr-Cyrl-RS"/>
              </w:rPr>
              <w:t xml:space="preserve">Орган од кога је потребно прибавити податке: </w:t>
            </w:r>
            <w:r w:rsidRPr="00B90B42">
              <w:rPr>
                <w:rFonts w:ascii="Times New Roman" w:eastAsia="Times New Roman" w:hAnsi="Times New Roman" w:cs="Times New Roman"/>
                <w:b/>
                <w:bCs/>
                <w:sz w:val="22"/>
                <w:szCs w:val="22"/>
                <w:lang w:val="sr-Cyrl-RS"/>
              </w:rPr>
              <w:t xml:space="preserve">ЈП Путеви Србије </w:t>
            </w:r>
          </w:p>
          <w:p w14:paraId="0EC35EDC" w14:textId="77777777" w:rsidR="009572FE" w:rsidRPr="006C27A8" w:rsidRDefault="009572FE" w:rsidP="009572FE">
            <w:pPr>
              <w:rPr>
                <w:rFonts w:ascii="Times New Roman" w:hAnsi="Times New Roman"/>
                <w:lang w:val="sr-Cyrl-RS"/>
              </w:rPr>
            </w:pPr>
          </w:p>
          <w:p w14:paraId="3AA8E7A8" w14:textId="78BE9A0D" w:rsidR="009572FE" w:rsidRDefault="009572FE" w:rsidP="00B90B42">
            <w:pPr>
              <w:rPr>
                <w:rFonts w:ascii="Times New Roman" w:hAnsi="Times New Roman"/>
                <w:color w:val="000000"/>
                <w:sz w:val="22"/>
                <w:szCs w:val="22"/>
                <w:lang w:val="sr-Cyrl-RS" w:eastAsia="sr-Latn-ME"/>
              </w:rPr>
            </w:pPr>
            <w:r w:rsidRPr="00B90B42">
              <w:rPr>
                <w:rFonts w:ascii="Times New Roman" w:hAnsi="Times New Roman"/>
                <w:sz w:val="22"/>
                <w:szCs w:val="22"/>
                <w:lang w:val="sr-Cyrl-RS"/>
              </w:rPr>
              <w:lastRenderedPageBreak/>
              <w:t>Наведени документ прибавља се као доказ</w:t>
            </w:r>
            <w:r w:rsidRPr="00B90B42">
              <w:rPr>
                <w:rFonts w:ascii="Times New Roman" w:hAnsi="Times New Roman"/>
                <w:sz w:val="22"/>
                <w:szCs w:val="22"/>
              </w:rPr>
              <w:t xml:space="preserve"> </w:t>
            </w:r>
            <w:r w:rsidR="00B90B42" w:rsidRPr="00B90B42">
              <w:rPr>
                <w:rFonts w:ascii="Times New Roman" w:hAnsi="Times New Roman"/>
                <w:sz w:val="22"/>
                <w:szCs w:val="22"/>
                <w:lang w:val="sr-Cyrl-RS"/>
              </w:rPr>
              <w:t xml:space="preserve">о закљученом уговору између ЈП Путеви Србије и привредног субјекта о обављању послова одржавања и заштите јавног пута за чије коришћење се плаћа путарина и прибављања следећих података:  регистарски број возила, период обављања посла из уговора и релација аутопута на којој се посао обавља. Наведени подаци могу се прибавити из интерне евиденције надлежног органа.  </w:t>
            </w:r>
            <w:r w:rsidRPr="00B90B42">
              <w:rPr>
                <w:rFonts w:ascii="Times New Roman" w:hAnsi="Times New Roman"/>
                <w:color w:val="000000"/>
                <w:sz w:val="22"/>
                <w:szCs w:val="22"/>
                <w:lang w:val="sr-Cyrl-RS" w:eastAsia="sr-Latn-ME"/>
              </w:rPr>
              <w:t> </w:t>
            </w:r>
          </w:p>
          <w:p w14:paraId="4328E021" w14:textId="122B3220" w:rsidR="00B90B42" w:rsidRDefault="00B90B42" w:rsidP="00B90B42">
            <w:pPr>
              <w:rPr>
                <w:rFonts w:ascii="Times New Roman" w:hAnsi="Times New Roman"/>
                <w:color w:val="000000"/>
                <w:sz w:val="22"/>
                <w:szCs w:val="22"/>
                <w:lang w:val="sr-Cyrl-RS" w:eastAsia="sr-Latn-ME"/>
              </w:rPr>
            </w:pPr>
          </w:p>
          <w:p w14:paraId="1E2EAAD4" w14:textId="7F5C3924" w:rsidR="00B90B42" w:rsidRDefault="00B90B42" w:rsidP="00B90B42">
            <w:pPr>
              <w:rPr>
                <w:rFonts w:ascii="Times New Roman" w:hAnsi="Times New Roman"/>
                <w:color w:val="000000"/>
                <w:sz w:val="22"/>
                <w:szCs w:val="22"/>
                <w:lang w:val="sr-Cyrl-RS" w:eastAsia="sr-Latn-ME"/>
              </w:rPr>
            </w:pPr>
            <w:r w:rsidRPr="007E167C">
              <w:rPr>
                <w:rFonts w:ascii="Times New Roman" w:hAnsi="Times New Roman"/>
                <w:sz w:val="22"/>
                <w:szCs w:val="22"/>
                <w:lang w:val="sr-Cyrl-RS"/>
              </w:rPr>
              <w:t>Како је једна од уговорних страна у овом уговору управо ЈП Путеви Србије, предлаже се елиминација његовог подношења од стране подносиоца захтева, с обзиром на чињеницу да се може обавити увид у закључене уговоре са привредним субјектима о обављању послова одржавања и заштите јавног пута.</w:t>
            </w:r>
          </w:p>
          <w:p w14:paraId="7B644389" w14:textId="0AAE9B48" w:rsidR="005A5A48" w:rsidRDefault="005A5A48" w:rsidP="009572FE">
            <w:pPr>
              <w:rPr>
                <w:rFonts w:ascii="Times New Roman" w:hAnsi="Times New Roman"/>
                <w:b/>
                <w:bCs/>
                <w:color w:val="000000"/>
                <w:sz w:val="22"/>
                <w:szCs w:val="22"/>
                <w:shd w:val="clear" w:color="auto" w:fill="FFFFFF"/>
                <w:lang w:val="sr-Cyrl-RS" w:eastAsia="sr-Latn-ME"/>
              </w:rPr>
            </w:pPr>
          </w:p>
          <w:p w14:paraId="09973FED" w14:textId="6D32BD3C" w:rsidR="009572FE" w:rsidRPr="002702C5" w:rsidRDefault="00AB5E60" w:rsidP="009572FE">
            <w:pPr>
              <w:rPr>
                <w:rFonts w:ascii="Times New Roman" w:hAnsi="Times New Roman"/>
                <w:b/>
                <w:bCs/>
                <w:i/>
                <w:iCs/>
                <w:sz w:val="22"/>
                <w:szCs w:val="22"/>
                <w:shd w:val="clear" w:color="auto" w:fill="FFFFFF"/>
                <w:lang w:val="sr-Cyrl-CS" w:eastAsia="sr-Latn-ME"/>
              </w:rPr>
            </w:pPr>
            <w:r>
              <w:rPr>
                <w:rFonts w:ascii="Times New Roman" w:hAnsi="Times New Roman"/>
                <w:b/>
                <w:bCs/>
                <w:i/>
                <w:iCs/>
                <w:sz w:val="22"/>
                <w:szCs w:val="22"/>
                <w:shd w:val="clear" w:color="auto" w:fill="FFFFFF"/>
                <w:lang w:val="sr-Cyrl-CS" w:eastAsia="sr-Latn-ME"/>
              </w:rPr>
              <w:t>З</w:t>
            </w:r>
            <w:r w:rsidR="002702C5">
              <w:rPr>
                <w:rFonts w:ascii="Times New Roman" w:hAnsi="Times New Roman"/>
                <w:b/>
                <w:bCs/>
                <w:i/>
                <w:iCs/>
                <w:sz w:val="22"/>
                <w:szCs w:val="22"/>
                <w:shd w:val="clear" w:color="auto" w:fill="FFFFFF"/>
                <w:lang w:val="sr-Cyrl-CS" w:eastAsia="sr-Latn-ME"/>
              </w:rPr>
              <w:t>а примену ове препоруке потребно је доношење инструкције за спровођење поступка.</w:t>
            </w:r>
          </w:p>
          <w:p w14:paraId="1EFD929A" w14:textId="77777777" w:rsidR="00B90B42" w:rsidRPr="007E167C" w:rsidRDefault="00B90B42" w:rsidP="006C46CE">
            <w:pPr>
              <w:rPr>
                <w:rFonts w:ascii="Times New Roman" w:hAnsi="Times New Roman"/>
                <w:sz w:val="22"/>
                <w:szCs w:val="22"/>
                <w:lang w:val="sr-Cyrl-RS"/>
              </w:rPr>
            </w:pPr>
          </w:p>
          <w:p w14:paraId="07A321A3" w14:textId="316F86E6" w:rsidR="006C46CE" w:rsidRDefault="006C46CE" w:rsidP="00D93E7E">
            <w:pPr>
              <w:pStyle w:val="NormalWeb"/>
              <w:numPr>
                <w:ilvl w:val="0"/>
                <w:numId w:val="28"/>
              </w:numPr>
              <w:spacing w:before="0" w:beforeAutospacing="0" w:after="0" w:afterAutospacing="0"/>
              <w:ind w:left="700" w:hanging="288"/>
              <w:jc w:val="both"/>
              <w:rPr>
                <w:b/>
                <w:sz w:val="22"/>
                <w:szCs w:val="22"/>
                <w:lang w:val="sr-Cyrl-RS"/>
              </w:rPr>
            </w:pPr>
            <w:r w:rsidRPr="007E167C">
              <w:rPr>
                <w:b/>
                <w:sz w:val="22"/>
                <w:szCs w:val="22"/>
                <w:lang w:val="sr-Cyrl-RS"/>
              </w:rPr>
              <w:t>Документ 2: Копија саобраћајне дозволе за возила за која се захтева ослобађање од плаћања путарине</w:t>
            </w:r>
          </w:p>
          <w:p w14:paraId="1E970098" w14:textId="7768EABF" w:rsidR="00D93E7E" w:rsidRPr="007E167C" w:rsidRDefault="00D93E7E" w:rsidP="00D93E7E">
            <w:pPr>
              <w:pStyle w:val="NormalWeb"/>
              <w:numPr>
                <w:ilvl w:val="0"/>
                <w:numId w:val="28"/>
              </w:numPr>
              <w:spacing w:before="0" w:beforeAutospacing="0" w:after="0" w:afterAutospacing="0"/>
              <w:ind w:left="700" w:hanging="288"/>
              <w:jc w:val="both"/>
              <w:rPr>
                <w:b/>
                <w:sz w:val="22"/>
                <w:szCs w:val="22"/>
                <w:lang w:val="sr-Cyrl-RS"/>
              </w:rPr>
            </w:pPr>
            <w:r>
              <w:rPr>
                <w:b/>
                <w:sz w:val="22"/>
                <w:szCs w:val="22"/>
                <w:lang w:val="sr-Cyrl-RS"/>
              </w:rPr>
              <w:t xml:space="preserve">Орган </w:t>
            </w:r>
            <w:r w:rsidRPr="00D93E7E">
              <w:rPr>
                <w:b/>
                <w:sz w:val="22"/>
                <w:szCs w:val="22"/>
                <w:lang w:val="sr-Cyrl-RS"/>
              </w:rPr>
              <w:t>од кога је потребно прибавити податке:</w:t>
            </w:r>
            <w:r>
              <w:rPr>
                <w:b/>
                <w:sz w:val="22"/>
                <w:szCs w:val="22"/>
                <w:lang w:val="sr-Cyrl-RS"/>
              </w:rPr>
              <w:t xml:space="preserve"> Министарство унутрашњих послова</w:t>
            </w:r>
          </w:p>
          <w:p w14:paraId="727F754A" w14:textId="77777777" w:rsidR="00D93E7E" w:rsidRDefault="00D93E7E" w:rsidP="006C46CE">
            <w:pPr>
              <w:rPr>
                <w:rFonts w:ascii="Times New Roman" w:hAnsi="Times New Roman"/>
                <w:sz w:val="22"/>
                <w:szCs w:val="22"/>
                <w:lang w:val="sr-Cyrl-RS"/>
              </w:rPr>
            </w:pPr>
          </w:p>
          <w:p w14:paraId="184E23FD" w14:textId="65258E40" w:rsidR="006C46CE" w:rsidRPr="00231ADD" w:rsidRDefault="006C46CE" w:rsidP="006C46CE">
            <w:pPr>
              <w:rPr>
                <w:rFonts w:ascii="Times New Roman" w:hAnsi="Times New Roman"/>
                <w:sz w:val="22"/>
                <w:szCs w:val="22"/>
                <w:lang w:val="sr-Cyrl-RS"/>
              </w:rPr>
            </w:pPr>
            <w:r w:rsidRPr="00231ADD">
              <w:rPr>
                <w:rFonts w:ascii="Times New Roman" w:hAnsi="Times New Roman"/>
                <w:sz w:val="22"/>
                <w:szCs w:val="22"/>
                <w:lang w:val="sr-Cyrl-RS"/>
              </w:rPr>
              <w:t xml:space="preserve">Наведени документ се потражује од подносиоца захтева ради прибављања података о регистарској ознаци возила. </w:t>
            </w:r>
            <w:r w:rsidR="00BD464E">
              <w:rPr>
                <w:rFonts w:ascii="Times New Roman" w:hAnsi="Times New Roman"/>
                <w:sz w:val="22"/>
                <w:szCs w:val="22"/>
                <w:lang w:val="sr-Cyrl-RS"/>
              </w:rPr>
              <w:t xml:space="preserve">Наведени подаци могу се прибавити увидом у </w:t>
            </w:r>
            <w:r w:rsidR="00BD464E" w:rsidRPr="00BD464E">
              <w:rPr>
                <w:rFonts w:ascii="Times New Roman" w:hAnsi="Times New Roman"/>
                <w:sz w:val="22"/>
                <w:szCs w:val="22"/>
                <w:lang w:val="sr-Cyrl-RS"/>
              </w:rPr>
              <w:t>Јединствени регистар возила</w:t>
            </w:r>
            <w:r w:rsidR="00BD464E">
              <w:rPr>
                <w:rFonts w:ascii="Times New Roman" w:hAnsi="Times New Roman"/>
                <w:sz w:val="22"/>
                <w:szCs w:val="22"/>
                <w:lang w:val="sr-Cyrl-RS"/>
              </w:rPr>
              <w:t xml:space="preserve"> који је у надлежности Министарства унутрашњих послова. </w:t>
            </w:r>
          </w:p>
          <w:p w14:paraId="08C7561D" w14:textId="77777777" w:rsidR="006C46CE" w:rsidRPr="00231ADD" w:rsidRDefault="006C46CE" w:rsidP="006C46CE">
            <w:pPr>
              <w:rPr>
                <w:rFonts w:ascii="Times New Roman" w:hAnsi="Times New Roman"/>
                <w:sz w:val="22"/>
                <w:szCs w:val="22"/>
                <w:lang w:val="sr-Cyrl-RS"/>
              </w:rPr>
            </w:pPr>
            <w:bookmarkStart w:id="2" w:name="_Hlk523229423"/>
            <w:bookmarkStart w:id="3" w:name="_Hlk523210200"/>
          </w:p>
          <w:bookmarkEnd w:id="2"/>
          <w:p w14:paraId="5E326B90" w14:textId="77777777" w:rsidR="00BD464E" w:rsidRPr="00BD464E" w:rsidRDefault="00BD464E" w:rsidP="00BD464E">
            <w:pPr>
              <w:shd w:val="clear" w:color="auto" w:fill="FFFFFF"/>
              <w:rPr>
                <w:rFonts w:ascii="Times New Roman" w:hAnsi="Times New Roman"/>
                <w:color w:val="000000"/>
                <w:sz w:val="22"/>
                <w:szCs w:val="22"/>
                <w:lang w:val="sr-Cyrl-RS" w:eastAsia="sr-Latn-ME"/>
              </w:rPr>
            </w:pPr>
            <w:r w:rsidRPr="00BD464E">
              <w:rPr>
                <w:rFonts w:ascii="Times New Roman" w:hAnsi="Times New Roman"/>
                <w:color w:val="000000"/>
                <w:sz w:val="22"/>
                <w:szCs w:val="22"/>
                <w:lang w:val="sr-Cyrl-RS" w:eastAsia="sr-Latn-ME"/>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4F554AE7" w14:textId="77777777" w:rsidR="00BD464E" w:rsidRPr="00BD464E" w:rsidRDefault="00BD464E" w:rsidP="00BD464E">
            <w:pPr>
              <w:shd w:val="clear" w:color="auto" w:fill="FFFFFF"/>
              <w:rPr>
                <w:rFonts w:ascii="Times New Roman" w:hAnsi="Times New Roman"/>
                <w:color w:val="000000"/>
                <w:sz w:val="22"/>
                <w:szCs w:val="22"/>
                <w:lang w:val="sr-Cyrl-RS" w:eastAsia="sr-Latn-ME"/>
              </w:rPr>
            </w:pPr>
            <w:r w:rsidRPr="00BD464E">
              <w:rPr>
                <w:rFonts w:ascii="Times New Roman" w:hAnsi="Times New Roman"/>
                <w:color w:val="000000"/>
                <w:sz w:val="22"/>
                <w:szCs w:val="22"/>
                <w:lang w:val="sr-Cyrl-RS" w:eastAsia="sr-Latn-ME"/>
              </w:rPr>
              <w:t xml:space="preserve"> </w:t>
            </w:r>
          </w:p>
          <w:p w14:paraId="162766B9" w14:textId="77777777" w:rsidR="00BD464E" w:rsidRPr="00BD464E" w:rsidRDefault="00BD464E" w:rsidP="00BD464E">
            <w:pPr>
              <w:shd w:val="clear" w:color="auto" w:fill="FFFFFF"/>
              <w:rPr>
                <w:rFonts w:ascii="Times New Roman" w:hAnsi="Times New Roman"/>
                <w:color w:val="000000"/>
                <w:sz w:val="22"/>
                <w:szCs w:val="22"/>
                <w:lang w:val="sr-Cyrl-RS" w:eastAsia="sr-Latn-ME"/>
              </w:rPr>
            </w:pPr>
            <w:r w:rsidRPr="00BD464E">
              <w:rPr>
                <w:rFonts w:ascii="Times New Roman" w:hAnsi="Times New Roman"/>
                <w:color w:val="000000"/>
                <w:sz w:val="22"/>
                <w:szCs w:val="22"/>
                <w:lang w:val="sr-Cyrl-RS" w:eastAsia="sr-Latn-ME"/>
              </w:rPr>
              <w:t xml:space="preserve">Путем Информационог система за размену података из регистара преко Сервисне магистрале органа; </w:t>
            </w:r>
          </w:p>
          <w:p w14:paraId="009C82C7" w14:textId="77777777" w:rsidR="00BD464E" w:rsidRPr="00BD464E" w:rsidRDefault="00BD464E" w:rsidP="00BD464E">
            <w:pPr>
              <w:shd w:val="clear" w:color="auto" w:fill="FFFFFF"/>
              <w:rPr>
                <w:rFonts w:ascii="Times New Roman" w:hAnsi="Times New Roman"/>
                <w:color w:val="000000"/>
                <w:sz w:val="22"/>
                <w:szCs w:val="22"/>
                <w:lang w:val="sr-Cyrl-RS" w:eastAsia="sr-Latn-ME"/>
              </w:rPr>
            </w:pPr>
            <w:r w:rsidRPr="00BD464E">
              <w:rPr>
                <w:rFonts w:ascii="Times New Roman" w:hAnsi="Times New Roman"/>
                <w:color w:val="000000"/>
                <w:sz w:val="22"/>
                <w:szCs w:val="22"/>
                <w:lang w:val="sr-Cyrl-RS" w:eastAsia="sr-Latn-ME"/>
              </w:rPr>
              <w:t>Прибављањем података упитом ка регистру и уписивањем у софтверско решење органа који води поступак преко Сервисне магистрале органа.</w:t>
            </w:r>
          </w:p>
          <w:p w14:paraId="0F51CF48" w14:textId="77777777" w:rsidR="00BD464E" w:rsidRPr="00BD464E" w:rsidRDefault="00BD464E" w:rsidP="00BD464E">
            <w:pPr>
              <w:shd w:val="clear" w:color="auto" w:fill="FFFFFF"/>
              <w:rPr>
                <w:rFonts w:ascii="Times New Roman" w:hAnsi="Times New Roman"/>
                <w:color w:val="000000"/>
                <w:sz w:val="22"/>
                <w:szCs w:val="22"/>
                <w:lang w:val="sr-Cyrl-RS" w:eastAsia="sr-Latn-ME"/>
              </w:rPr>
            </w:pPr>
          </w:p>
          <w:p w14:paraId="5089BF78" w14:textId="77777777" w:rsidR="00BD464E" w:rsidRPr="00BD464E" w:rsidRDefault="00BD464E" w:rsidP="00BD464E">
            <w:pPr>
              <w:shd w:val="clear" w:color="auto" w:fill="FFFFFF"/>
              <w:rPr>
                <w:rFonts w:ascii="Times New Roman" w:hAnsi="Times New Roman"/>
                <w:color w:val="000000"/>
                <w:sz w:val="22"/>
                <w:szCs w:val="22"/>
                <w:lang w:val="sr-Cyrl-RS" w:eastAsia="sr-Latn-ME"/>
              </w:rPr>
            </w:pPr>
            <w:r w:rsidRPr="00BD464E">
              <w:rPr>
                <w:rFonts w:ascii="Times New Roman" w:hAnsi="Times New Roman"/>
                <w:color w:val="000000"/>
                <w:sz w:val="22"/>
                <w:szCs w:val="22"/>
                <w:lang w:val="sr-Cyrl-RS" w:eastAsia="sr-Latn-ME"/>
              </w:rPr>
              <w:t>Изузетно, орган може на захтев прибавити скуп података из регистра и уписати их у сопствено софтверско решење.</w:t>
            </w:r>
          </w:p>
          <w:p w14:paraId="4F833A6B" w14:textId="77777777" w:rsidR="00BD464E" w:rsidRPr="00BD464E" w:rsidRDefault="00BD464E" w:rsidP="00BD464E">
            <w:pPr>
              <w:shd w:val="clear" w:color="auto" w:fill="FFFFFF"/>
              <w:rPr>
                <w:rFonts w:ascii="Times New Roman" w:hAnsi="Times New Roman"/>
                <w:color w:val="000000"/>
                <w:sz w:val="22"/>
                <w:szCs w:val="22"/>
                <w:lang w:val="sr-Cyrl-RS" w:eastAsia="sr-Latn-ME"/>
              </w:rPr>
            </w:pPr>
          </w:p>
          <w:p w14:paraId="7864F887" w14:textId="77777777" w:rsidR="00BD464E" w:rsidRPr="00BD464E" w:rsidRDefault="00BD464E" w:rsidP="00BD464E">
            <w:pPr>
              <w:shd w:val="clear" w:color="auto" w:fill="FFFFFF"/>
              <w:rPr>
                <w:rFonts w:ascii="Times New Roman" w:hAnsi="Times New Roman"/>
                <w:color w:val="000000"/>
                <w:sz w:val="22"/>
                <w:szCs w:val="22"/>
                <w:lang w:val="sr-Cyrl-RS" w:eastAsia="sr-Latn-ME"/>
              </w:rPr>
            </w:pPr>
            <w:r w:rsidRPr="00BD464E">
              <w:rPr>
                <w:rFonts w:ascii="Times New Roman" w:hAnsi="Times New Roman"/>
                <w:color w:val="000000"/>
                <w:sz w:val="22"/>
                <w:szCs w:val="22"/>
                <w:lang w:val="sr-Cyrl-RS" w:eastAsia="sr-Latn-ME"/>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било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36C96271" w14:textId="77777777" w:rsidR="00231ADD" w:rsidRDefault="00231ADD" w:rsidP="006C46CE">
            <w:pPr>
              <w:rPr>
                <w:rFonts w:ascii="Times New Roman" w:hAnsi="Times New Roman"/>
                <w:sz w:val="22"/>
                <w:szCs w:val="22"/>
                <w:lang w:val="ru-RU"/>
              </w:rPr>
            </w:pPr>
          </w:p>
          <w:p w14:paraId="603D2FC2" w14:textId="09CDC9F5" w:rsidR="006C46CE" w:rsidRPr="007E167C" w:rsidRDefault="006C46CE" w:rsidP="006C46CE">
            <w:pPr>
              <w:rPr>
                <w:rFonts w:ascii="Times New Roman" w:hAnsi="Times New Roman"/>
                <w:sz w:val="22"/>
                <w:szCs w:val="22"/>
                <w:lang w:val="sr-Cyrl-RS"/>
              </w:rPr>
            </w:pPr>
            <w:r w:rsidRPr="007E167C">
              <w:rPr>
                <w:rFonts w:ascii="Times New Roman" w:hAnsi="Times New Roman"/>
                <w:sz w:val="22"/>
                <w:szCs w:val="22"/>
                <w:lang w:val="ru-RU"/>
              </w:rPr>
              <w:t>Како би се ово омогућило, у обрасцу захтева је потр</w:t>
            </w:r>
            <w:r w:rsidRPr="007E167C">
              <w:rPr>
                <w:rFonts w:ascii="Times New Roman" w:hAnsi="Times New Roman"/>
                <w:sz w:val="22"/>
                <w:szCs w:val="22"/>
                <w:lang w:val="sr-Cyrl-RS"/>
              </w:rPr>
              <w:t>ебно затражити неопходне информације о лицима, за које је потребно утврдити ову чињеницу (регистрациони број возила и име и презиме, ЈМБГ власника уз изјаву о заштити података, односно пословно име, седиште и матични број правног лица власника возила)</w:t>
            </w:r>
            <w:r w:rsidRPr="007E167C">
              <w:rPr>
                <w:rStyle w:val="FootnoteReference"/>
                <w:rFonts w:ascii="Times New Roman" w:hAnsi="Times New Roman"/>
                <w:sz w:val="22"/>
                <w:szCs w:val="22"/>
                <w:lang w:val="sr-Cyrl-RS"/>
              </w:rPr>
              <w:footnoteReference w:id="1"/>
            </w:r>
            <w:r w:rsidRPr="007E167C">
              <w:rPr>
                <w:rFonts w:ascii="Times New Roman" w:hAnsi="Times New Roman"/>
                <w:sz w:val="22"/>
                <w:szCs w:val="22"/>
                <w:lang w:val="sr-Cyrl-RS"/>
              </w:rPr>
              <w:t>.</w:t>
            </w:r>
          </w:p>
          <w:bookmarkEnd w:id="3"/>
          <w:p w14:paraId="6CC37F48" w14:textId="1835BF2F" w:rsidR="00D93E7E" w:rsidRPr="00D93E7E" w:rsidRDefault="00D93E7E" w:rsidP="00D93E7E">
            <w:pPr>
              <w:rPr>
                <w:rFonts w:ascii="Times New Roman" w:hAnsi="Times New Roman"/>
                <w:b/>
                <w:bCs/>
                <w:sz w:val="22"/>
                <w:szCs w:val="22"/>
                <w:shd w:val="clear" w:color="auto" w:fill="FFFFFF"/>
                <w:lang w:val="sr-Latn-ME" w:eastAsia="sr-Latn-ME"/>
              </w:rPr>
            </w:pPr>
          </w:p>
          <w:p w14:paraId="7668C74C" w14:textId="56710A17" w:rsidR="002702C5" w:rsidRPr="002702C5" w:rsidRDefault="002702C5" w:rsidP="002702C5">
            <w:pPr>
              <w:rPr>
                <w:rFonts w:ascii="Times New Roman" w:hAnsi="Times New Roman"/>
                <w:b/>
                <w:bCs/>
                <w:i/>
                <w:iCs/>
                <w:sz w:val="22"/>
                <w:szCs w:val="22"/>
                <w:shd w:val="clear" w:color="auto" w:fill="FFFFFF"/>
                <w:lang w:val="sr-Cyrl-CS" w:eastAsia="sr-Latn-ME"/>
              </w:rPr>
            </w:pPr>
            <w:r>
              <w:rPr>
                <w:rFonts w:ascii="Times New Roman" w:hAnsi="Times New Roman"/>
                <w:b/>
                <w:bCs/>
                <w:i/>
                <w:iCs/>
                <w:sz w:val="22"/>
                <w:szCs w:val="22"/>
                <w:shd w:val="clear" w:color="auto" w:fill="FFFFFF"/>
                <w:lang w:val="sr-Cyrl-CS" w:eastAsia="sr-Latn-ME"/>
              </w:rPr>
              <w:t>За примену ове препоруке потребно је доношење инструкције за спровођење поступка.</w:t>
            </w:r>
          </w:p>
          <w:p w14:paraId="41744781" w14:textId="62332F1D" w:rsidR="004A759B" w:rsidRDefault="004A759B" w:rsidP="004A759B">
            <w:pPr>
              <w:rPr>
                <w:rFonts w:ascii="Times New Roman" w:eastAsia="Times New Roman" w:hAnsi="Times New Roman"/>
                <w:color w:val="00B050"/>
                <w:szCs w:val="24"/>
                <w:lang w:val="sr-Cyrl-RS"/>
              </w:rPr>
            </w:pPr>
          </w:p>
          <w:p w14:paraId="60A35B54" w14:textId="172F17C3" w:rsidR="000A7140" w:rsidRDefault="000A7140" w:rsidP="004A759B">
            <w:pPr>
              <w:rPr>
                <w:rFonts w:ascii="Times New Roman" w:eastAsia="Times New Roman" w:hAnsi="Times New Roman"/>
                <w:color w:val="00B050"/>
                <w:szCs w:val="24"/>
                <w:lang w:val="sr-Cyrl-RS"/>
              </w:rPr>
            </w:pPr>
          </w:p>
          <w:p w14:paraId="04AF5A93" w14:textId="77777777" w:rsidR="000A7140" w:rsidRPr="004A759B" w:rsidRDefault="000A7140" w:rsidP="004A759B">
            <w:pPr>
              <w:rPr>
                <w:rFonts w:ascii="Times New Roman" w:eastAsia="Times New Roman" w:hAnsi="Times New Roman"/>
                <w:color w:val="00B050"/>
                <w:szCs w:val="24"/>
                <w:lang w:val="sr-Cyrl-RS"/>
              </w:rPr>
            </w:pPr>
          </w:p>
          <w:p w14:paraId="294571A8" w14:textId="5D1CD0AB" w:rsidR="007C3071" w:rsidRPr="00541DEB" w:rsidRDefault="007C3071" w:rsidP="00541DEB">
            <w:pPr>
              <w:pStyle w:val="ListParagraph"/>
              <w:keepNext/>
              <w:keepLines/>
              <w:numPr>
                <w:ilvl w:val="1"/>
                <w:numId w:val="23"/>
              </w:numPr>
              <w:spacing w:before="40"/>
              <w:ind w:left="330"/>
              <w:jc w:val="left"/>
              <w:outlineLvl w:val="1"/>
              <w:rPr>
                <w:rFonts w:ascii="Times New Roman" w:eastAsiaTheme="majorEastAsia" w:hAnsi="Times New Roman"/>
                <w:b/>
                <w:noProof/>
                <w:sz w:val="22"/>
                <w:szCs w:val="22"/>
                <w:lang w:val="sr-Cyrl-RS" w:eastAsia="en-GB"/>
              </w:rPr>
            </w:pPr>
            <w:r w:rsidRPr="00541DEB">
              <w:rPr>
                <w:rFonts w:ascii="Times New Roman" w:eastAsiaTheme="majorEastAsia" w:hAnsi="Times New Roman"/>
                <w:b/>
                <w:noProof/>
                <w:sz w:val="22"/>
                <w:szCs w:val="22"/>
                <w:lang w:val="sr-Cyrl-RS" w:eastAsia="en-GB"/>
              </w:rPr>
              <w:t>Увођење е-управе</w:t>
            </w:r>
            <w:bookmarkEnd w:id="1"/>
          </w:p>
          <w:p w14:paraId="68261105" w14:textId="77777777" w:rsidR="007C3071" w:rsidRPr="007C3071" w:rsidRDefault="007C3071" w:rsidP="007C3071">
            <w:pPr>
              <w:rPr>
                <w:rFonts w:ascii="Times New Roman" w:eastAsia="Times New Roman" w:hAnsi="Times New Roman"/>
                <w:noProof/>
                <w:sz w:val="22"/>
                <w:szCs w:val="22"/>
                <w:lang w:val="sr-Cyrl-RS"/>
              </w:rPr>
            </w:pPr>
          </w:p>
          <w:p w14:paraId="1767E89A" w14:textId="201139A2" w:rsidR="007C3071" w:rsidRDefault="007C3071" w:rsidP="007C3071">
            <w:pPr>
              <w:rPr>
                <w:rFonts w:ascii="Times New Roman" w:eastAsia="Times New Roman" w:hAnsi="Times New Roman"/>
                <w:noProof/>
                <w:sz w:val="22"/>
                <w:szCs w:val="22"/>
                <w:lang w:val="sr-Cyrl-RS"/>
              </w:rPr>
            </w:pPr>
            <w:r w:rsidRPr="007C3071">
              <w:rPr>
                <w:rFonts w:ascii="Times New Roman" w:eastAsia="Times New Roman" w:hAnsi="Times New Roman"/>
                <w:noProof/>
                <w:sz w:val="22"/>
                <w:szCs w:val="22"/>
                <w:lang w:val="sr-Cyrl-RS"/>
              </w:rPr>
              <w:t xml:space="preserve">Поступак подразумева подношење захтева надлежном органу поштом или лично, а достављање акта подносиоцу захтева поштом. Још увек није успостављена пуна електронска управа, нити поједини сегменти електронске комуникације. </w:t>
            </w:r>
          </w:p>
          <w:p w14:paraId="4FDCB04D" w14:textId="77777777" w:rsidR="00D60299" w:rsidRPr="007C3071" w:rsidRDefault="00D60299" w:rsidP="007C3071">
            <w:pPr>
              <w:rPr>
                <w:rFonts w:ascii="Times New Roman" w:eastAsia="Times New Roman" w:hAnsi="Times New Roman"/>
                <w:noProof/>
                <w:sz w:val="22"/>
                <w:szCs w:val="22"/>
                <w:lang w:val="sr-Cyrl-RS"/>
              </w:rPr>
            </w:pPr>
          </w:p>
          <w:p w14:paraId="0853121F" w14:textId="77777777" w:rsidR="007C3071" w:rsidRPr="007C3071" w:rsidRDefault="007C3071" w:rsidP="007C3071">
            <w:pPr>
              <w:shd w:val="clear" w:color="auto" w:fill="FFFFFF"/>
              <w:rPr>
                <w:rFonts w:ascii="Times New Roman" w:hAnsi="Times New Roman"/>
                <w:noProof/>
                <w:sz w:val="22"/>
                <w:szCs w:val="22"/>
                <w:lang w:val="sr-Cyrl-RS"/>
              </w:rPr>
            </w:pPr>
            <w:r w:rsidRPr="007C3071">
              <w:rPr>
                <w:rFonts w:ascii="Times New Roman" w:hAnsi="Times New Roman"/>
                <w:noProof/>
                <w:sz w:val="22"/>
                <w:szCs w:val="22"/>
                <w:lang w:val="sr-Cyrl-RS"/>
              </w:rPr>
              <w:t>У циљу увођења савремених начина административног поступања, ефикаснијег и jедноставнијег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увођење е-управе, тако што ће се омогућити спровођење поступка електронским путем у целости, уз услов да се обезбеде технички услови за ову препоруку.</w:t>
            </w:r>
          </w:p>
          <w:p w14:paraId="75EAEF3F" w14:textId="77777777" w:rsidR="007C3071" w:rsidRPr="007C3071" w:rsidRDefault="007C3071" w:rsidP="007C3071">
            <w:pPr>
              <w:shd w:val="clear" w:color="auto" w:fill="FFFFFF"/>
              <w:ind w:left="30"/>
              <w:rPr>
                <w:rFonts w:ascii="Times New Roman" w:hAnsi="Times New Roman"/>
                <w:noProof/>
                <w:sz w:val="22"/>
                <w:szCs w:val="22"/>
                <w:lang w:val="sr-Cyrl-RS"/>
              </w:rPr>
            </w:pPr>
          </w:p>
          <w:p w14:paraId="50E948BC" w14:textId="470818D8" w:rsidR="007C3071" w:rsidRDefault="007C3071" w:rsidP="007C3071">
            <w:pPr>
              <w:rPr>
                <w:rFonts w:ascii="Times New Roman" w:hAnsi="Times New Roman"/>
                <w:b/>
                <w:i/>
                <w:iCs/>
                <w:noProof/>
                <w:sz w:val="22"/>
                <w:szCs w:val="22"/>
                <w:lang w:val="sr-Cyrl-RS"/>
              </w:rPr>
            </w:pPr>
            <w:r w:rsidRPr="007C3071">
              <w:rPr>
                <w:rFonts w:ascii="Times New Roman" w:hAnsi="Times New Roman"/>
                <w:b/>
                <w:i/>
                <w:iCs/>
                <w:noProof/>
                <w:sz w:val="22"/>
                <w:szCs w:val="22"/>
                <w:lang w:val="sr-Cyrl-RS"/>
              </w:rPr>
              <w:t xml:space="preserve">За примену ове препоруке, није </w:t>
            </w:r>
            <w:r w:rsidRPr="007C3071">
              <w:rPr>
                <w:rFonts w:ascii="Times New Roman" w:hAnsi="Times New Roman"/>
                <w:b/>
                <w:i/>
                <w:iCs/>
                <w:noProof/>
                <w:color w:val="000000" w:themeColor="text1"/>
                <w:sz w:val="22"/>
                <w:szCs w:val="22"/>
                <w:lang w:val="sr-Cyrl-RS"/>
              </w:rPr>
              <w:t xml:space="preserve">потребна </w:t>
            </w:r>
            <w:r w:rsidRPr="007C3071">
              <w:rPr>
                <w:rFonts w:ascii="Times New Roman" w:hAnsi="Times New Roman"/>
                <w:b/>
                <w:i/>
                <w:iCs/>
                <w:noProof/>
                <w:sz w:val="22"/>
                <w:szCs w:val="22"/>
                <w:lang w:val="sr-Cyrl-RS"/>
              </w:rPr>
              <w:t>измена прописа.</w:t>
            </w:r>
          </w:p>
          <w:p w14:paraId="3EAB4AF8" w14:textId="3B475BAB" w:rsidR="007C3071" w:rsidRPr="00DB19B9" w:rsidRDefault="007C3071" w:rsidP="00541DEB">
            <w:pPr>
              <w:rPr>
                <w:rFonts w:ascii="Times New Roman" w:eastAsia="Times New Roman" w:hAnsi="Times New Roman"/>
                <w:b/>
                <w:sz w:val="24"/>
                <w:szCs w:val="24"/>
                <w:lang w:val="sr-Cyrl-RS"/>
              </w:rPr>
            </w:pPr>
          </w:p>
        </w:tc>
      </w:tr>
      <w:tr w:rsidR="00CA1CE9" w:rsidRPr="00DB19B9" w14:paraId="52C990E5" w14:textId="77777777" w:rsidTr="005640C8">
        <w:trPr>
          <w:trHeight w:val="454"/>
          <w:jc w:val="center"/>
        </w:trPr>
        <w:tc>
          <w:tcPr>
            <w:tcW w:w="9060" w:type="dxa"/>
            <w:gridSpan w:val="2"/>
            <w:shd w:val="clear" w:color="auto" w:fill="DBE5F1" w:themeFill="accent1" w:themeFillTint="33"/>
            <w:vAlign w:val="center"/>
          </w:tcPr>
          <w:p w14:paraId="493D6146" w14:textId="7E30E1D1" w:rsidR="00CA1CE9" w:rsidRPr="00DB19B9" w:rsidRDefault="00CA1CE9" w:rsidP="00C70F1B">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B19B9" w14:paraId="077D3505" w14:textId="77777777" w:rsidTr="005640C8">
        <w:trPr>
          <w:trHeight w:val="454"/>
          <w:jc w:val="center"/>
        </w:trPr>
        <w:tc>
          <w:tcPr>
            <w:tcW w:w="9060" w:type="dxa"/>
            <w:gridSpan w:val="2"/>
            <w:shd w:val="clear" w:color="auto" w:fill="auto"/>
            <w:vAlign w:val="center"/>
          </w:tcPr>
          <w:p w14:paraId="39763933" w14:textId="319DC274" w:rsidR="00135AE4" w:rsidRPr="000A7140" w:rsidRDefault="004A759B" w:rsidP="000A7140">
            <w:pPr>
              <w:rPr>
                <w:rFonts w:ascii="Times New Roman" w:hAnsi="Times New Roman"/>
                <w:bCs/>
                <w:iCs/>
                <w:sz w:val="22"/>
                <w:szCs w:val="22"/>
                <w:shd w:val="clear" w:color="auto" w:fill="FFFFFF"/>
                <w:lang w:val="sr-Cyrl-CS" w:eastAsia="sr-Latn-ME"/>
              </w:rPr>
            </w:pPr>
            <w:r w:rsidRPr="004A759B">
              <w:rPr>
                <w:rFonts w:ascii="Times New Roman" w:hAnsi="Times New Roman"/>
                <w:bCs/>
                <w:iCs/>
                <w:sz w:val="22"/>
                <w:szCs w:val="22"/>
                <w:shd w:val="clear" w:color="auto" w:fill="FFFFFF"/>
                <w:lang w:val="sr-Cyrl-CS" w:eastAsia="sr-Latn-ME"/>
              </w:rPr>
              <w:t>За примену препорук</w:t>
            </w:r>
            <w:r>
              <w:rPr>
                <w:rFonts w:ascii="Times New Roman" w:hAnsi="Times New Roman"/>
                <w:bCs/>
                <w:iCs/>
                <w:sz w:val="22"/>
                <w:szCs w:val="22"/>
                <w:shd w:val="clear" w:color="auto" w:fill="FFFFFF"/>
                <w:lang w:val="sr-Cyrl-CS" w:eastAsia="sr-Latn-ME"/>
              </w:rPr>
              <w:t>а</w:t>
            </w:r>
            <w:r w:rsidRPr="004A759B">
              <w:rPr>
                <w:rFonts w:ascii="Times New Roman" w:hAnsi="Times New Roman"/>
                <w:bCs/>
                <w:iCs/>
                <w:sz w:val="22"/>
                <w:szCs w:val="22"/>
                <w:shd w:val="clear" w:color="auto" w:fill="FFFFFF"/>
                <w:lang w:val="sr-Cyrl-CS" w:eastAsia="sr-Latn-ME"/>
              </w:rPr>
              <w:t xml:space="preserve"> </w:t>
            </w:r>
            <w:r w:rsidR="000A7140">
              <w:t xml:space="preserve"> </w:t>
            </w:r>
            <w:r w:rsidR="000A7140" w:rsidRPr="000A7140">
              <w:rPr>
                <w:rFonts w:ascii="Times New Roman" w:hAnsi="Times New Roman"/>
                <w:bCs/>
                <w:iCs/>
                <w:sz w:val="22"/>
                <w:szCs w:val="22"/>
                <w:shd w:val="clear" w:color="auto" w:fill="FFFFFF"/>
                <w:lang w:val="sr-Cyrl-CS" w:eastAsia="sr-Latn-ME"/>
              </w:rPr>
              <w:t>3.1.</w:t>
            </w:r>
            <w:r w:rsidR="000A7140">
              <w:rPr>
                <w:rFonts w:ascii="Times New Roman" w:hAnsi="Times New Roman"/>
                <w:bCs/>
                <w:iCs/>
                <w:sz w:val="22"/>
                <w:szCs w:val="22"/>
                <w:shd w:val="clear" w:color="auto" w:fill="FFFFFF"/>
                <w:lang w:val="sr-Latn-RS" w:eastAsia="sr-Latn-ME"/>
              </w:rPr>
              <w:t xml:space="preserve"> </w:t>
            </w:r>
            <w:r w:rsidR="000A7140" w:rsidRPr="000A7140">
              <w:rPr>
                <w:rFonts w:ascii="Times New Roman" w:hAnsi="Times New Roman"/>
                <w:bCs/>
                <w:iCs/>
                <w:sz w:val="22"/>
                <w:szCs w:val="22"/>
                <w:shd w:val="clear" w:color="auto" w:fill="FFFFFF"/>
                <w:lang w:val="sr-Cyrl-CS" w:eastAsia="sr-Latn-ME"/>
              </w:rPr>
              <w:t>Увођење обрасца захтева</w:t>
            </w:r>
            <w:r w:rsidR="000A7140">
              <w:rPr>
                <w:rFonts w:ascii="Times New Roman" w:hAnsi="Times New Roman"/>
                <w:bCs/>
                <w:iCs/>
                <w:sz w:val="22"/>
                <w:szCs w:val="22"/>
                <w:shd w:val="clear" w:color="auto" w:fill="FFFFFF"/>
                <w:lang w:val="sr-Latn-RS" w:eastAsia="sr-Latn-ME"/>
              </w:rPr>
              <w:t xml:space="preserve"> </w:t>
            </w:r>
            <w:r w:rsidR="000A7140">
              <w:rPr>
                <w:rFonts w:ascii="Times New Roman" w:hAnsi="Times New Roman"/>
                <w:bCs/>
                <w:iCs/>
                <w:sz w:val="22"/>
                <w:szCs w:val="22"/>
                <w:shd w:val="clear" w:color="auto" w:fill="FFFFFF"/>
                <w:lang w:val="sr-Cyrl-RS" w:eastAsia="sr-Latn-ME"/>
              </w:rPr>
              <w:t xml:space="preserve">и </w:t>
            </w:r>
            <w:r w:rsidR="000A7140" w:rsidRPr="000A7140">
              <w:rPr>
                <w:rFonts w:ascii="Times New Roman" w:hAnsi="Times New Roman"/>
                <w:bCs/>
                <w:iCs/>
                <w:sz w:val="22"/>
                <w:szCs w:val="22"/>
                <w:shd w:val="clear" w:color="auto" w:fill="FFFFFF"/>
                <w:lang w:val="sr-Cyrl-CS" w:eastAsia="sr-Latn-ME"/>
              </w:rPr>
              <w:t xml:space="preserve"> 3.2.</w:t>
            </w:r>
            <w:r w:rsidR="000A7140">
              <w:rPr>
                <w:rFonts w:ascii="Times New Roman" w:hAnsi="Times New Roman"/>
                <w:bCs/>
                <w:iCs/>
                <w:sz w:val="22"/>
                <w:szCs w:val="22"/>
                <w:shd w:val="clear" w:color="auto" w:fill="FFFFFF"/>
                <w:lang w:val="sr-Cyrl-CS" w:eastAsia="sr-Latn-ME"/>
              </w:rPr>
              <w:t xml:space="preserve"> </w:t>
            </w:r>
            <w:r w:rsidR="000A7140" w:rsidRPr="000A7140">
              <w:rPr>
                <w:rFonts w:ascii="Times New Roman" w:hAnsi="Times New Roman"/>
                <w:bCs/>
                <w:iCs/>
                <w:sz w:val="22"/>
                <w:szCs w:val="22"/>
                <w:shd w:val="clear" w:color="auto" w:fill="FFFFFF"/>
                <w:lang w:val="sr-Cyrl-CS" w:eastAsia="sr-Latn-ME"/>
              </w:rPr>
              <w:t>Прибављање података по службеној дужности</w:t>
            </w:r>
            <w:r w:rsidR="000A7140">
              <w:rPr>
                <w:rFonts w:ascii="Times New Roman" w:hAnsi="Times New Roman"/>
                <w:bCs/>
                <w:iCs/>
                <w:sz w:val="22"/>
                <w:szCs w:val="22"/>
                <w:shd w:val="clear" w:color="auto" w:fill="FFFFFF"/>
                <w:lang w:val="sr-Cyrl-CS" w:eastAsia="sr-Latn-ME"/>
              </w:rPr>
              <w:t xml:space="preserve"> </w:t>
            </w:r>
            <w:r>
              <w:rPr>
                <w:rFonts w:ascii="Times New Roman" w:hAnsi="Times New Roman"/>
                <w:bCs/>
                <w:iCs/>
                <w:sz w:val="22"/>
                <w:szCs w:val="22"/>
                <w:shd w:val="clear" w:color="auto" w:fill="FFFFFF"/>
                <w:lang w:val="sr-Cyrl-CS" w:eastAsia="sr-Latn-ME"/>
              </w:rPr>
              <w:t xml:space="preserve"> </w:t>
            </w:r>
            <w:r w:rsidRPr="004A759B">
              <w:rPr>
                <w:rFonts w:ascii="Times New Roman" w:hAnsi="Times New Roman"/>
                <w:bCs/>
                <w:iCs/>
                <w:sz w:val="22"/>
                <w:szCs w:val="22"/>
                <w:shd w:val="clear" w:color="auto" w:fill="FFFFFF"/>
                <w:lang w:val="sr-Cyrl-CS" w:eastAsia="sr-Latn-ME"/>
              </w:rPr>
              <w:t>потребно</w:t>
            </w:r>
            <w:r w:rsidR="000A7140">
              <w:rPr>
                <w:rFonts w:ascii="Times New Roman" w:hAnsi="Times New Roman"/>
                <w:bCs/>
                <w:iCs/>
                <w:sz w:val="22"/>
                <w:szCs w:val="22"/>
                <w:shd w:val="clear" w:color="auto" w:fill="FFFFFF"/>
                <w:lang w:val="sr-Cyrl-CS" w:eastAsia="sr-Latn-ME"/>
              </w:rPr>
              <w:t xml:space="preserve"> је</w:t>
            </w:r>
            <w:r w:rsidRPr="004A759B">
              <w:rPr>
                <w:rFonts w:ascii="Times New Roman" w:hAnsi="Times New Roman"/>
                <w:bCs/>
                <w:iCs/>
                <w:sz w:val="22"/>
                <w:szCs w:val="22"/>
                <w:shd w:val="clear" w:color="auto" w:fill="FFFFFF"/>
                <w:lang w:val="sr-Cyrl-CS" w:eastAsia="sr-Latn-ME"/>
              </w:rPr>
              <w:t xml:space="preserve"> доношење инструкције за спровођење поступка</w:t>
            </w:r>
            <w:r w:rsidR="002535B8" w:rsidRPr="002535B8">
              <w:rPr>
                <w:rFonts w:ascii="Times New Roman" w:hAnsi="Times New Roman"/>
                <w:bCs/>
                <w:iCs/>
                <w:sz w:val="22"/>
                <w:szCs w:val="22"/>
                <w:shd w:val="clear" w:color="auto" w:fill="FFFFFF"/>
                <w:lang w:val="sr-Cyrl-CS" w:eastAsia="sr-Latn-ME"/>
              </w:rPr>
              <w:t xml:space="preserve">, чији нацрт је у прилогу ПР обрасца. </w:t>
            </w:r>
          </w:p>
        </w:tc>
      </w:tr>
      <w:tr w:rsidR="00CA1CE9" w:rsidRPr="00DB19B9" w14:paraId="0489C5FC" w14:textId="77777777" w:rsidTr="005640C8">
        <w:trPr>
          <w:trHeight w:val="454"/>
          <w:jc w:val="center"/>
        </w:trPr>
        <w:tc>
          <w:tcPr>
            <w:tcW w:w="9060" w:type="dxa"/>
            <w:gridSpan w:val="2"/>
            <w:shd w:val="clear" w:color="auto" w:fill="DBE5F1" w:themeFill="accent1" w:themeFillTint="33"/>
            <w:vAlign w:val="center"/>
          </w:tcPr>
          <w:p w14:paraId="6DA2404D" w14:textId="1F3F0197"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ПРЕГЛЕД ОДРЕДБИ ПРОПИСА ЧИЈА СЕ ИЗМЕНА ПРЕДЛАЖЕ</w:t>
            </w:r>
          </w:p>
        </w:tc>
      </w:tr>
      <w:tr w:rsidR="00CA1CE9" w:rsidRPr="00DB19B9" w14:paraId="3C4DDA6A" w14:textId="77777777" w:rsidTr="005640C8">
        <w:trPr>
          <w:trHeight w:val="454"/>
          <w:jc w:val="center"/>
        </w:trPr>
        <w:tc>
          <w:tcPr>
            <w:tcW w:w="9060" w:type="dxa"/>
            <w:gridSpan w:val="2"/>
            <w:shd w:val="clear" w:color="auto" w:fill="auto"/>
            <w:vAlign w:val="center"/>
          </w:tcPr>
          <w:p w14:paraId="1506ADFF" w14:textId="482A6BC4" w:rsidR="00135AE4" w:rsidRPr="000A7140" w:rsidRDefault="000A7140" w:rsidP="000A7140">
            <w:pPr>
              <w:rPr>
                <w:rFonts w:ascii="Times New Roman" w:hAnsi="Times New Roman"/>
                <w:bCs/>
                <w:iCs/>
                <w:sz w:val="22"/>
                <w:szCs w:val="22"/>
                <w:shd w:val="clear" w:color="auto" w:fill="FFFFFF"/>
                <w:lang w:val="sr-Cyrl-CS" w:eastAsia="sr-Latn-ME"/>
              </w:rPr>
            </w:pPr>
            <w:r w:rsidRPr="004A759B">
              <w:rPr>
                <w:rFonts w:ascii="Times New Roman" w:hAnsi="Times New Roman"/>
                <w:bCs/>
                <w:iCs/>
                <w:sz w:val="22"/>
                <w:szCs w:val="22"/>
                <w:shd w:val="clear" w:color="auto" w:fill="FFFFFF"/>
                <w:lang w:val="sr-Cyrl-CS" w:eastAsia="sr-Latn-ME"/>
              </w:rPr>
              <w:t>За примену препорук</w:t>
            </w:r>
            <w:r>
              <w:rPr>
                <w:rFonts w:ascii="Times New Roman" w:hAnsi="Times New Roman"/>
                <w:bCs/>
                <w:iCs/>
                <w:sz w:val="22"/>
                <w:szCs w:val="22"/>
                <w:shd w:val="clear" w:color="auto" w:fill="FFFFFF"/>
                <w:lang w:val="sr-Cyrl-CS" w:eastAsia="sr-Latn-ME"/>
              </w:rPr>
              <w:t>а</w:t>
            </w:r>
            <w:r w:rsidRPr="004A759B">
              <w:rPr>
                <w:rFonts w:ascii="Times New Roman" w:hAnsi="Times New Roman"/>
                <w:bCs/>
                <w:iCs/>
                <w:sz w:val="22"/>
                <w:szCs w:val="22"/>
                <w:shd w:val="clear" w:color="auto" w:fill="FFFFFF"/>
                <w:lang w:val="sr-Cyrl-CS" w:eastAsia="sr-Latn-ME"/>
              </w:rPr>
              <w:t xml:space="preserve"> </w:t>
            </w:r>
            <w:r>
              <w:t xml:space="preserve"> </w:t>
            </w:r>
            <w:r w:rsidRPr="000A7140">
              <w:rPr>
                <w:rFonts w:ascii="Times New Roman" w:hAnsi="Times New Roman"/>
                <w:bCs/>
                <w:iCs/>
                <w:sz w:val="22"/>
                <w:szCs w:val="22"/>
                <w:shd w:val="clear" w:color="auto" w:fill="FFFFFF"/>
                <w:lang w:val="sr-Cyrl-CS" w:eastAsia="sr-Latn-ME"/>
              </w:rPr>
              <w:t>3.1.</w:t>
            </w:r>
            <w:r>
              <w:rPr>
                <w:rFonts w:ascii="Times New Roman" w:hAnsi="Times New Roman"/>
                <w:bCs/>
                <w:iCs/>
                <w:sz w:val="22"/>
                <w:szCs w:val="22"/>
                <w:shd w:val="clear" w:color="auto" w:fill="FFFFFF"/>
                <w:lang w:val="sr-Latn-RS" w:eastAsia="sr-Latn-ME"/>
              </w:rPr>
              <w:t xml:space="preserve"> </w:t>
            </w:r>
            <w:r w:rsidRPr="000A7140">
              <w:rPr>
                <w:rFonts w:ascii="Times New Roman" w:hAnsi="Times New Roman"/>
                <w:bCs/>
                <w:iCs/>
                <w:sz w:val="22"/>
                <w:szCs w:val="22"/>
                <w:shd w:val="clear" w:color="auto" w:fill="FFFFFF"/>
                <w:lang w:val="sr-Cyrl-CS" w:eastAsia="sr-Latn-ME"/>
              </w:rPr>
              <w:t>Увођење обрасца захтева</w:t>
            </w:r>
            <w:r>
              <w:rPr>
                <w:rFonts w:ascii="Times New Roman" w:hAnsi="Times New Roman"/>
                <w:bCs/>
                <w:iCs/>
                <w:sz w:val="22"/>
                <w:szCs w:val="22"/>
                <w:shd w:val="clear" w:color="auto" w:fill="FFFFFF"/>
                <w:lang w:val="sr-Latn-RS" w:eastAsia="sr-Latn-ME"/>
              </w:rPr>
              <w:t xml:space="preserve"> </w:t>
            </w:r>
            <w:r>
              <w:rPr>
                <w:rFonts w:ascii="Times New Roman" w:hAnsi="Times New Roman"/>
                <w:bCs/>
                <w:iCs/>
                <w:sz w:val="22"/>
                <w:szCs w:val="22"/>
                <w:shd w:val="clear" w:color="auto" w:fill="FFFFFF"/>
                <w:lang w:val="sr-Cyrl-RS" w:eastAsia="sr-Latn-ME"/>
              </w:rPr>
              <w:t xml:space="preserve">и </w:t>
            </w:r>
            <w:r w:rsidRPr="000A7140">
              <w:rPr>
                <w:rFonts w:ascii="Times New Roman" w:hAnsi="Times New Roman"/>
                <w:bCs/>
                <w:iCs/>
                <w:sz w:val="22"/>
                <w:szCs w:val="22"/>
                <w:shd w:val="clear" w:color="auto" w:fill="FFFFFF"/>
                <w:lang w:val="sr-Cyrl-CS" w:eastAsia="sr-Latn-ME"/>
              </w:rPr>
              <w:t xml:space="preserve"> 3.2.</w:t>
            </w:r>
            <w:r>
              <w:rPr>
                <w:rFonts w:ascii="Times New Roman" w:hAnsi="Times New Roman"/>
                <w:bCs/>
                <w:iCs/>
                <w:sz w:val="22"/>
                <w:szCs w:val="22"/>
                <w:shd w:val="clear" w:color="auto" w:fill="FFFFFF"/>
                <w:lang w:val="sr-Cyrl-CS" w:eastAsia="sr-Latn-ME"/>
              </w:rPr>
              <w:t xml:space="preserve"> </w:t>
            </w:r>
            <w:r w:rsidRPr="000A7140">
              <w:rPr>
                <w:rFonts w:ascii="Times New Roman" w:hAnsi="Times New Roman"/>
                <w:bCs/>
                <w:iCs/>
                <w:sz w:val="22"/>
                <w:szCs w:val="22"/>
                <w:shd w:val="clear" w:color="auto" w:fill="FFFFFF"/>
                <w:lang w:val="sr-Cyrl-CS" w:eastAsia="sr-Latn-ME"/>
              </w:rPr>
              <w:t>Прибављање података по службеној дужности</w:t>
            </w:r>
            <w:r>
              <w:rPr>
                <w:rFonts w:ascii="Times New Roman" w:hAnsi="Times New Roman"/>
                <w:bCs/>
                <w:iCs/>
                <w:sz w:val="22"/>
                <w:szCs w:val="22"/>
                <w:shd w:val="clear" w:color="auto" w:fill="FFFFFF"/>
                <w:lang w:val="sr-Cyrl-CS" w:eastAsia="sr-Latn-ME"/>
              </w:rPr>
              <w:t xml:space="preserve">  </w:t>
            </w:r>
            <w:r w:rsidRPr="004A759B">
              <w:rPr>
                <w:rFonts w:ascii="Times New Roman" w:hAnsi="Times New Roman"/>
                <w:bCs/>
                <w:iCs/>
                <w:sz w:val="22"/>
                <w:szCs w:val="22"/>
                <w:shd w:val="clear" w:color="auto" w:fill="FFFFFF"/>
                <w:lang w:val="sr-Cyrl-CS" w:eastAsia="sr-Latn-ME"/>
              </w:rPr>
              <w:t>потребно</w:t>
            </w:r>
            <w:r>
              <w:rPr>
                <w:rFonts w:ascii="Times New Roman" w:hAnsi="Times New Roman"/>
                <w:bCs/>
                <w:iCs/>
                <w:sz w:val="22"/>
                <w:szCs w:val="22"/>
                <w:shd w:val="clear" w:color="auto" w:fill="FFFFFF"/>
                <w:lang w:val="sr-Cyrl-CS" w:eastAsia="sr-Latn-ME"/>
              </w:rPr>
              <w:t xml:space="preserve"> је</w:t>
            </w:r>
            <w:r w:rsidRPr="004A759B">
              <w:rPr>
                <w:rFonts w:ascii="Times New Roman" w:hAnsi="Times New Roman"/>
                <w:bCs/>
                <w:iCs/>
                <w:sz w:val="22"/>
                <w:szCs w:val="22"/>
                <w:shd w:val="clear" w:color="auto" w:fill="FFFFFF"/>
                <w:lang w:val="sr-Cyrl-CS" w:eastAsia="sr-Latn-ME"/>
              </w:rPr>
              <w:t xml:space="preserve"> доношење инструкције за спровођење поступка</w:t>
            </w:r>
            <w:r w:rsidR="002535B8">
              <w:rPr>
                <w:rFonts w:ascii="Times New Roman" w:hAnsi="Times New Roman"/>
                <w:bCs/>
                <w:iCs/>
                <w:sz w:val="22"/>
                <w:szCs w:val="22"/>
                <w:shd w:val="clear" w:color="auto" w:fill="FFFFFF"/>
                <w:lang w:val="sr-Cyrl-CS" w:eastAsia="sr-Latn-ME"/>
              </w:rPr>
              <w:t xml:space="preserve">, </w:t>
            </w:r>
            <w:r w:rsidR="002535B8" w:rsidRPr="002535B8">
              <w:rPr>
                <w:rFonts w:ascii="Times New Roman" w:hAnsi="Times New Roman"/>
                <w:bCs/>
                <w:iCs/>
                <w:sz w:val="22"/>
                <w:szCs w:val="22"/>
                <w:shd w:val="clear" w:color="auto" w:fill="FFFFFF"/>
                <w:lang w:val="sr-Cyrl-CS" w:eastAsia="sr-Latn-ME"/>
              </w:rPr>
              <w:t>чији нацрт је у прилогу ПР обрасца</w:t>
            </w:r>
            <w:r w:rsidRPr="004A759B">
              <w:rPr>
                <w:rFonts w:ascii="Times New Roman" w:hAnsi="Times New Roman"/>
                <w:bCs/>
                <w:iCs/>
                <w:sz w:val="22"/>
                <w:szCs w:val="22"/>
                <w:shd w:val="clear" w:color="auto" w:fill="FFFFFF"/>
                <w:lang w:val="sr-Cyrl-CS" w:eastAsia="sr-Latn-ME"/>
              </w:rPr>
              <w:t>.</w:t>
            </w:r>
          </w:p>
        </w:tc>
      </w:tr>
      <w:tr w:rsidR="00CA1CE9" w:rsidRPr="00DB19B9" w14:paraId="429F5407" w14:textId="77777777" w:rsidTr="005640C8">
        <w:trPr>
          <w:trHeight w:val="454"/>
          <w:jc w:val="center"/>
        </w:trPr>
        <w:tc>
          <w:tcPr>
            <w:tcW w:w="9060" w:type="dxa"/>
            <w:gridSpan w:val="2"/>
            <w:shd w:val="clear" w:color="auto" w:fill="DBE5F1" w:themeFill="accent1" w:themeFillTint="33"/>
            <w:vAlign w:val="center"/>
          </w:tcPr>
          <w:p w14:paraId="033C7D4B" w14:textId="7099FA8B"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АНАЛИЗА ЕФЕКАТА ПРЕПОРУКЕ (АЕП)</w:t>
            </w:r>
          </w:p>
        </w:tc>
      </w:tr>
      <w:tr w:rsidR="00CA1CE9" w:rsidRPr="00DB19B9" w14:paraId="72BD2239" w14:textId="77777777" w:rsidTr="005640C8">
        <w:trPr>
          <w:trHeight w:val="454"/>
          <w:jc w:val="center"/>
        </w:trPr>
        <w:tc>
          <w:tcPr>
            <w:tcW w:w="9060" w:type="dxa"/>
            <w:gridSpan w:val="2"/>
            <w:shd w:val="clear" w:color="auto" w:fill="auto"/>
          </w:tcPr>
          <w:p w14:paraId="35C91AB0" w14:textId="77777777" w:rsidR="00CA1CE9" w:rsidRPr="005640C8" w:rsidRDefault="00CA1CE9" w:rsidP="00DB19B9">
            <w:pPr>
              <w:jc w:val="left"/>
              <w:rPr>
                <w:rFonts w:ascii="Times New Roman" w:eastAsia="Times New Roman" w:hAnsi="Times New Roman"/>
                <w:sz w:val="22"/>
                <w:szCs w:val="24"/>
                <w:lang w:val="sr-Cyrl-RS"/>
              </w:rPr>
            </w:pPr>
          </w:p>
          <w:p w14:paraId="0A9D8864" w14:textId="70F9EB35" w:rsidR="004A759B" w:rsidRPr="005640C8" w:rsidRDefault="006216E6" w:rsidP="006216E6">
            <w:pPr>
              <w:rPr>
                <w:rFonts w:ascii="Times New Roman" w:eastAsia="Times New Roman" w:hAnsi="Times New Roman"/>
                <w:sz w:val="22"/>
                <w:szCs w:val="24"/>
                <w:lang w:val="sr-Cyrl-RS"/>
              </w:rPr>
            </w:pPr>
            <w:r w:rsidRPr="006216E6">
              <w:rPr>
                <w:rFonts w:ascii="Times New Roman" w:eastAsia="Times New Roman" w:hAnsi="Times New Roman"/>
                <w:sz w:val="22"/>
                <w:szCs w:val="24"/>
                <w:lang w:val="sr-Cyrl-RS"/>
              </w:rPr>
              <w:t>Директни трошкови спровођења овог поступка за привредне субјекте на годишњем нивоу износе 457.030,69 РСД. Усвајање и примена препорука ће донети привредним субјектима годишње директне уштеде од 223.643,60 РСД или  1.838,84 ЕУР. Ове уштеде износе 48,93% укупних директних трошкова привредних субјеката у поступку.</w:t>
            </w:r>
          </w:p>
          <w:p w14:paraId="0423E34C" w14:textId="77777777" w:rsidR="004A759B" w:rsidRPr="005640C8" w:rsidRDefault="004A759B" w:rsidP="00DB19B9">
            <w:pPr>
              <w:jc w:val="left"/>
              <w:rPr>
                <w:rFonts w:ascii="Times New Roman" w:eastAsia="Times New Roman" w:hAnsi="Times New Roman"/>
                <w:sz w:val="22"/>
                <w:szCs w:val="24"/>
                <w:lang w:val="sr-Cyrl-RS"/>
              </w:rPr>
            </w:pPr>
          </w:p>
          <w:p w14:paraId="64B1E373" w14:textId="6068A6D5" w:rsidR="004A759B" w:rsidRPr="005640C8" w:rsidRDefault="00541DEB" w:rsidP="006216E6">
            <w:pPr>
              <w:rPr>
                <w:rFonts w:ascii="Times New Roman" w:eastAsia="Times New Roman" w:hAnsi="Times New Roman"/>
                <w:sz w:val="22"/>
                <w:szCs w:val="24"/>
                <w:lang w:val="sr-Cyrl-RS"/>
              </w:rPr>
            </w:pPr>
            <w:r w:rsidRPr="005640C8">
              <w:rPr>
                <w:rFonts w:ascii="Times New Roman" w:eastAsia="Times New Roman" w:hAnsi="Times New Roman"/>
                <w:sz w:val="22"/>
                <w:szCs w:val="24"/>
                <w:lang w:val="sr-Cyrl-RS"/>
              </w:rPr>
              <w:t>Препоруке ће допринети истоветности поступања, транспарентности поступка, поједностављењу поступка за привредне субјекте. Препорукама се такође утиче на побољшање пословног амбијента.</w:t>
            </w:r>
          </w:p>
          <w:p w14:paraId="525F6BFD" w14:textId="77777777" w:rsidR="004A759B" w:rsidRPr="005640C8" w:rsidRDefault="004A759B" w:rsidP="00DB19B9">
            <w:pPr>
              <w:jc w:val="left"/>
              <w:rPr>
                <w:rFonts w:ascii="Times New Roman" w:eastAsia="Times New Roman" w:hAnsi="Times New Roman"/>
                <w:sz w:val="22"/>
                <w:szCs w:val="24"/>
                <w:lang w:val="sr-Cyrl-RS"/>
              </w:rPr>
            </w:pPr>
          </w:p>
          <w:p w14:paraId="331CCBA4" w14:textId="72EEE8A1" w:rsidR="004A759B" w:rsidRPr="005640C8" w:rsidRDefault="004A759B" w:rsidP="00DB19B9">
            <w:pPr>
              <w:jc w:val="left"/>
              <w:rPr>
                <w:rFonts w:ascii="Times New Roman" w:eastAsia="Times New Roman" w:hAnsi="Times New Roman"/>
                <w:sz w:val="22"/>
                <w:szCs w:val="24"/>
                <w:lang w:val="sr-Cyrl-RS"/>
              </w:rPr>
            </w:pP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C6C6D" w14:textId="77777777" w:rsidR="00EE4B19" w:rsidRDefault="00EE4B19" w:rsidP="002A202F">
      <w:r>
        <w:separator/>
      </w:r>
    </w:p>
  </w:endnote>
  <w:endnote w:type="continuationSeparator" w:id="0">
    <w:p w14:paraId="473630C4" w14:textId="77777777" w:rsidR="00EE4B19" w:rsidRDefault="00EE4B19"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4806D2B7" w:rsidR="002A202F" w:rsidRDefault="002A202F">
        <w:pPr>
          <w:pStyle w:val="Footer"/>
          <w:jc w:val="right"/>
        </w:pPr>
        <w:r>
          <w:fldChar w:fldCharType="begin"/>
        </w:r>
        <w:r>
          <w:instrText xml:space="preserve"> PAGE   \* MERGEFORMAT </w:instrText>
        </w:r>
        <w:r>
          <w:fldChar w:fldCharType="separate"/>
        </w:r>
        <w:r w:rsidR="006153B9">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894F77" w14:textId="77777777" w:rsidR="00EE4B19" w:rsidRDefault="00EE4B19" w:rsidP="002A202F">
      <w:r>
        <w:separator/>
      </w:r>
    </w:p>
  </w:footnote>
  <w:footnote w:type="continuationSeparator" w:id="0">
    <w:p w14:paraId="6E7065C4" w14:textId="77777777" w:rsidR="00EE4B19" w:rsidRDefault="00EE4B19" w:rsidP="002A202F">
      <w:r>
        <w:continuationSeparator/>
      </w:r>
    </w:p>
  </w:footnote>
  <w:footnote w:id="1">
    <w:p w14:paraId="55194619" w14:textId="77777777" w:rsidR="006C46CE" w:rsidRPr="008F1D95" w:rsidRDefault="006C46CE" w:rsidP="006C46CE">
      <w:pPr>
        <w:pStyle w:val="FootnoteText"/>
        <w:rPr>
          <w:rFonts w:ascii="Times New Roman" w:hAnsi="Times New Roman"/>
          <w:i/>
          <w:sz w:val="18"/>
          <w:szCs w:val="18"/>
          <w:lang w:val="sr-Cyrl-RS"/>
        </w:rPr>
      </w:pPr>
      <w:r w:rsidRPr="004C1E43">
        <w:rPr>
          <w:rStyle w:val="FootnoteReference"/>
          <w:rFonts w:ascii="Times New Roman" w:hAnsi="Times New Roman"/>
          <w:i/>
          <w:sz w:val="18"/>
          <w:szCs w:val="18"/>
        </w:rPr>
        <w:footnoteRef/>
      </w:r>
      <w:r w:rsidRPr="008F1D95">
        <w:rPr>
          <w:rFonts w:ascii="Times New Roman" w:hAnsi="Times New Roman"/>
          <w:i/>
          <w:sz w:val="18"/>
          <w:szCs w:val="18"/>
          <w:lang w:val="sr-Cyrl-RS"/>
        </w:rPr>
        <w:t xml:space="preserve"> </w:t>
      </w:r>
      <w:r w:rsidRPr="004C1E43">
        <w:rPr>
          <w:rFonts w:ascii="Times New Roman" w:hAnsi="Times New Roman"/>
          <w:i/>
          <w:sz w:val="18"/>
          <w:szCs w:val="18"/>
          <w:lang w:val="sr-Cyrl-RS"/>
        </w:rPr>
        <w:t>Предуслов за прибављање података путем е-ЗУП-а је приступање овом информационом систему, у складу са Упутством о примени</w:t>
      </w:r>
      <w:r w:rsidRPr="004C1E43">
        <w:rPr>
          <w:rFonts w:ascii="Times New Roman" w:hAnsi="Times New Roman"/>
          <w:b/>
          <w:i/>
          <w:sz w:val="18"/>
          <w:szCs w:val="18"/>
          <w:lang w:val="sr-Cyrl-RS"/>
        </w:rPr>
        <w:t xml:space="preserve"> </w:t>
      </w:r>
      <w:r w:rsidRPr="004C1E43">
        <w:rPr>
          <w:rFonts w:ascii="Times New Roman" w:hAnsi="Times New Roman"/>
          <w:i/>
          <w:sz w:val="18"/>
          <w:szCs w:val="18"/>
          <w:lang w:val="sr-Cyrl-RS"/>
        </w:rPr>
        <w:t>Уредбе о прибављању и уступању података о чињеницама о којима се води службена евиденција (</w:t>
      </w:r>
      <w:hyperlink r:id="rId1" w:history="1">
        <w:r w:rsidRPr="004C1E43">
          <w:rPr>
            <w:rStyle w:val="Hyperlink"/>
            <w:rFonts w:ascii="Times New Roman" w:hAnsi="Times New Roman"/>
            <w:i/>
            <w:sz w:val="18"/>
            <w:szCs w:val="18"/>
            <w:lang w:val="sr-Cyrl-RS"/>
          </w:rPr>
          <w:t>http://www.mduls.gov.rs/ezup.php</w:t>
        </w:r>
      </w:hyperlink>
      <w:r w:rsidRPr="004C1E43">
        <w:rPr>
          <w:rFonts w:ascii="Times New Roman" w:hAnsi="Times New Roman"/>
          <w:i/>
          <w:sz w:val="18"/>
          <w:szCs w:val="18"/>
          <w:lang w:val="sr-Cyrl-R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10DE3650"/>
    <w:multiLevelType w:val="multilevel"/>
    <w:tmpl w:val="987664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923"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6DA5EA5"/>
    <w:multiLevelType w:val="hybridMultilevel"/>
    <w:tmpl w:val="790668A2"/>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4">
    <w:nsid w:val="1BFB1C7C"/>
    <w:multiLevelType w:val="hybridMultilevel"/>
    <w:tmpl w:val="206C22AC"/>
    <w:lvl w:ilvl="0" w:tplc="08090001">
      <w:start w:val="1"/>
      <w:numFmt w:val="bullet"/>
      <w:lvlText w:val=""/>
      <w:lvlJc w:val="left"/>
      <w:pPr>
        <w:ind w:left="2487" w:hanging="360"/>
      </w:pPr>
      <w:rPr>
        <w:rFonts w:ascii="Symbol" w:hAnsi="Symbol" w:hint="default"/>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5">
    <w:nsid w:val="1FF478AD"/>
    <w:multiLevelType w:val="hybridMultilevel"/>
    <w:tmpl w:val="7D941FC8"/>
    <w:lvl w:ilvl="0" w:tplc="08090001">
      <w:start w:val="1"/>
      <w:numFmt w:val="bullet"/>
      <w:lvlText w:val=""/>
      <w:lvlJc w:val="left"/>
      <w:pPr>
        <w:ind w:left="720" w:hanging="360"/>
      </w:pPr>
      <w:rPr>
        <w:rFonts w:ascii="Symbol" w:hAnsi="Symbo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8">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4">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nsid w:val="47E56829"/>
    <w:multiLevelType w:val="hybridMultilevel"/>
    <w:tmpl w:val="7868A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ADB540E"/>
    <w:multiLevelType w:val="multilevel"/>
    <w:tmpl w:val="A4AE1BD8"/>
    <w:lvl w:ilvl="0">
      <w:start w:val="1"/>
      <w:numFmt w:val="decimal"/>
      <w:lvlText w:val="%1."/>
      <w:lvlJc w:val="left"/>
      <w:pPr>
        <w:ind w:left="720" w:hanging="360"/>
      </w:p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nsid w:val="5DBF363F"/>
    <w:multiLevelType w:val="hybridMultilevel"/>
    <w:tmpl w:val="6882D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7">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7"/>
  </w:num>
  <w:num w:numId="4">
    <w:abstractNumId w:val="7"/>
  </w:num>
  <w:num w:numId="5">
    <w:abstractNumId w:val="2"/>
  </w:num>
  <w:num w:numId="6">
    <w:abstractNumId w:val="16"/>
  </w:num>
  <w:num w:numId="7">
    <w:abstractNumId w:val="29"/>
  </w:num>
  <w:num w:numId="8">
    <w:abstractNumId w:val="13"/>
  </w:num>
  <w:num w:numId="9">
    <w:abstractNumId w:val="27"/>
  </w:num>
  <w:num w:numId="10">
    <w:abstractNumId w:val="24"/>
  </w:num>
  <w:num w:numId="11">
    <w:abstractNumId w:val="23"/>
  </w:num>
  <w:num w:numId="12">
    <w:abstractNumId w:val="22"/>
  </w:num>
  <w:num w:numId="13">
    <w:abstractNumId w:val="18"/>
  </w:num>
  <w:num w:numId="14">
    <w:abstractNumId w:val="25"/>
  </w:num>
  <w:num w:numId="15">
    <w:abstractNumId w:val="20"/>
  </w:num>
  <w:num w:numId="16">
    <w:abstractNumId w:val="14"/>
  </w:num>
  <w:num w:numId="17">
    <w:abstractNumId w:val="12"/>
  </w:num>
  <w:num w:numId="18">
    <w:abstractNumId w:val="28"/>
  </w:num>
  <w:num w:numId="19">
    <w:abstractNumId w:val="8"/>
  </w:num>
  <w:num w:numId="20">
    <w:abstractNumId w:val="30"/>
  </w:num>
  <w:num w:numId="21">
    <w:abstractNumId w:val="9"/>
  </w:num>
  <w:num w:numId="22">
    <w:abstractNumId w:val="6"/>
  </w:num>
  <w:num w:numId="23">
    <w:abstractNumId w:val="19"/>
  </w:num>
  <w:num w:numId="24">
    <w:abstractNumId w:val="0"/>
  </w:num>
  <w:num w:numId="25">
    <w:abstractNumId w:val="4"/>
  </w:num>
  <w:num w:numId="26">
    <w:abstractNumId w:val="21"/>
  </w:num>
  <w:num w:numId="27">
    <w:abstractNumId w:val="15"/>
  </w:num>
  <w:num w:numId="28">
    <w:abstractNumId w:val="5"/>
  </w:num>
  <w:num w:numId="29">
    <w:abstractNumId w:val="1"/>
  </w:num>
  <w:num w:numId="30">
    <w:abstractNumId w:val="26"/>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3EF9"/>
    <w:rsid w:val="00026C2F"/>
    <w:rsid w:val="00027945"/>
    <w:rsid w:val="0003557B"/>
    <w:rsid w:val="00036812"/>
    <w:rsid w:val="00044F35"/>
    <w:rsid w:val="00044F63"/>
    <w:rsid w:val="00050616"/>
    <w:rsid w:val="00061070"/>
    <w:rsid w:val="00080FB0"/>
    <w:rsid w:val="00083993"/>
    <w:rsid w:val="00092B84"/>
    <w:rsid w:val="0009542A"/>
    <w:rsid w:val="000A53F3"/>
    <w:rsid w:val="000A5CDC"/>
    <w:rsid w:val="000A7140"/>
    <w:rsid w:val="000B54D7"/>
    <w:rsid w:val="000C65B9"/>
    <w:rsid w:val="000D5029"/>
    <w:rsid w:val="000E2036"/>
    <w:rsid w:val="000F5E72"/>
    <w:rsid w:val="00101CBE"/>
    <w:rsid w:val="00103444"/>
    <w:rsid w:val="001156BA"/>
    <w:rsid w:val="001358F5"/>
    <w:rsid w:val="00135AE4"/>
    <w:rsid w:val="0014676E"/>
    <w:rsid w:val="0015182D"/>
    <w:rsid w:val="00161847"/>
    <w:rsid w:val="00170CA7"/>
    <w:rsid w:val="001711C5"/>
    <w:rsid w:val="00173247"/>
    <w:rsid w:val="00176099"/>
    <w:rsid w:val="00184878"/>
    <w:rsid w:val="001A023F"/>
    <w:rsid w:val="001A3FAC"/>
    <w:rsid w:val="001A6472"/>
    <w:rsid w:val="001B1F35"/>
    <w:rsid w:val="001C5538"/>
    <w:rsid w:val="001D0EDE"/>
    <w:rsid w:val="001D20E2"/>
    <w:rsid w:val="001D6E66"/>
    <w:rsid w:val="001E38DE"/>
    <w:rsid w:val="001F7B31"/>
    <w:rsid w:val="00200671"/>
    <w:rsid w:val="0020601F"/>
    <w:rsid w:val="00212DA5"/>
    <w:rsid w:val="0021347C"/>
    <w:rsid w:val="00231ADD"/>
    <w:rsid w:val="002323AC"/>
    <w:rsid w:val="00251171"/>
    <w:rsid w:val="002535B8"/>
    <w:rsid w:val="002542D8"/>
    <w:rsid w:val="00261404"/>
    <w:rsid w:val="002673B0"/>
    <w:rsid w:val="002702C5"/>
    <w:rsid w:val="00275E2A"/>
    <w:rsid w:val="00296938"/>
    <w:rsid w:val="002A202F"/>
    <w:rsid w:val="002B19B4"/>
    <w:rsid w:val="002F1BEC"/>
    <w:rsid w:val="002F4757"/>
    <w:rsid w:val="00322199"/>
    <w:rsid w:val="003223C7"/>
    <w:rsid w:val="00326555"/>
    <w:rsid w:val="003410E0"/>
    <w:rsid w:val="00350EAD"/>
    <w:rsid w:val="003647FA"/>
    <w:rsid w:val="003651DB"/>
    <w:rsid w:val="003715A0"/>
    <w:rsid w:val="0037171F"/>
    <w:rsid w:val="0037203D"/>
    <w:rsid w:val="00376FD1"/>
    <w:rsid w:val="0039002C"/>
    <w:rsid w:val="003B44DB"/>
    <w:rsid w:val="003B4BC9"/>
    <w:rsid w:val="003B6298"/>
    <w:rsid w:val="003D12BD"/>
    <w:rsid w:val="003E2EB1"/>
    <w:rsid w:val="003E3C16"/>
    <w:rsid w:val="00407D96"/>
    <w:rsid w:val="00432495"/>
    <w:rsid w:val="00444DA7"/>
    <w:rsid w:val="00457882"/>
    <w:rsid w:val="00463CC7"/>
    <w:rsid w:val="00466F65"/>
    <w:rsid w:val="004809C4"/>
    <w:rsid w:val="0048433C"/>
    <w:rsid w:val="004847B1"/>
    <w:rsid w:val="0049545B"/>
    <w:rsid w:val="004A759B"/>
    <w:rsid w:val="004D3BD0"/>
    <w:rsid w:val="004D45B1"/>
    <w:rsid w:val="004D68A7"/>
    <w:rsid w:val="004E29C8"/>
    <w:rsid w:val="004E29D1"/>
    <w:rsid w:val="00500566"/>
    <w:rsid w:val="005073A3"/>
    <w:rsid w:val="00513FD3"/>
    <w:rsid w:val="00523608"/>
    <w:rsid w:val="00525C0A"/>
    <w:rsid w:val="00535608"/>
    <w:rsid w:val="00541DEB"/>
    <w:rsid w:val="00556688"/>
    <w:rsid w:val="0056162B"/>
    <w:rsid w:val="005640C8"/>
    <w:rsid w:val="0056707B"/>
    <w:rsid w:val="00581A9D"/>
    <w:rsid w:val="00586E1E"/>
    <w:rsid w:val="005A1296"/>
    <w:rsid w:val="005A2503"/>
    <w:rsid w:val="005A4705"/>
    <w:rsid w:val="005A5A48"/>
    <w:rsid w:val="005B4F04"/>
    <w:rsid w:val="005B7CB9"/>
    <w:rsid w:val="005D0023"/>
    <w:rsid w:val="005E21C4"/>
    <w:rsid w:val="005E5236"/>
    <w:rsid w:val="005F4D59"/>
    <w:rsid w:val="0060001C"/>
    <w:rsid w:val="00600D31"/>
    <w:rsid w:val="0060786A"/>
    <w:rsid w:val="006153B9"/>
    <w:rsid w:val="006216E6"/>
    <w:rsid w:val="006237FE"/>
    <w:rsid w:val="00627AF7"/>
    <w:rsid w:val="00632540"/>
    <w:rsid w:val="00633F73"/>
    <w:rsid w:val="00645199"/>
    <w:rsid w:val="00645850"/>
    <w:rsid w:val="006602B9"/>
    <w:rsid w:val="00661ECF"/>
    <w:rsid w:val="00673927"/>
    <w:rsid w:val="00692071"/>
    <w:rsid w:val="00694B28"/>
    <w:rsid w:val="006A3B1C"/>
    <w:rsid w:val="006C46CE"/>
    <w:rsid w:val="006C5349"/>
    <w:rsid w:val="006C5F2A"/>
    <w:rsid w:val="006C662C"/>
    <w:rsid w:val="006F4A5C"/>
    <w:rsid w:val="007135F3"/>
    <w:rsid w:val="00715F5C"/>
    <w:rsid w:val="00726EC9"/>
    <w:rsid w:val="007278C1"/>
    <w:rsid w:val="00733493"/>
    <w:rsid w:val="00737F1D"/>
    <w:rsid w:val="0076599B"/>
    <w:rsid w:val="00782816"/>
    <w:rsid w:val="00785A46"/>
    <w:rsid w:val="007861E3"/>
    <w:rsid w:val="007940D6"/>
    <w:rsid w:val="007B1740"/>
    <w:rsid w:val="007B20E1"/>
    <w:rsid w:val="007C3071"/>
    <w:rsid w:val="007C61B5"/>
    <w:rsid w:val="007D3889"/>
    <w:rsid w:val="007D39E4"/>
    <w:rsid w:val="007D43A7"/>
    <w:rsid w:val="007E1695"/>
    <w:rsid w:val="007F204C"/>
    <w:rsid w:val="00804060"/>
    <w:rsid w:val="008166C9"/>
    <w:rsid w:val="00824E43"/>
    <w:rsid w:val="00833D8C"/>
    <w:rsid w:val="00834C9A"/>
    <w:rsid w:val="0084708C"/>
    <w:rsid w:val="00850AD5"/>
    <w:rsid w:val="00852739"/>
    <w:rsid w:val="00853A93"/>
    <w:rsid w:val="008629CC"/>
    <w:rsid w:val="00865EBB"/>
    <w:rsid w:val="00886C36"/>
    <w:rsid w:val="008949C1"/>
    <w:rsid w:val="008A6AC8"/>
    <w:rsid w:val="008C5591"/>
    <w:rsid w:val="008D04A6"/>
    <w:rsid w:val="008D4C1A"/>
    <w:rsid w:val="008E0C41"/>
    <w:rsid w:val="008F0867"/>
    <w:rsid w:val="008F172F"/>
    <w:rsid w:val="008F2044"/>
    <w:rsid w:val="008F2BE1"/>
    <w:rsid w:val="008F4DD1"/>
    <w:rsid w:val="009056DB"/>
    <w:rsid w:val="009470D3"/>
    <w:rsid w:val="00947592"/>
    <w:rsid w:val="00950280"/>
    <w:rsid w:val="009572FE"/>
    <w:rsid w:val="0097095A"/>
    <w:rsid w:val="00991A18"/>
    <w:rsid w:val="00994A16"/>
    <w:rsid w:val="009A30D3"/>
    <w:rsid w:val="009C0CFD"/>
    <w:rsid w:val="009D03A7"/>
    <w:rsid w:val="009E0479"/>
    <w:rsid w:val="00A0102E"/>
    <w:rsid w:val="00A018EA"/>
    <w:rsid w:val="00A0491D"/>
    <w:rsid w:val="00A12960"/>
    <w:rsid w:val="00A1570D"/>
    <w:rsid w:val="00A179C4"/>
    <w:rsid w:val="00A22386"/>
    <w:rsid w:val="00A52557"/>
    <w:rsid w:val="00A56B75"/>
    <w:rsid w:val="00A71C04"/>
    <w:rsid w:val="00A9068D"/>
    <w:rsid w:val="00AA0017"/>
    <w:rsid w:val="00AA4BC5"/>
    <w:rsid w:val="00AB09B3"/>
    <w:rsid w:val="00AB5E60"/>
    <w:rsid w:val="00AC02D1"/>
    <w:rsid w:val="00B06019"/>
    <w:rsid w:val="00B07409"/>
    <w:rsid w:val="00B1006E"/>
    <w:rsid w:val="00B11FF8"/>
    <w:rsid w:val="00B178FB"/>
    <w:rsid w:val="00B235C9"/>
    <w:rsid w:val="00B5252A"/>
    <w:rsid w:val="00B63DB1"/>
    <w:rsid w:val="00B67138"/>
    <w:rsid w:val="00B6715C"/>
    <w:rsid w:val="00B81CFE"/>
    <w:rsid w:val="00B862F2"/>
    <w:rsid w:val="00B903AE"/>
    <w:rsid w:val="00B90B42"/>
    <w:rsid w:val="00B9157F"/>
    <w:rsid w:val="00B95225"/>
    <w:rsid w:val="00B96947"/>
    <w:rsid w:val="00BA55D3"/>
    <w:rsid w:val="00BA6759"/>
    <w:rsid w:val="00BA7204"/>
    <w:rsid w:val="00BB2C8C"/>
    <w:rsid w:val="00BC0F27"/>
    <w:rsid w:val="00BC6826"/>
    <w:rsid w:val="00BD464E"/>
    <w:rsid w:val="00BE120F"/>
    <w:rsid w:val="00C0295C"/>
    <w:rsid w:val="00C02F8A"/>
    <w:rsid w:val="00C03C06"/>
    <w:rsid w:val="00C121EC"/>
    <w:rsid w:val="00C12C65"/>
    <w:rsid w:val="00C23495"/>
    <w:rsid w:val="00C445E2"/>
    <w:rsid w:val="00C50606"/>
    <w:rsid w:val="00C70F1B"/>
    <w:rsid w:val="00C7129D"/>
    <w:rsid w:val="00C748D1"/>
    <w:rsid w:val="00C91014"/>
    <w:rsid w:val="00C96D01"/>
    <w:rsid w:val="00CA0E7D"/>
    <w:rsid w:val="00CA1CE9"/>
    <w:rsid w:val="00CB1A4E"/>
    <w:rsid w:val="00CC29F6"/>
    <w:rsid w:val="00CD2287"/>
    <w:rsid w:val="00CD5BBB"/>
    <w:rsid w:val="00CE0685"/>
    <w:rsid w:val="00CE371F"/>
    <w:rsid w:val="00CF1CE0"/>
    <w:rsid w:val="00D27DFE"/>
    <w:rsid w:val="00D37EA5"/>
    <w:rsid w:val="00D43C2F"/>
    <w:rsid w:val="00D60299"/>
    <w:rsid w:val="00D73628"/>
    <w:rsid w:val="00D73918"/>
    <w:rsid w:val="00D77502"/>
    <w:rsid w:val="00D93E7E"/>
    <w:rsid w:val="00D967D7"/>
    <w:rsid w:val="00DA125D"/>
    <w:rsid w:val="00DB19B9"/>
    <w:rsid w:val="00DC4BC2"/>
    <w:rsid w:val="00DE057D"/>
    <w:rsid w:val="00DF220B"/>
    <w:rsid w:val="00DF27EE"/>
    <w:rsid w:val="00DF3989"/>
    <w:rsid w:val="00E0020F"/>
    <w:rsid w:val="00E0288C"/>
    <w:rsid w:val="00E118C7"/>
    <w:rsid w:val="00E1427B"/>
    <w:rsid w:val="00E14E0D"/>
    <w:rsid w:val="00E2143C"/>
    <w:rsid w:val="00E22B8B"/>
    <w:rsid w:val="00E317D1"/>
    <w:rsid w:val="00E342AA"/>
    <w:rsid w:val="00E40DF0"/>
    <w:rsid w:val="00E4267B"/>
    <w:rsid w:val="00E47DAC"/>
    <w:rsid w:val="00E63C8A"/>
    <w:rsid w:val="00E70BF6"/>
    <w:rsid w:val="00E734E2"/>
    <w:rsid w:val="00EC6A5F"/>
    <w:rsid w:val="00ED3BD6"/>
    <w:rsid w:val="00EE42F7"/>
    <w:rsid w:val="00EE4B19"/>
    <w:rsid w:val="00F11C98"/>
    <w:rsid w:val="00F12E47"/>
    <w:rsid w:val="00F223B2"/>
    <w:rsid w:val="00F23FD2"/>
    <w:rsid w:val="00F24C2B"/>
    <w:rsid w:val="00F53241"/>
    <w:rsid w:val="00F67790"/>
    <w:rsid w:val="00F7734C"/>
    <w:rsid w:val="00FB1A1B"/>
    <w:rsid w:val="00FB645B"/>
    <w:rsid w:val="00FC09D6"/>
    <w:rsid w:val="00FC34EC"/>
    <w:rsid w:val="00FC3F69"/>
    <w:rsid w:val="00FC5312"/>
    <w:rsid w:val="00FD3964"/>
    <w:rsid w:val="00FE6F0D"/>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A5AFD79-23A5-4FA7-8782-C7B096AAD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6C46CE"/>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C46CE"/>
    <w:rPr>
      <w:sz w:val="20"/>
      <w:szCs w:val="20"/>
    </w:rPr>
  </w:style>
  <w:style w:type="character" w:customStyle="1" w:styleId="FootnoteTextChar">
    <w:name w:val="Footnote Text Char"/>
    <w:basedOn w:val="DefaultParagraphFont"/>
    <w:link w:val="FootnoteText"/>
    <w:uiPriority w:val="99"/>
    <w:semiHidden/>
    <w:rsid w:val="006C46C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C46CE"/>
    <w:rPr>
      <w:vertAlign w:val="superscript"/>
    </w:rPr>
  </w:style>
  <w:style w:type="paragraph" w:customStyle="1" w:styleId="gmail-odluka-zakon">
    <w:name w:val="gmail-odluka-zakon"/>
    <w:basedOn w:val="Normal"/>
    <w:rsid w:val="009572FE"/>
    <w:pPr>
      <w:spacing w:before="100" w:beforeAutospacing="1" w:after="100" w:afterAutospacing="1"/>
      <w:jc w:val="left"/>
    </w:pPr>
    <w:rPr>
      <w:rFonts w:eastAsiaTheme="minorHAnsi" w:cs="Calibr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136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28240999">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88821502">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64241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mduls.gov.rs/ezup.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83C33-BA15-4CAF-B5A9-FDF76EE77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1348</Words>
  <Characters>7686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АĐ</cp:lastModifiedBy>
  <cp:revision>11</cp:revision>
  <cp:lastPrinted>2018-09-05T12:48:00Z</cp:lastPrinted>
  <dcterms:created xsi:type="dcterms:W3CDTF">2020-01-09T15:01:00Z</dcterms:created>
  <dcterms:modified xsi:type="dcterms:W3CDTF">2020-07-03T19:51:00Z</dcterms:modified>
</cp:coreProperties>
</file>