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8556A5A" w:rsidR="00B1006E" w:rsidRDefault="00833E7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445D2E">
        <w:rPr>
          <w:b/>
          <w:sz w:val="22"/>
          <w:szCs w:val="22"/>
          <w:lang w:val="sr-Cyrl-RS"/>
        </w:rPr>
        <w:t>ПОЈЕДНОСТАВЉЕЊЕ ПОСТУПКА ИЗДАВАЊА САГЛАСНОСТИ ЗА ОБАВЉАЊЕ ПОСЛОВА ЗАДРУЖНЕ РЕВИЗИЈЕ</w:t>
      </w:r>
    </w:p>
    <w:p w14:paraId="08AB7C34" w14:textId="77777777" w:rsidR="00445D2E" w:rsidRPr="00445D2E" w:rsidRDefault="00445D2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36E3ECD" w:rsidR="000E2036" w:rsidRPr="00841AB3" w:rsidRDefault="00B75D4D" w:rsidP="001107B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5D4D">
              <w:rPr>
                <w:sz w:val="22"/>
                <w:szCs w:val="22"/>
                <w:lang w:val="sr-Latn-RS"/>
              </w:rPr>
              <w:t>Сагласност за обављање послова задружне ревизије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22DB036" w:rsidR="000E2036" w:rsidRPr="00841AB3" w:rsidRDefault="00C9782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10.00</w:t>
            </w:r>
            <w:r w:rsidR="00B75D4D">
              <w:rPr>
                <w:sz w:val="22"/>
                <w:szCs w:val="22"/>
                <w:lang w:val="sr-Latn-RS"/>
              </w:rPr>
              <w:t>.0003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8477518" w:rsidR="00092B84" w:rsidRPr="00841AB3" w:rsidRDefault="00841AB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привреде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8E47955" w:rsidR="00841AB3" w:rsidRPr="00B27A00" w:rsidRDefault="00173FC4" w:rsidP="00173F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задругама </w:t>
            </w:r>
            <w:r w:rsidRPr="00173FC4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112/2015)</w:t>
            </w:r>
          </w:p>
        </w:tc>
      </w:tr>
      <w:tr w:rsidR="00B27A00" w:rsidRPr="00B75D4D" w14:paraId="78730318" w14:textId="77777777" w:rsidTr="00957407">
        <w:tc>
          <w:tcPr>
            <w:tcW w:w="2689" w:type="dxa"/>
            <w:shd w:val="clear" w:color="auto" w:fill="DBE5F1" w:themeFill="accent1" w:themeFillTint="33"/>
            <w:vAlign w:val="center"/>
          </w:tcPr>
          <w:p w14:paraId="59908A1C" w14:textId="77777777" w:rsidR="00B27A00" w:rsidRPr="00DB19B9" w:rsidRDefault="00B27A00" w:rsidP="0095740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препорук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</w:p>
        </w:tc>
        <w:tc>
          <w:tcPr>
            <w:tcW w:w="6371" w:type="dxa"/>
            <w:vAlign w:val="center"/>
          </w:tcPr>
          <w:p w14:paraId="190F3BBA" w14:textId="35C1BE38" w:rsidR="00B27A00" w:rsidRPr="00173FC4" w:rsidRDefault="00173FC4" w:rsidP="00173F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3F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50A5927" w:rsidR="00173FC4" w:rsidRPr="00DB19B9" w:rsidRDefault="00DA3064" w:rsidP="00CB7616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173FC4">
              <w:rPr>
                <w:sz w:val="22"/>
                <w:szCs w:val="22"/>
                <w:lang w:val="sr-Cyrl-RS"/>
              </w:rPr>
              <w:t>етврти квартал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3C5E3454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7788F9C6" w:rsidR="00D83508" w:rsidRPr="00DB19B9" w:rsidRDefault="001271ED" w:rsidP="001271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26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субјектима</w:t>
            </w:r>
            <w:r w:rsidR="0086653A">
              <w:rPr>
                <w:rFonts w:ascii="Times New Roman" w:hAnsi="Times New Roman"/>
                <w:sz w:val="22"/>
                <w:szCs w:val="22"/>
                <w:lang w:val="sr-Cyrl-RS"/>
              </w:rPr>
              <w:t>, на шта указује непотребна</w:t>
            </w:r>
            <w:r w:rsidRPr="002126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документација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и</w:t>
            </w:r>
            <w:r w:rsidRPr="002126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непоштовање обавезе прибављања података које издају други јавни органи, по службеној дужности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2126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21261F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F762D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F76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F76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F76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F762D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F762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F76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F76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F762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44EE" w:rsidRPr="00DF762D" w14:paraId="1AE4FCD1" w14:textId="77777777" w:rsidTr="00957407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3B87570" w14:textId="596F3637" w:rsidR="00B644EE" w:rsidRPr="00DF762D" w:rsidRDefault="000E0A90" w:rsidP="003602A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67E3DFA" w14:textId="77777777" w:rsidR="00B644EE" w:rsidRPr="00DF762D" w:rsidRDefault="00B644EE" w:rsidP="0095740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41C7611" w14:textId="77777777" w:rsidR="00B644EE" w:rsidRPr="00DF762D" w:rsidRDefault="00B644EE" w:rsidP="0095740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2EA2045" w14:textId="77777777" w:rsidR="00B644EE" w:rsidRPr="00DF762D" w:rsidRDefault="00B644EE" w:rsidP="0095740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F762D" w:rsidRPr="00DF762D" w14:paraId="6BD87023" w14:textId="77777777" w:rsidTr="0078339F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7C0B41C" w14:textId="25FF8A9E" w:rsidR="00DF762D" w:rsidRPr="00DF762D" w:rsidRDefault="00DF762D" w:rsidP="003602A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6F1DF8A3" w14:textId="77777777" w:rsidR="00DF762D" w:rsidRPr="00DF762D" w:rsidRDefault="00DF762D" w:rsidP="0095740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F762D" w14:paraId="24D05D96" w14:textId="77777777" w:rsidTr="00DB19B9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DEF13DC" w14:textId="4D879016" w:rsidR="000F57EA" w:rsidRPr="00DF762D" w:rsidRDefault="000E0A90" w:rsidP="0038792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Пописивање документације</w:t>
                  </w:r>
                </w:p>
              </w:tc>
              <w:tc>
                <w:tcPr>
                  <w:tcW w:w="1784" w:type="dxa"/>
                </w:tcPr>
                <w:p w14:paraId="47D9B816" w14:textId="77777777" w:rsidR="000F57EA" w:rsidRPr="00DF762D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67803AE" w14:textId="71EE1672" w:rsidR="000F57EA" w:rsidRPr="00DF762D" w:rsidRDefault="000F57EA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4531DBF7" w14:textId="77777777" w:rsidR="000F57EA" w:rsidRPr="00DF762D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73FC4" w:rsidRPr="00DF762D" w14:paraId="6723807E" w14:textId="77777777" w:rsidTr="0037734C">
              <w:trPr>
                <w:trHeight w:val="244"/>
              </w:trPr>
              <w:tc>
                <w:tcPr>
                  <w:tcW w:w="3632" w:type="dxa"/>
                </w:tcPr>
                <w:p w14:paraId="2DDEA4C1" w14:textId="77777777" w:rsidR="00173FC4" w:rsidRPr="00DF762D" w:rsidRDefault="00173FC4" w:rsidP="0037734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1633CE2" w14:textId="77777777" w:rsidR="00173FC4" w:rsidRPr="00DF762D" w:rsidRDefault="00173FC4" w:rsidP="0037734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73FC4" w:rsidRPr="00DF762D" w14:paraId="4A90116C" w14:textId="77777777" w:rsidTr="0037734C">
              <w:trPr>
                <w:trHeight w:val="244"/>
              </w:trPr>
              <w:tc>
                <w:tcPr>
                  <w:tcW w:w="3632" w:type="dxa"/>
                </w:tcPr>
                <w:p w14:paraId="58054C2C" w14:textId="0DA4F0DC" w:rsidR="00173FC4" w:rsidRPr="00DF762D" w:rsidRDefault="003602A8" w:rsidP="003602A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</w:t>
                  </w:r>
                  <w:r w:rsidR="00173FC4" w:rsidRPr="00DF76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 </w:t>
                  </w:r>
                </w:p>
              </w:tc>
              <w:tc>
                <w:tcPr>
                  <w:tcW w:w="1784" w:type="dxa"/>
                </w:tcPr>
                <w:p w14:paraId="5E480B20" w14:textId="77777777" w:rsidR="00173FC4" w:rsidRPr="00DF762D" w:rsidRDefault="00173FC4" w:rsidP="0037734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DFADFC" w14:textId="77777777" w:rsidR="00173FC4" w:rsidRPr="00DF762D" w:rsidRDefault="00173FC4" w:rsidP="0037734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C224A79" w14:textId="77777777" w:rsidR="00173FC4" w:rsidRPr="00DF762D" w:rsidRDefault="00173FC4" w:rsidP="0037734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F762D" w14:paraId="23C8C1E7" w14:textId="77777777" w:rsidTr="00957407">
              <w:trPr>
                <w:trHeight w:val="244"/>
              </w:trPr>
              <w:tc>
                <w:tcPr>
                  <w:tcW w:w="3632" w:type="dxa"/>
                </w:tcPr>
                <w:p w14:paraId="68A30893" w14:textId="05E52631" w:rsidR="000F57EA" w:rsidRPr="00DF762D" w:rsidRDefault="00173FC4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Регистар</w:t>
                  </w:r>
                  <w:r w:rsidR="000F57EA"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3"/>
                </w:tcPr>
                <w:p w14:paraId="518CDB60" w14:textId="1A98766C" w:rsidR="000F57EA" w:rsidRPr="00DF762D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F762D" w14:paraId="54E8B4AE" w14:textId="77777777" w:rsidTr="00957407">
              <w:trPr>
                <w:trHeight w:val="244"/>
              </w:trPr>
              <w:tc>
                <w:tcPr>
                  <w:tcW w:w="3632" w:type="dxa"/>
                </w:tcPr>
                <w:p w14:paraId="67C36E18" w14:textId="6261B475" w:rsidR="000F57EA" w:rsidRPr="00DF762D" w:rsidRDefault="00173FC4" w:rsidP="00173FC4">
                  <w:pPr>
                    <w:pStyle w:val="odluka-zakon"/>
                    <w:shd w:val="clear" w:color="auto" w:fill="FFFFFF"/>
                    <w:jc w:val="both"/>
                    <w:rPr>
                      <w:i/>
                      <w:sz w:val="20"/>
                      <w:szCs w:val="20"/>
                      <w:lang w:val="sr-Cyrl-RS"/>
                    </w:rPr>
                  </w:pPr>
                  <w:r w:rsidRPr="00DF762D">
                    <w:rPr>
                      <w:i/>
                      <w:sz w:val="20"/>
                      <w:szCs w:val="20"/>
                      <w:lang w:val="sr-Cyrl-RS"/>
                    </w:rPr>
                    <w:t>Јавна доступност регистра аката и повезивање са порталом отворених података</w:t>
                  </w:r>
                </w:p>
              </w:tc>
              <w:tc>
                <w:tcPr>
                  <w:tcW w:w="1784" w:type="dxa"/>
                </w:tcPr>
                <w:p w14:paraId="4F636AE1" w14:textId="77777777" w:rsidR="000F57EA" w:rsidRPr="00DF762D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408239D" w14:textId="627F7D30" w:rsidR="000F57EA" w:rsidRPr="00DF762D" w:rsidRDefault="000F57EA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374B0AC3" w14:textId="77777777" w:rsidR="000F57EA" w:rsidRPr="00DF762D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647C4" w:rsidRPr="00DF762D" w14:paraId="3C33F632" w14:textId="77777777" w:rsidTr="0030698B">
              <w:trPr>
                <w:trHeight w:val="244"/>
              </w:trPr>
              <w:tc>
                <w:tcPr>
                  <w:tcW w:w="3632" w:type="dxa"/>
                </w:tcPr>
                <w:p w14:paraId="05B290A9" w14:textId="37402F14" w:rsidR="00D647C4" w:rsidRPr="00DF762D" w:rsidRDefault="00D647C4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споровођење поступка</w:t>
                  </w:r>
                </w:p>
              </w:tc>
              <w:tc>
                <w:tcPr>
                  <w:tcW w:w="5202" w:type="dxa"/>
                  <w:gridSpan w:val="3"/>
                </w:tcPr>
                <w:p w14:paraId="7FDC2993" w14:textId="77777777" w:rsidR="00D647C4" w:rsidRPr="00DF762D" w:rsidRDefault="00D647C4" w:rsidP="00D647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36ACD" w:rsidRPr="00DF762D" w14:paraId="066F9780" w14:textId="77777777" w:rsidTr="00957407">
              <w:trPr>
                <w:trHeight w:val="244"/>
              </w:trPr>
              <w:tc>
                <w:tcPr>
                  <w:tcW w:w="3632" w:type="dxa"/>
                </w:tcPr>
                <w:p w14:paraId="75C98988" w14:textId="345AF253" w:rsidR="00136ACD" w:rsidRPr="00DF762D" w:rsidRDefault="00136ACD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F762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Подношење захтева електронским путем</w:t>
                  </w:r>
                </w:p>
              </w:tc>
              <w:tc>
                <w:tcPr>
                  <w:tcW w:w="1784" w:type="dxa"/>
                </w:tcPr>
                <w:p w14:paraId="4FAE1539" w14:textId="77777777" w:rsidR="00136ACD" w:rsidRPr="00DF762D" w:rsidRDefault="00136ACD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4711E6C" w14:textId="200F2EC0" w:rsidR="00136ACD" w:rsidRPr="00DF762D" w:rsidRDefault="00136ACD" w:rsidP="00D647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DF762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2A8F298" w14:textId="77777777" w:rsidR="00136ACD" w:rsidRPr="00DF762D" w:rsidRDefault="00136ACD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4FF289DB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802DFC" w14:textId="42EB16A3" w:rsidR="009418C6" w:rsidRPr="00387920" w:rsidRDefault="009418C6" w:rsidP="00A55C3D">
            <w:pPr>
              <w:pStyle w:val="odluka-zakon"/>
              <w:numPr>
                <w:ilvl w:val="1"/>
                <w:numId w:val="38"/>
              </w:numPr>
              <w:shd w:val="clear" w:color="auto" w:fill="FFFFFF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u w:val="single"/>
                <w:lang w:val="sr-Cyrl-RS"/>
              </w:rPr>
              <w:t xml:space="preserve">Прибављање података по службеној дужности </w:t>
            </w:r>
          </w:p>
          <w:p w14:paraId="27710646" w14:textId="77777777" w:rsidR="009418C6" w:rsidRPr="00387920" w:rsidRDefault="009418C6" w:rsidP="009418C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lastRenderedPageBreak/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4304B185" w14:textId="77777777" w:rsidR="00862793" w:rsidRPr="00387920" w:rsidRDefault="00862793" w:rsidP="00862793">
            <w:pPr>
              <w:pStyle w:val="odluka-zakon"/>
              <w:numPr>
                <w:ilvl w:val="0"/>
                <w:numId w:val="39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lang w:val="sr-Cyrl-RS"/>
              </w:rPr>
              <w:t>Документ 2 – Оснивачки акт задружног савеза</w:t>
            </w:r>
          </w:p>
          <w:p w14:paraId="261B080B" w14:textId="12870B2A" w:rsidR="00862793" w:rsidRPr="00387920" w:rsidRDefault="00862793" w:rsidP="0086279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>Наведени документ се доставља у копији ради спровођења административног поступка.</w:t>
            </w:r>
          </w:p>
          <w:p w14:paraId="761067D5" w14:textId="23507C21" w:rsidR="00862793" w:rsidRPr="00387920" w:rsidRDefault="00862793" w:rsidP="0086279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>Подаци из навед</w:t>
            </w:r>
            <w:r w:rsidR="00F66521" w:rsidRPr="00387920">
              <w:rPr>
                <w:sz w:val="22"/>
                <w:szCs w:val="22"/>
                <w:lang w:val="sr-Cyrl-RS"/>
              </w:rPr>
              <w:t>еног документа потребни надлежно</w:t>
            </w:r>
            <w:r w:rsidRPr="00387920">
              <w:rPr>
                <w:sz w:val="22"/>
                <w:szCs w:val="22"/>
                <w:lang w:val="sr-Cyrl-RS"/>
              </w:rPr>
              <w:t>м органу за одлучивање се могу прибавити по службеној дужности увидом у регистар А</w:t>
            </w:r>
            <w:r w:rsidR="00727538" w:rsidRPr="00387920">
              <w:rPr>
                <w:sz w:val="22"/>
                <w:szCs w:val="22"/>
                <w:lang w:val="sr-Cyrl-RS"/>
              </w:rPr>
              <w:t xml:space="preserve">генције за привредне регистре или путем имејл кореспонденције са органом </w:t>
            </w:r>
            <w:r w:rsidR="00623445" w:rsidRPr="00387920">
              <w:rPr>
                <w:sz w:val="22"/>
                <w:szCs w:val="22"/>
                <w:lang w:val="sr-Cyrl-RS"/>
              </w:rPr>
              <w:t>који поседује потребне податке.</w:t>
            </w:r>
            <w:r w:rsidR="00727538" w:rsidRPr="00387920">
              <w:rPr>
                <w:sz w:val="22"/>
                <w:szCs w:val="22"/>
                <w:lang w:val="sr-Cyrl-RS"/>
              </w:rPr>
              <w:t xml:space="preserve"> </w:t>
            </w:r>
          </w:p>
          <w:p w14:paraId="6E6C4E69" w14:textId="4CEDC74A" w:rsidR="00862793" w:rsidRPr="00387920" w:rsidRDefault="00862793" w:rsidP="00862793">
            <w:pPr>
              <w:pStyle w:val="odluka-zakon"/>
              <w:numPr>
                <w:ilvl w:val="0"/>
                <w:numId w:val="39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lang w:val="sr-Cyrl-RS"/>
              </w:rPr>
              <w:t>Документ</w:t>
            </w:r>
            <w:r w:rsidR="008E436A">
              <w:rPr>
                <w:b/>
                <w:sz w:val="22"/>
                <w:szCs w:val="22"/>
                <w:lang w:val="sr-Cyrl-RS"/>
              </w:rPr>
              <w:t xml:space="preserve"> 3.</w:t>
            </w:r>
            <w:r w:rsidRPr="00387920">
              <w:rPr>
                <w:b/>
                <w:sz w:val="22"/>
                <w:szCs w:val="22"/>
                <w:lang w:val="sr-Cyrl-RS"/>
              </w:rPr>
              <w:t xml:space="preserve"> – Задружна правила</w:t>
            </w:r>
          </w:p>
          <w:p w14:paraId="196D55C3" w14:textId="77777777" w:rsidR="00862793" w:rsidRPr="00387920" w:rsidRDefault="00862793" w:rsidP="0086279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>Наведени документ се доставља у копији ради спровођења административног поступка.</w:t>
            </w:r>
          </w:p>
          <w:p w14:paraId="1E8081EA" w14:textId="6A6213FA" w:rsidR="00862793" w:rsidRPr="00387920" w:rsidRDefault="00862793" w:rsidP="009418C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>Подаци из навед</w:t>
            </w:r>
            <w:r w:rsidR="00F66521" w:rsidRPr="00387920">
              <w:rPr>
                <w:sz w:val="22"/>
                <w:szCs w:val="22"/>
                <w:lang w:val="sr-Cyrl-RS"/>
              </w:rPr>
              <w:t>еног документа потребни надлежно</w:t>
            </w:r>
            <w:r w:rsidRPr="00387920">
              <w:rPr>
                <w:sz w:val="22"/>
                <w:szCs w:val="22"/>
                <w:lang w:val="sr-Cyrl-RS"/>
              </w:rPr>
              <w:t>м органу за одлучивање се могу прибавити по службеној дужности увидом у регистар Агенције за привредне регистре</w:t>
            </w:r>
            <w:r w:rsidR="00727538" w:rsidRPr="00387920">
              <w:rPr>
                <w:sz w:val="22"/>
                <w:szCs w:val="22"/>
                <w:lang w:val="sr-Cyrl-RS"/>
              </w:rPr>
              <w:t xml:space="preserve"> или путем имејл кореспонденције са органом који поседује потребне податке. </w:t>
            </w:r>
          </w:p>
          <w:p w14:paraId="5E8E22B4" w14:textId="7593AB2A" w:rsidR="000F57EA" w:rsidRPr="00387920" w:rsidRDefault="0001015A" w:rsidP="0059106A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10</w:t>
            </w: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Потврда Министарства унутрашњих послова да лице које обавља послове задружне ревизије није осуђивано за кривична дела која га чине недостојим за обављање послова задружне ревизије</w:t>
            </w:r>
          </w:p>
          <w:p w14:paraId="7C986DE8" w14:textId="12F75654" w:rsidR="00A40D1C" w:rsidRPr="00387920" w:rsidRDefault="00A40D1C" w:rsidP="00A85A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подносилац доставља надлежном органу у копији. Испуњеност услова да задружни ревизор</w:t>
            </w:r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осуђиван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кривична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дела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га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чине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недостојним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обављање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ових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87920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може се проверити по службеној дужности.</w:t>
            </w:r>
          </w:p>
          <w:p w14:paraId="7EBD5816" w14:textId="7576BAF6" w:rsidR="00A40D1C" w:rsidRPr="00387920" w:rsidRDefault="00A40D1C" w:rsidP="002F6BF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је потребно спровести путем информационог система еЗУП на порталу </w:t>
            </w:r>
            <w:r w:rsidR="00A55C3D" w:rsidRPr="00387920">
              <w:rPr>
                <w:sz w:val="22"/>
                <w:szCs w:val="22"/>
                <w:lang w:val="sr-Cyrl-RS"/>
              </w:rPr>
              <w:t>е-Управе или</w:t>
            </w:r>
            <w:r w:rsidR="002F6BFD" w:rsidRPr="00387920">
              <w:rPr>
                <w:sz w:val="22"/>
                <w:szCs w:val="22"/>
                <w:lang w:val="sr-Cyrl-RS"/>
              </w:rPr>
              <w:t xml:space="preserve"> коришћењем тзв. сервиса 15 еЗУП-а </w:t>
            </w:r>
            <w:r w:rsidRPr="00387920">
              <w:rPr>
                <w:sz w:val="22"/>
                <w:szCs w:val="22"/>
                <w:lang w:val="sr-Cyrl-RS"/>
              </w:rPr>
              <w:t>тако што ће се проверити испуњеност услова, увидом у Евиденцију за праћење осуђених, прекршајно кажњених и притворених лица.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</w:t>
            </w:r>
            <w:r w:rsidRPr="00387920">
              <w:rPr>
                <w:rStyle w:val="FootnoteReference"/>
                <w:sz w:val="22"/>
                <w:szCs w:val="22"/>
                <w:lang w:val="sr-Cyrl-RS"/>
              </w:rPr>
              <w:footnoteReference w:id="1"/>
            </w:r>
            <w:r w:rsidRPr="00387920">
              <w:rPr>
                <w:sz w:val="22"/>
                <w:szCs w:val="22"/>
                <w:lang w:val="sr-Cyrl-RS"/>
              </w:rPr>
              <w:t>.</w:t>
            </w:r>
          </w:p>
          <w:p w14:paraId="6E8E68CD" w14:textId="77777777" w:rsidR="0059106A" w:rsidRPr="00387920" w:rsidRDefault="0059106A" w:rsidP="0059106A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12 - Фотокопије уговора о раду или другог основа по коме су ангажована најмање два лица у задружном савезу укључујући и лице које испуњава услове за обављање задружне ревизије</w:t>
            </w:r>
          </w:p>
          <w:p w14:paraId="68577668" w14:textId="77777777" w:rsidR="0059106A" w:rsidRPr="00387920" w:rsidRDefault="0059106A" w:rsidP="0059106A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E667062" w14:textId="0DFDAE2E" w:rsidR="0059106A" w:rsidRPr="00387920" w:rsidRDefault="00623445" w:rsidP="0059106A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Овај документ</w:t>
            </w:r>
            <w:r w:rsidR="0059106A"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се</w:t>
            </w:r>
            <w:r w:rsidR="0059106A" w:rsidRPr="0038792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59106A"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доставља уз Потврду о броју запослених лица и стручној спреми </w:t>
            </w:r>
            <w:r w:rsidR="0059106A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као доказ ангажовања одговарајућег броја лица у задружном савезу. Уместо подношења наведеног документа, надлежни орган може прибавити податак, односно доказ да су закључени уговори о раду или да је по другом основу задружни савез ангажовао најмање два лица укључујући и лице које испуњава услове за обављање задружне ревизије по службеној дужности.</w:t>
            </w:r>
          </w:p>
          <w:p w14:paraId="3AF2626D" w14:textId="77777777" w:rsidR="0059106A" w:rsidRPr="00387920" w:rsidRDefault="0059106A" w:rsidP="0059106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lastRenderedPageBreak/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радни статус запослених лица, увидом у базу Централног регистра обавезног социјалног осигурања – ЦРОСО односно приступом матичним евиденцијама о корисницима права ПИО.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</w:t>
            </w:r>
            <w:r w:rsidRPr="00387920">
              <w:rPr>
                <w:rStyle w:val="FootnoteReference"/>
                <w:sz w:val="22"/>
                <w:szCs w:val="22"/>
                <w:lang w:val="sr-Cyrl-RS"/>
              </w:rPr>
              <w:footnoteReference w:id="2"/>
            </w:r>
            <w:r w:rsidRPr="00387920">
              <w:rPr>
                <w:sz w:val="22"/>
                <w:szCs w:val="22"/>
                <w:lang w:val="sr-Cyrl-RS"/>
              </w:rPr>
              <w:t>.</w:t>
            </w:r>
          </w:p>
          <w:p w14:paraId="16406B7A" w14:textId="02E87C79" w:rsidR="003D1633" w:rsidRPr="00387920" w:rsidRDefault="00E43AFF" w:rsidP="003D1633">
            <w:pPr>
              <w:pStyle w:val="ListParagraph"/>
              <w:shd w:val="clear" w:color="auto" w:fill="FFFFFF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</w:t>
            </w:r>
            <w:r w:rsidR="006758B3"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окумент 11</w:t>
            </w:r>
            <w:r w:rsidR="00A85A38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="00B350BB" w:rsidRPr="00387920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K</w:t>
            </w:r>
            <w:r w:rsidR="006758B3"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опија извода из листа непокретности </w:t>
            </w:r>
          </w:p>
          <w:p w14:paraId="6F31BAB5" w14:textId="4F22B702" w:rsidR="003D1633" w:rsidRPr="00387920" w:rsidRDefault="009418C6" w:rsidP="000F57E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7920">
              <w:rPr>
                <w:sz w:val="22"/>
                <w:szCs w:val="22"/>
                <w:lang w:val="sr-Cyrl-RS"/>
              </w:rPr>
              <w:t>Документ 1</w:t>
            </w:r>
            <w:r w:rsidR="00552B16" w:rsidRPr="00387920">
              <w:rPr>
                <w:sz w:val="22"/>
                <w:szCs w:val="22"/>
                <w:lang w:val="sr-Cyrl-RS"/>
              </w:rPr>
              <w:t>1</w:t>
            </w:r>
            <w:r w:rsidRPr="00387920">
              <w:rPr>
                <w:sz w:val="22"/>
                <w:szCs w:val="22"/>
                <w:lang w:val="sr-Cyrl-RS"/>
              </w:rPr>
              <w:t xml:space="preserve"> се прилаже уз Изјаву о техничкој и организационој оспособљености за обављање задружне ревизије </w:t>
            </w:r>
            <w:r w:rsidR="005A5DD4" w:rsidRPr="00387920">
              <w:rPr>
                <w:sz w:val="22"/>
                <w:szCs w:val="22"/>
                <w:lang w:val="sr-Cyrl-RS"/>
              </w:rPr>
              <w:t>Један од начина доказивања коришћења пословног простора врши се достављем извода из листа непокретности. Наведени документ се</w:t>
            </w:r>
            <w:r w:rsidR="00B334A2" w:rsidRPr="00387920">
              <w:rPr>
                <w:sz w:val="22"/>
                <w:szCs w:val="22"/>
                <w:lang w:val="sr-Cyrl-RS"/>
              </w:rPr>
              <w:t xml:space="preserve"> потражује од подносиоца захтева </w:t>
            </w:r>
            <w:r w:rsidR="005A5DD4" w:rsidRPr="00387920">
              <w:rPr>
                <w:sz w:val="22"/>
                <w:szCs w:val="22"/>
                <w:lang w:val="sr-Cyrl-RS"/>
              </w:rPr>
              <w:t>у копији. Надлежни орган може прибавити податак по службеној дужности о основу коришћења, у случају књижног власништва.</w:t>
            </w:r>
            <w:r w:rsidR="00B334A2" w:rsidRPr="00387920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пословним простором,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 катастарске парцеле, адреса објекта, број листа непокретности).</w:t>
            </w:r>
          </w:p>
          <w:p w14:paraId="5F818CA9" w14:textId="77777777" w:rsidR="000F57EA" w:rsidRPr="00387920" w:rsidRDefault="000F57EA" w:rsidP="000F57EA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44CDC28" w14:textId="3A46CE27" w:rsidR="000E0A90" w:rsidRPr="00387920" w:rsidRDefault="00387920" w:rsidP="000E0A90">
            <w:pPr>
              <w:pStyle w:val="odluka-zakon"/>
              <w:numPr>
                <w:ilvl w:val="1"/>
                <w:numId w:val="38"/>
              </w:numPr>
              <w:shd w:val="clear" w:color="auto" w:fill="FFFFFF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8792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</w:t>
            </w:r>
            <w:r w:rsidR="000E0A90" w:rsidRPr="0038792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описивање потребне документације</w:t>
            </w:r>
          </w:p>
          <w:p w14:paraId="63A69AB3" w14:textId="7E93F57C" w:rsidR="000E0A90" w:rsidRDefault="000E0A90" w:rsidP="000E0A90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</w:t>
            </w:r>
            <w:r w:rsidR="00DF762D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обрасцу захтева</w:t>
            </w:r>
            <w:r w:rsidR="00DF762D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следеће документације која се доставља уз захтев:</w:t>
            </w:r>
          </w:p>
          <w:p w14:paraId="1FF64EEC" w14:textId="77777777" w:rsidR="003912F6" w:rsidRPr="00387920" w:rsidRDefault="003912F6" w:rsidP="000E0A90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941BC25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Изјава о техничкој и организационој оспособљености за обављање задружне ревизије, у оригиналу</w:t>
            </w:r>
          </w:p>
          <w:p w14:paraId="69DBC6B5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Пописна листа основних средстава на дан_______године, у копији</w:t>
            </w:r>
          </w:p>
          <w:p w14:paraId="2F6303EB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Потврда о броју запослених лица и стручној спреми, као саставни део обрасца захтева</w:t>
            </w:r>
          </w:p>
          <w:p w14:paraId="049A1302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Диплома о стеченом високом образовању, у копији</w:t>
            </w:r>
          </w:p>
          <w:p w14:paraId="25D7F5E4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Потврда послодавца о практичном искуству у области задругарства од најмање три године, на пословима са високом стручном спремом, као саставни део обрасца захтева</w:t>
            </w:r>
          </w:p>
          <w:p w14:paraId="6900EE36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Потврда задружног савеза потписана од стране надлежног органа, да лице испуњава услове у погледу стручности за обављање послова задружне ревизије, као саставни део обрасца захтева</w:t>
            </w:r>
          </w:p>
          <w:p w14:paraId="63BF8B45" w14:textId="77777777" w:rsidR="000E0A90" w:rsidRPr="0038792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Уговор о закупу, уговор о купопродаји односно други правни основ коришћења пословног простора, у копији</w:t>
            </w:r>
          </w:p>
          <w:p w14:paraId="464EC75C" w14:textId="77777777" w:rsidR="000E0A90" w:rsidRDefault="000E0A90" w:rsidP="000E0A90">
            <w:pPr>
              <w:pStyle w:val="ListParagraph"/>
              <w:numPr>
                <w:ilvl w:val="0"/>
                <w:numId w:val="31"/>
              </w:numPr>
              <w:spacing w:before="120" w:beforeAutospacing="1" w:after="120" w:afterAutospacing="1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Кратка биографија лица које ће обављати послове задружног ревизора, у оригиналу</w:t>
            </w:r>
          </w:p>
          <w:p w14:paraId="43E1680F" w14:textId="1FC571A4" w:rsidR="003912F6" w:rsidRPr="003912F6" w:rsidRDefault="003912F6" w:rsidP="003912F6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Документација (подаци из докумената) која се прибавља по службеној дужности: Оснивачки акт, задружна правила, потврда МУП-а о несуђиваности, уговор о раду, извод из листа непокретности)</w:t>
            </w:r>
          </w:p>
          <w:p w14:paraId="7742FEDE" w14:textId="1A7FC76E" w:rsidR="00173FC4" w:rsidRDefault="000E0A90" w:rsidP="000E0A90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4EE152C" w14:textId="77777777" w:rsidR="00236889" w:rsidRPr="00387920" w:rsidRDefault="00236889" w:rsidP="000E0A90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311FB69" w14:textId="3B9ACEF0" w:rsidR="00D17771" w:rsidRPr="00387920" w:rsidRDefault="00B644EE" w:rsidP="00A55C3D">
            <w:pPr>
              <w:pStyle w:val="odluka-zakon"/>
              <w:numPr>
                <w:ilvl w:val="1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lastRenderedPageBreak/>
              <w:t>Унапређење</w:t>
            </w:r>
            <w:r w:rsidR="00D17771" w:rsidRPr="0038792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обрасца захтева</w:t>
            </w:r>
          </w:p>
          <w:p w14:paraId="3AB63E11" w14:textId="5B16D732" w:rsidR="00140D69" w:rsidRPr="00387920" w:rsidRDefault="00140D69" w:rsidP="00140D6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на обрасцу, који је припремила организациона </w:t>
            </w:r>
            <w:r w:rsidR="00623445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јединица на основу елемената де</w:t>
            </w:r>
            <w:r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</w:t>
            </w:r>
            <w:r w:rsidR="00623445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нисаних прописом. Предлаже се</w:t>
            </w:r>
            <w:r w:rsidR="003D27C2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унапређење постојећег обрасца који ће садржати следеће</w:t>
            </w:r>
            <w:r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03BCF0BD" w14:textId="1002D29E" w:rsidR="00236889" w:rsidRPr="00236889" w:rsidRDefault="00236889" w:rsidP="0023688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26C3A7D" w14:textId="77777777" w:rsidR="00236889" w:rsidRPr="00236889" w:rsidRDefault="00236889" w:rsidP="0023688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3688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D0C7DE2" w14:textId="77777777" w:rsidR="00236889" w:rsidRPr="00236889" w:rsidRDefault="00236889" w:rsidP="0023688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345FF54" w14:textId="77777777" w:rsidR="00236889" w:rsidRPr="00236889" w:rsidRDefault="00236889" w:rsidP="0023688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3688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F61143D" w14:textId="6A57F9BD" w:rsidR="00236889" w:rsidRPr="00236889" w:rsidRDefault="00236889" w:rsidP="00236889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3688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40E85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940E85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информације о власнику простора, бр. катастарске парцеле и катастарској општини</w:t>
            </w:r>
            <w:r w:rsidR="00940E85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броју листа непокретности, име и презиме и ЈМБГ запослених лица/ангажованих за које се проверава пријава осигурања уз изјаву о заштити података, име и презиме</w:t>
            </w:r>
            <w:r w:rsidR="00940E85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место рођења, јмбг, место пребивалишта </w:t>
            </w:r>
            <w:r w:rsidR="00940E85" w:rsidRPr="003879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 за које се проверавају подаци из казнене евиденције);</w:t>
            </w:r>
          </w:p>
          <w:p w14:paraId="6A52223A" w14:textId="77777777" w:rsidR="00236889" w:rsidRPr="00236889" w:rsidRDefault="00236889" w:rsidP="0023688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BF80281" w14:textId="77777777" w:rsidR="00236889" w:rsidRPr="00236889" w:rsidRDefault="00236889" w:rsidP="002368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484FD3C" w14:textId="50E39055" w:rsidR="00236889" w:rsidRPr="00236889" w:rsidRDefault="00236889" w:rsidP="002368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37" w:hanging="33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CF3AFB4" w14:textId="77777777" w:rsidR="00236889" w:rsidRPr="00236889" w:rsidRDefault="00236889" w:rsidP="002368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BA85C1D" w14:textId="77777777" w:rsidR="00236889" w:rsidRPr="00236889" w:rsidRDefault="00236889" w:rsidP="002368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3688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4E2A891" w14:textId="77777777" w:rsidR="00236889" w:rsidRPr="00236889" w:rsidRDefault="00236889" w:rsidP="0023688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66988F5" w14:textId="77777777" w:rsidR="00236889" w:rsidRPr="00236889" w:rsidRDefault="00236889" w:rsidP="0023688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9B80761" w14:textId="77777777" w:rsidR="00236889" w:rsidRPr="00236889" w:rsidRDefault="00236889" w:rsidP="0023688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3FFEF0E" w14:textId="77777777" w:rsidR="00236889" w:rsidRPr="00236889" w:rsidRDefault="00236889" w:rsidP="0023688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C82A541" w14:textId="77777777" w:rsidR="00236889" w:rsidRPr="00236889" w:rsidRDefault="00236889" w:rsidP="00236889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B0A9F28" w14:textId="77777777" w:rsidR="00236889" w:rsidRPr="00236889" w:rsidRDefault="00236889" w:rsidP="0023688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18894A2" w14:textId="77777777" w:rsidR="00236889" w:rsidRPr="00236889" w:rsidRDefault="00236889" w:rsidP="00236889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6EB734E" w14:textId="77777777" w:rsidR="00236889" w:rsidRPr="00236889" w:rsidRDefault="00236889" w:rsidP="002368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B355D1" w14:textId="77777777" w:rsidR="00236889" w:rsidRPr="00236889" w:rsidRDefault="00236889" w:rsidP="002368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7F03501" w14:textId="77777777" w:rsidR="00236889" w:rsidRPr="00236889" w:rsidRDefault="00236889" w:rsidP="002368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2E276E" w14:textId="77777777" w:rsidR="00236889" w:rsidRPr="00236889" w:rsidRDefault="00236889" w:rsidP="0023688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6AB660C" w14:textId="77777777" w:rsidR="00236889" w:rsidRPr="00236889" w:rsidRDefault="00236889" w:rsidP="0023688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876D851" w14:textId="77777777" w:rsidR="00236889" w:rsidRPr="00236889" w:rsidRDefault="00236889" w:rsidP="00236889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2555BF0" w14:textId="77777777" w:rsidR="00236889" w:rsidRPr="00236889" w:rsidRDefault="00236889" w:rsidP="00236889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FB4EF16" w14:textId="77777777" w:rsidR="00236889" w:rsidRPr="00236889" w:rsidRDefault="00236889" w:rsidP="00236889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B450438" w14:textId="77777777" w:rsidR="00236889" w:rsidRPr="00236889" w:rsidRDefault="00236889" w:rsidP="00236889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CAEDEAD" w14:textId="18FD8401" w:rsidR="00236889" w:rsidRPr="00236889" w:rsidRDefault="00236889" w:rsidP="00236889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68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8B225B6" w14:textId="3709C5A9" w:rsidR="005A4C98" w:rsidRPr="00387920" w:rsidRDefault="005A4C98" w:rsidP="005A4C98">
            <w:pPr>
              <w:pStyle w:val="ListParagraph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8792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препоруке, није потребна измена прописа.</w:t>
            </w:r>
          </w:p>
          <w:p w14:paraId="3CA47730" w14:textId="27B6D328" w:rsidR="00D647C4" w:rsidRPr="00387920" w:rsidRDefault="00D647C4" w:rsidP="00491FD4">
            <w:pPr>
              <w:pStyle w:val="odluka-zakon"/>
              <w:numPr>
                <w:ilvl w:val="1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387920">
              <w:rPr>
                <w:b/>
                <w:sz w:val="22"/>
                <w:szCs w:val="22"/>
                <w:u w:val="single"/>
                <w:lang w:val="sr-Cyrl-RS"/>
              </w:rPr>
              <w:t>Јавна доступност регистра аката</w:t>
            </w:r>
            <w:r w:rsidR="00623445" w:rsidRPr="00387920">
              <w:rPr>
                <w:b/>
                <w:sz w:val="22"/>
                <w:szCs w:val="22"/>
                <w:u w:val="single"/>
                <w:lang w:val="sr-Cyrl-RS"/>
              </w:rPr>
              <w:t xml:space="preserve"> и повезивање са порталом отворених података</w:t>
            </w:r>
          </w:p>
          <w:p w14:paraId="39AB09BF" w14:textId="6A71C97D" w:rsidR="00D647C4" w:rsidRPr="008439B0" w:rsidRDefault="00D647C4" w:rsidP="008439B0">
            <w:pPr>
              <w:pStyle w:val="NormalWeb"/>
              <w:jc w:val="both"/>
              <w:rPr>
                <w:b/>
                <w:bCs/>
              </w:rPr>
            </w:pPr>
            <w:r w:rsidRPr="00387920">
              <w:rPr>
                <w:sz w:val="22"/>
                <w:szCs w:val="22"/>
                <w:lang w:val="sr-Cyrl-RS"/>
              </w:rPr>
              <w:t xml:space="preserve">Министарство привреде води евиденцију издатих аката у </w:t>
            </w:r>
            <w:r w:rsidR="00623445" w:rsidRPr="00387920">
              <w:rPr>
                <w:sz w:val="22"/>
                <w:szCs w:val="22"/>
                <w:lang w:val="sr-Cyrl-RS"/>
              </w:rPr>
              <w:t xml:space="preserve">ворду. Потребно је </w:t>
            </w:r>
            <w:r w:rsidR="008439B0">
              <w:rPr>
                <w:sz w:val="22"/>
                <w:szCs w:val="22"/>
                <w:lang w:val="sr-Cyrl-RS"/>
              </w:rPr>
              <w:t xml:space="preserve">да се регистар води </w:t>
            </w:r>
            <w:r w:rsidR="008439B0" w:rsidRPr="008439B0">
              <w:rPr>
                <w:bCs/>
                <w:sz w:val="22"/>
                <w:szCs w:val="22"/>
                <w:lang w:val="sr-Cyrl-RS"/>
              </w:rPr>
              <w:t xml:space="preserve">у отвореном, машински </w:t>
            </w:r>
            <w:r w:rsidR="008439B0">
              <w:rPr>
                <w:bCs/>
                <w:sz w:val="22"/>
                <w:szCs w:val="22"/>
                <w:lang w:val="sr-Cyrl-RS"/>
              </w:rPr>
              <w:t xml:space="preserve">читљивом облику (база података), </w:t>
            </w:r>
            <w:r w:rsidR="008439B0">
              <w:rPr>
                <w:sz w:val="22"/>
                <w:szCs w:val="22"/>
                <w:lang w:val="sr-Cyrl-RS"/>
              </w:rPr>
              <w:t>која би био доступан</w:t>
            </w:r>
            <w:r w:rsidRPr="00387920">
              <w:rPr>
                <w:sz w:val="22"/>
                <w:szCs w:val="22"/>
                <w:lang w:val="sr-Cyrl-RS"/>
              </w:rPr>
              <w:t xml:space="preserve"> на званичној веб презентацији министарства, те да се на тај начин омогући јавна доступност </w:t>
            </w:r>
            <w:r w:rsidR="00AC5DF3">
              <w:rPr>
                <w:sz w:val="22"/>
                <w:szCs w:val="22"/>
                <w:lang w:val="en-GB"/>
              </w:rPr>
              <w:t xml:space="preserve"> </w:t>
            </w:r>
            <w:r w:rsidR="00AC5DF3">
              <w:rPr>
                <w:sz w:val="22"/>
                <w:szCs w:val="22"/>
                <w:lang w:val="sr-Cyrl-RS"/>
              </w:rPr>
              <w:t xml:space="preserve">података из </w:t>
            </w:r>
            <w:r w:rsidRPr="00387920">
              <w:rPr>
                <w:sz w:val="22"/>
                <w:szCs w:val="22"/>
                <w:lang w:val="sr-Cyrl-RS"/>
              </w:rPr>
              <w:t xml:space="preserve">издатих решења.Такође, потребно је успоставити везу са порталом отворених података </w:t>
            </w:r>
            <w:hyperlink r:id="rId8" w:history="1">
              <w:r w:rsidRPr="00387920">
                <w:rPr>
                  <w:rStyle w:val="Hyperlink"/>
                  <w:sz w:val="22"/>
                  <w:szCs w:val="22"/>
                  <w:lang w:val="sr-Cyrl-RS"/>
                </w:rPr>
                <w:t>https://data.gov.rs/sr/discover/</w:t>
              </w:r>
            </w:hyperlink>
            <w:r w:rsidRPr="00387920">
              <w:rPr>
                <w:sz w:val="22"/>
                <w:szCs w:val="22"/>
                <w:lang w:val="sr-Cyrl-RS"/>
              </w:rPr>
              <w:t>.  Истовремено, ова препорука ће омогућити  примену члана 10. Закона о елекронском управи ("Службени гласник" РС, број 27/2018, којим се уводи обавеза органима да успостављају и воде регистре и евиденције у електронском облику</w:t>
            </w:r>
            <w:r w:rsidRPr="00387920">
              <w:rPr>
                <w:sz w:val="22"/>
                <w:szCs w:val="22"/>
                <w:lang w:val="sr-Latn-RS"/>
              </w:rPr>
              <w:t>.</w:t>
            </w:r>
          </w:p>
          <w:p w14:paraId="71A1B5FB" w14:textId="77777777" w:rsidR="00D647C4" w:rsidRPr="00387920" w:rsidRDefault="00D647C4" w:rsidP="00D647C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87920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3CF56F7" w14:textId="77777777" w:rsidR="00D647C4" w:rsidRPr="00387920" w:rsidRDefault="00D647C4" w:rsidP="00D647C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40D6775" w14:textId="16A7DA3E" w:rsidR="00D647C4" w:rsidRPr="00387920" w:rsidRDefault="00D9540B" w:rsidP="00491FD4">
            <w:pPr>
              <w:pStyle w:val="odluka-zakon"/>
              <w:numPr>
                <w:ilvl w:val="1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D9540B">
              <w:rPr>
                <w:b/>
                <w:sz w:val="22"/>
                <w:szCs w:val="22"/>
                <w:u w:val="single"/>
                <w:lang w:val="sr-Cyrl-RS"/>
              </w:rPr>
              <w:t>Подношење захтева електронским путем</w:t>
            </w:r>
            <w:r w:rsidR="006F4504" w:rsidRPr="00387920">
              <w:rPr>
                <w:b/>
                <w:sz w:val="22"/>
                <w:szCs w:val="22"/>
                <w:u w:val="single"/>
                <w:lang w:val="sr-Latn-RS"/>
              </w:rPr>
              <w:t xml:space="preserve"> (када се стекну у</w:t>
            </w:r>
            <w:r w:rsidR="006F4504" w:rsidRPr="00387920">
              <w:rPr>
                <w:b/>
                <w:sz w:val="22"/>
                <w:szCs w:val="22"/>
                <w:u w:val="single"/>
                <w:lang w:val="sr-Cyrl-RS"/>
              </w:rPr>
              <w:t>слови за примену препоруке)</w:t>
            </w:r>
          </w:p>
          <w:p w14:paraId="4146E8FE" w14:textId="77777777" w:rsidR="00D647C4" w:rsidRPr="00387920" w:rsidRDefault="00D647C4" w:rsidP="00D647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Представници пословног сектора су предложили да се овај поступак спроводи електронским путем. </w:t>
            </w:r>
          </w:p>
          <w:p w14:paraId="586541FF" w14:textId="704DBACE" w:rsidR="00D647C4" w:rsidRPr="00387920" w:rsidRDefault="00D647C4" w:rsidP="00D647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да се подносиоцу захтева омогући електронско подношење захтева потписаног електронским сертификатом</w:t>
            </w:r>
            <w:r w:rsidR="00C8751E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путем налога електронске поште овлашћеног службеног лица (имејл)</w:t>
            </w:r>
            <w:r w:rsidR="006F4504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Истовремено, ова препорука ће омогућити  примену члана 39. Закона о елекронском управи ("Службени гласник" РС, број 27/2018, којим се уводи обавеза органима примања електронским поднесака од октобра 2019.године. По члану 37 Закона, орган је дужан да на </w:t>
            </w:r>
            <w:r w:rsidR="00C8751E"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>званичној</w:t>
            </w: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веб презентацији, Порталу еУправа и/или другом веб порталу објави листу управних поступака који се могу реализовати електронским путем, начин вођења електронског управног поступка и ограничења при електронском управном поступању.</w:t>
            </w:r>
          </w:p>
          <w:p w14:paraId="3FA1B8CA" w14:textId="77777777" w:rsidR="00D647C4" w:rsidRPr="00387920" w:rsidRDefault="00D647C4" w:rsidP="00D647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Предуслов за ову активност је поседовање налога електронске поште и електронског квалификованог сертификата овлашћеног службеног лица.  </w:t>
            </w:r>
          </w:p>
          <w:p w14:paraId="3A3AFF77" w14:textId="77777777" w:rsidR="00D647C4" w:rsidRPr="00387920" w:rsidRDefault="00D647C4" w:rsidP="00D647C4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79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71045A1C" w:rsidR="00D647C4" w:rsidRPr="00387920" w:rsidRDefault="00D647C4" w:rsidP="00C8751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98D7DC5" w:rsidR="00CA1CE9" w:rsidRPr="00DB19B9" w:rsidRDefault="00CA1CE9" w:rsidP="00140D6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FB84665" w:rsidR="00CA1CE9" w:rsidRPr="00DB19B9" w:rsidRDefault="008439B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0E3A7F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140D6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B716D01" w:rsidR="00CA1CE9" w:rsidRPr="00DB19B9" w:rsidRDefault="008439B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0E3A7F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140D6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5457F7">
        <w:trPr>
          <w:trHeight w:val="1830"/>
        </w:trPr>
        <w:tc>
          <w:tcPr>
            <w:tcW w:w="9060" w:type="dxa"/>
            <w:gridSpan w:val="2"/>
            <w:shd w:val="clear" w:color="auto" w:fill="auto"/>
          </w:tcPr>
          <w:p w14:paraId="4E738790" w14:textId="77777777" w:rsidR="0063116F" w:rsidRPr="0063116F" w:rsidRDefault="0063116F" w:rsidP="0063116F">
            <w:pPr>
              <w:ind w:left="-23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63116F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17.635,33 РСД. Усвајање и примена препорука ће донети привредним субјектима годишње директне уштеде од 12.909,02 РСД или 106,14 ЕУР. Ове уштеде износе 73,20% укупних директних трошкова привредних субјеката у поступку. </w:t>
            </w:r>
          </w:p>
          <w:p w14:paraId="6555EC36" w14:textId="77777777" w:rsidR="00D25CF6" w:rsidRDefault="00D25CF6" w:rsidP="0063116F">
            <w:pPr>
              <w:ind w:left="-23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5E7327CE" w14:textId="77777777" w:rsidR="00E94240" w:rsidRDefault="00E94240" w:rsidP="00E94240">
            <w:pPr>
              <w:ind w:left="-23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63116F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Индиректни трошкови спровођења овог поступка за привредне субјекте на годишњем нивоу износе 132 дана. Индиректне уштеде, које ће се остварити скраћењем времена за пословни </w:t>
            </w:r>
            <w:r w:rsidRPr="0063116F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lastRenderedPageBreak/>
              <w:t>сектор, износе 12 дана на годишњем нивоу. Ове уштеде износе 9,09% укупних индиректних трошкова привредних субјеката у поступку.</w:t>
            </w:r>
          </w:p>
          <w:p w14:paraId="6B53FC54" w14:textId="77777777" w:rsidR="00E94240" w:rsidRPr="00D25CF6" w:rsidRDefault="00E94240" w:rsidP="0063116F">
            <w:pPr>
              <w:ind w:left="-23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Latn-RS"/>
              </w:rPr>
            </w:pPr>
          </w:p>
          <w:p w14:paraId="700A0306" w14:textId="77777777" w:rsidR="002D5E48" w:rsidRDefault="002D5E48" w:rsidP="002D5E48">
            <w:pPr>
              <w:ind w:left="-23"/>
              <w:rPr>
                <w:rFonts w:ascii="Times New Roman" w:hAnsi="Times New Roman"/>
                <w:lang w:val="sr-Cyrl-RS"/>
              </w:rPr>
            </w:pPr>
            <w:r w:rsidRPr="002D5E4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</w:t>
            </w:r>
            <w:r w:rsidRPr="002D5E4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D5E4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смањењу </w:t>
            </w:r>
            <w:r w:rsidRPr="002D5E4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документације, побољшању пословног амбијента и поједностављењу поступка за привредне субјекте</w:t>
            </w:r>
            <w:r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331CCBA4" w14:textId="3530883A" w:rsidR="002D5E48" w:rsidRPr="00DB19B9" w:rsidRDefault="002D5E48" w:rsidP="005457F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8F81F" w14:textId="77777777" w:rsidR="008A5079" w:rsidRDefault="008A5079" w:rsidP="002A202F">
      <w:r>
        <w:separator/>
      </w:r>
    </w:p>
  </w:endnote>
  <w:endnote w:type="continuationSeparator" w:id="0">
    <w:p w14:paraId="7B921918" w14:textId="77777777" w:rsidR="008A5079" w:rsidRDefault="008A507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FDECF17" w:rsidR="00957407" w:rsidRDefault="009574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5B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957407" w:rsidRDefault="00957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E640B" w14:textId="77777777" w:rsidR="008A5079" w:rsidRDefault="008A5079" w:rsidP="002A202F">
      <w:r>
        <w:separator/>
      </w:r>
    </w:p>
  </w:footnote>
  <w:footnote w:type="continuationSeparator" w:id="0">
    <w:p w14:paraId="2C0A680C" w14:textId="77777777" w:rsidR="008A5079" w:rsidRDefault="008A5079" w:rsidP="002A202F">
      <w:r>
        <w:continuationSeparator/>
      </w:r>
    </w:p>
  </w:footnote>
  <w:footnote w:id="1">
    <w:p w14:paraId="7B94CB45" w14:textId="2150E6C7" w:rsidR="00957407" w:rsidRPr="00070CC3" w:rsidRDefault="00957407" w:rsidP="00A40D1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>
        <w:rPr>
          <w:rFonts w:ascii="Times New Roman" w:hAnsi="Times New Roman"/>
          <w:b/>
          <w:i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Уредбе о прибављању и уступању података о чињеницама о кој</w:t>
      </w:r>
      <w:r w:rsidR="00445D2E">
        <w:rPr>
          <w:rFonts w:ascii="Times New Roman" w:hAnsi="Times New Roman"/>
          <w:i/>
          <w:sz w:val="18"/>
          <w:szCs w:val="18"/>
          <w:lang w:val="sr-Cyrl-RS"/>
        </w:rPr>
        <w:t>има се води службена евиденција</w:t>
      </w:r>
      <w:r w:rsidR="00445D2E">
        <w:rPr>
          <w:rFonts w:ascii="Times New Roman" w:hAnsi="Times New Roman"/>
          <w:i/>
          <w:sz w:val="18"/>
          <w:szCs w:val="18"/>
          <w:lang w:val="sr-Latn-RS"/>
        </w:rPr>
        <w:t xml:space="preserve"> </w:t>
      </w:r>
      <w:r w:rsidR="00940E85" w:rsidRPr="00940E85">
        <w:rPr>
          <w:rFonts w:ascii="Times New Roman" w:eastAsia="Times New Roman" w:hAnsi="Times New Roman"/>
          <w:i/>
          <w:iCs/>
          <w:color w:val="222222"/>
          <w:sz w:val="22"/>
          <w:szCs w:val="22"/>
          <w:lang w:val="sr-Cyrl-RS"/>
        </w:rPr>
        <w:t>(</w:t>
      </w:r>
      <w:hyperlink r:id="rId1" w:tgtFrame="_blank" w:history="1">
        <w:r w:rsidR="00940E85" w:rsidRPr="00445D2E">
          <w:rPr>
            <w:rFonts w:ascii="Times New Roman" w:eastAsia="Times New Roman" w:hAnsi="Times New Roman"/>
            <w:i/>
            <w:iCs/>
            <w:color w:val="1155CC"/>
            <w:sz w:val="18"/>
            <w:szCs w:val="18"/>
            <w:u w:val="single"/>
          </w:rPr>
          <w:t>http://mduls.gov.rs/reforma-javne-uprave/reforma-upravnog-postupka/podrska-zaposlenima-u-koriscenju-ezup-a/</w:t>
        </w:r>
      </w:hyperlink>
      <w:r w:rsidR="00940E85" w:rsidRPr="00445D2E">
        <w:rPr>
          <w:rFonts w:ascii="Times New Roman" w:eastAsia="Times New Roman" w:hAnsi="Times New Roman"/>
          <w:i/>
          <w:iCs/>
          <w:color w:val="222222"/>
          <w:sz w:val="18"/>
          <w:szCs w:val="18"/>
        </w:rPr>
        <w:t> </w:t>
      </w:r>
      <w:r w:rsidR="00940E85" w:rsidRPr="00445D2E">
        <w:rPr>
          <w:rFonts w:ascii="Times New Roman" w:eastAsia="Times New Roman" w:hAnsi="Times New Roman"/>
          <w:i/>
          <w:iCs/>
          <w:color w:val="222222"/>
          <w:sz w:val="18"/>
          <w:szCs w:val="18"/>
          <w:lang w:val="sr-Cyrl-RS"/>
        </w:rPr>
        <w:t>).</w:t>
      </w:r>
    </w:p>
  </w:footnote>
  <w:footnote w:id="2">
    <w:p w14:paraId="7FB6CF21" w14:textId="7457E75E" w:rsidR="00957407" w:rsidRPr="00070CC3" w:rsidRDefault="00957407" w:rsidP="0059106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 xml:space="preserve">Предуслов </w:t>
      </w:r>
      <w:r>
        <w:rPr>
          <w:rFonts w:ascii="Times New Roman" w:hAnsi="Times New Roman"/>
          <w:i/>
          <w:sz w:val="18"/>
          <w:szCs w:val="18"/>
          <w:lang w:val="sr-Cyrl-RS"/>
        </w:rPr>
        <w:t>за прибављање података путем е-ЗУП-а је приступање овом информационом систему, у складу са Упутством о примени</w:t>
      </w:r>
      <w:r>
        <w:rPr>
          <w:rFonts w:ascii="Times New Roman" w:hAnsi="Times New Roman"/>
          <w:b/>
          <w:i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Уредбе о прибављању и уступању података о чињеницама о који</w:t>
      </w:r>
      <w:r w:rsidR="00E94240">
        <w:rPr>
          <w:rFonts w:ascii="Times New Roman" w:hAnsi="Times New Roman"/>
          <w:i/>
          <w:sz w:val="18"/>
          <w:szCs w:val="18"/>
          <w:lang w:val="sr-Cyrl-RS"/>
        </w:rPr>
        <w:t>ма се води службена евиденција.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95B"/>
    <w:multiLevelType w:val="hybridMultilevel"/>
    <w:tmpl w:val="678E217C"/>
    <w:lvl w:ilvl="0" w:tplc="11008C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51F3"/>
    <w:multiLevelType w:val="hybridMultilevel"/>
    <w:tmpl w:val="DF708A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63E70"/>
    <w:multiLevelType w:val="hybridMultilevel"/>
    <w:tmpl w:val="34D896D8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BC5"/>
    <w:multiLevelType w:val="hybridMultilevel"/>
    <w:tmpl w:val="630E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44687"/>
    <w:multiLevelType w:val="hybridMultilevel"/>
    <w:tmpl w:val="C8365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B2DDB"/>
    <w:multiLevelType w:val="multilevel"/>
    <w:tmpl w:val="BF387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  <w:u w:val="single"/>
      </w:rPr>
    </w:lvl>
  </w:abstractNum>
  <w:abstractNum w:abstractNumId="15" w15:restartNumberingAfterBreak="0">
    <w:nsid w:val="402B63D8"/>
    <w:multiLevelType w:val="multilevel"/>
    <w:tmpl w:val="33FA6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  <w:u w:val="single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A109D9"/>
    <w:multiLevelType w:val="hybridMultilevel"/>
    <w:tmpl w:val="00EA8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081306"/>
    <w:multiLevelType w:val="hybridMultilevel"/>
    <w:tmpl w:val="DF9E2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2104"/>
    <w:multiLevelType w:val="multilevel"/>
    <w:tmpl w:val="AD2A94CC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D6007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C5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9"/>
  </w:num>
  <w:num w:numId="5">
    <w:abstractNumId w:val="6"/>
  </w:num>
  <w:num w:numId="6">
    <w:abstractNumId w:val="22"/>
  </w:num>
  <w:num w:numId="7">
    <w:abstractNumId w:val="36"/>
  </w:num>
  <w:num w:numId="8">
    <w:abstractNumId w:val="16"/>
  </w:num>
  <w:num w:numId="9">
    <w:abstractNumId w:val="34"/>
  </w:num>
  <w:num w:numId="10">
    <w:abstractNumId w:val="31"/>
  </w:num>
  <w:num w:numId="11">
    <w:abstractNumId w:val="29"/>
  </w:num>
  <w:num w:numId="12">
    <w:abstractNumId w:val="28"/>
  </w:num>
  <w:num w:numId="13">
    <w:abstractNumId w:val="25"/>
  </w:num>
  <w:num w:numId="14">
    <w:abstractNumId w:val="32"/>
  </w:num>
  <w:num w:numId="15">
    <w:abstractNumId w:val="27"/>
  </w:num>
  <w:num w:numId="16">
    <w:abstractNumId w:val="18"/>
  </w:num>
  <w:num w:numId="17">
    <w:abstractNumId w:val="13"/>
  </w:num>
  <w:num w:numId="18">
    <w:abstractNumId w:val="35"/>
  </w:num>
  <w:num w:numId="19">
    <w:abstractNumId w:val="10"/>
  </w:num>
  <w:num w:numId="20">
    <w:abstractNumId w:val="37"/>
  </w:num>
  <w:num w:numId="21">
    <w:abstractNumId w:val="11"/>
  </w:num>
  <w:num w:numId="22">
    <w:abstractNumId w:val="7"/>
  </w:num>
  <w:num w:numId="23">
    <w:abstractNumId w:val="26"/>
  </w:num>
  <w:num w:numId="24">
    <w:abstractNumId w:val="2"/>
  </w:num>
  <w:num w:numId="25">
    <w:abstractNumId w:val="21"/>
  </w:num>
  <w:num w:numId="26">
    <w:abstractNumId w:val="33"/>
  </w:num>
  <w:num w:numId="27">
    <w:abstractNumId w:val="24"/>
  </w:num>
  <w:num w:numId="28">
    <w:abstractNumId w:val="4"/>
  </w:num>
  <w:num w:numId="29">
    <w:abstractNumId w:val="1"/>
  </w:num>
  <w:num w:numId="30">
    <w:abstractNumId w:val="0"/>
  </w:num>
  <w:num w:numId="31">
    <w:abstractNumId w:val="17"/>
  </w:num>
  <w:num w:numId="32">
    <w:abstractNumId w:val="19"/>
  </w:num>
  <w:num w:numId="33">
    <w:abstractNumId w:val="15"/>
  </w:num>
  <w:num w:numId="34">
    <w:abstractNumId w:val="5"/>
  </w:num>
  <w:num w:numId="35">
    <w:abstractNumId w:val="8"/>
  </w:num>
  <w:num w:numId="36">
    <w:abstractNumId w:val="3"/>
  </w:num>
  <w:num w:numId="37">
    <w:abstractNumId w:val="30"/>
  </w:num>
  <w:num w:numId="38">
    <w:abstractNumId w:val="1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15A"/>
    <w:rsid w:val="0001195C"/>
    <w:rsid w:val="000122E4"/>
    <w:rsid w:val="0001445B"/>
    <w:rsid w:val="00023EF9"/>
    <w:rsid w:val="00023F9F"/>
    <w:rsid w:val="00026C2F"/>
    <w:rsid w:val="00027945"/>
    <w:rsid w:val="00036812"/>
    <w:rsid w:val="00044F35"/>
    <w:rsid w:val="00044F63"/>
    <w:rsid w:val="00050616"/>
    <w:rsid w:val="00052028"/>
    <w:rsid w:val="00056934"/>
    <w:rsid w:val="00061070"/>
    <w:rsid w:val="00083993"/>
    <w:rsid w:val="00092B84"/>
    <w:rsid w:val="00092FB3"/>
    <w:rsid w:val="0009542A"/>
    <w:rsid w:val="000A53F3"/>
    <w:rsid w:val="000A5CDC"/>
    <w:rsid w:val="000B54D7"/>
    <w:rsid w:val="000D5029"/>
    <w:rsid w:val="000E0A90"/>
    <w:rsid w:val="000E2036"/>
    <w:rsid w:val="000F57EA"/>
    <w:rsid w:val="000F5E72"/>
    <w:rsid w:val="001107B4"/>
    <w:rsid w:val="001156BA"/>
    <w:rsid w:val="00124A0F"/>
    <w:rsid w:val="001271ED"/>
    <w:rsid w:val="00136ACD"/>
    <w:rsid w:val="00140D69"/>
    <w:rsid w:val="00141366"/>
    <w:rsid w:val="00146268"/>
    <w:rsid w:val="0015182D"/>
    <w:rsid w:val="00161847"/>
    <w:rsid w:val="00170CA7"/>
    <w:rsid w:val="001711C5"/>
    <w:rsid w:val="00173FC4"/>
    <w:rsid w:val="001A023F"/>
    <w:rsid w:val="001A3FAC"/>
    <w:rsid w:val="001A6472"/>
    <w:rsid w:val="001B03FF"/>
    <w:rsid w:val="001C5538"/>
    <w:rsid w:val="001D0EDE"/>
    <w:rsid w:val="001D20E2"/>
    <w:rsid w:val="001D3BDE"/>
    <w:rsid w:val="001E38DE"/>
    <w:rsid w:val="001F7B31"/>
    <w:rsid w:val="0020601F"/>
    <w:rsid w:val="00212A0F"/>
    <w:rsid w:val="00212DA5"/>
    <w:rsid w:val="0021347C"/>
    <w:rsid w:val="002323AC"/>
    <w:rsid w:val="002359C8"/>
    <w:rsid w:val="00235B46"/>
    <w:rsid w:val="00236889"/>
    <w:rsid w:val="002565C5"/>
    <w:rsid w:val="00261404"/>
    <w:rsid w:val="002673B0"/>
    <w:rsid w:val="00275E2A"/>
    <w:rsid w:val="00296938"/>
    <w:rsid w:val="002A10A9"/>
    <w:rsid w:val="002A202F"/>
    <w:rsid w:val="002A6B30"/>
    <w:rsid w:val="002B19B4"/>
    <w:rsid w:val="002C3E72"/>
    <w:rsid w:val="002D5E48"/>
    <w:rsid w:val="002E4E1D"/>
    <w:rsid w:val="002F1BEC"/>
    <w:rsid w:val="002F4757"/>
    <w:rsid w:val="002F5A49"/>
    <w:rsid w:val="002F6BFD"/>
    <w:rsid w:val="00322199"/>
    <w:rsid w:val="003223C7"/>
    <w:rsid w:val="00326555"/>
    <w:rsid w:val="0033308A"/>
    <w:rsid w:val="003345BB"/>
    <w:rsid w:val="00337BCC"/>
    <w:rsid w:val="003410E0"/>
    <w:rsid w:val="00350EAD"/>
    <w:rsid w:val="00356F6D"/>
    <w:rsid w:val="003602A8"/>
    <w:rsid w:val="0036145A"/>
    <w:rsid w:val="003651DB"/>
    <w:rsid w:val="003715A0"/>
    <w:rsid w:val="0037171F"/>
    <w:rsid w:val="00376FD1"/>
    <w:rsid w:val="00387920"/>
    <w:rsid w:val="0039002C"/>
    <w:rsid w:val="0039015B"/>
    <w:rsid w:val="003912F6"/>
    <w:rsid w:val="0039441B"/>
    <w:rsid w:val="003A265D"/>
    <w:rsid w:val="003B44DB"/>
    <w:rsid w:val="003B4BC9"/>
    <w:rsid w:val="003B6298"/>
    <w:rsid w:val="003D1633"/>
    <w:rsid w:val="003D27C2"/>
    <w:rsid w:val="003E2EB1"/>
    <w:rsid w:val="003E3C16"/>
    <w:rsid w:val="003F7D11"/>
    <w:rsid w:val="00407D96"/>
    <w:rsid w:val="00432495"/>
    <w:rsid w:val="00433A2F"/>
    <w:rsid w:val="00442485"/>
    <w:rsid w:val="00444DA7"/>
    <w:rsid w:val="00445D2E"/>
    <w:rsid w:val="00457882"/>
    <w:rsid w:val="00463CC7"/>
    <w:rsid w:val="00473017"/>
    <w:rsid w:val="004809C4"/>
    <w:rsid w:val="0048433C"/>
    <w:rsid w:val="00484535"/>
    <w:rsid w:val="004847B1"/>
    <w:rsid w:val="0048620D"/>
    <w:rsid w:val="00491FD4"/>
    <w:rsid w:val="00494730"/>
    <w:rsid w:val="0049545B"/>
    <w:rsid w:val="004D3BD0"/>
    <w:rsid w:val="004D45B1"/>
    <w:rsid w:val="004D68A7"/>
    <w:rsid w:val="004E000D"/>
    <w:rsid w:val="004E29D1"/>
    <w:rsid w:val="004F058D"/>
    <w:rsid w:val="00500566"/>
    <w:rsid w:val="005073A3"/>
    <w:rsid w:val="00523608"/>
    <w:rsid w:val="005256FE"/>
    <w:rsid w:val="00525C0A"/>
    <w:rsid w:val="00530EA3"/>
    <w:rsid w:val="00535608"/>
    <w:rsid w:val="00543E5E"/>
    <w:rsid w:val="005457F7"/>
    <w:rsid w:val="00552B16"/>
    <w:rsid w:val="00556688"/>
    <w:rsid w:val="0056162B"/>
    <w:rsid w:val="0056707B"/>
    <w:rsid w:val="00581068"/>
    <w:rsid w:val="00581A9D"/>
    <w:rsid w:val="0059106A"/>
    <w:rsid w:val="005A2503"/>
    <w:rsid w:val="005A36A6"/>
    <w:rsid w:val="005A4C98"/>
    <w:rsid w:val="005A5DD4"/>
    <w:rsid w:val="005B4F04"/>
    <w:rsid w:val="005B7CB9"/>
    <w:rsid w:val="005D0023"/>
    <w:rsid w:val="005E21C4"/>
    <w:rsid w:val="005F4D59"/>
    <w:rsid w:val="0060001C"/>
    <w:rsid w:val="00600376"/>
    <w:rsid w:val="00600D31"/>
    <w:rsid w:val="0060534D"/>
    <w:rsid w:val="0060786A"/>
    <w:rsid w:val="00623445"/>
    <w:rsid w:val="006237FE"/>
    <w:rsid w:val="006279C3"/>
    <w:rsid w:val="00627AF7"/>
    <w:rsid w:val="0063116F"/>
    <w:rsid w:val="00632540"/>
    <w:rsid w:val="00633F73"/>
    <w:rsid w:val="00645199"/>
    <w:rsid w:val="00645850"/>
    <w:rsid w:val="006606C0"/>
    <w:rsid w:val="00661ECF"/>
    <w:rsid w:val="006624EC"/>
    <w:rsid w:val="006758B3"/>
    <w:rsid w:val="00692071"/>
    <w:rsid w:val="00692087"/>
    <w:rsid w:val="00694B28"/>
    <w:rsid w:val="006A3785"/>
    <w:rsid w:val="006C3932"/>
    <w:rsid w:val="006C5349"/>
    <w:rsid w:val="006C5F2A"/>
    <w:rsid w:val="006C662C"/>
    <w:rsid w:val="006F4504"/>
    <w:rsid w:val="006F4A5C"/>
    <w:rsid w:val="00703777"/>
    <w:rsid w:val="007074CA"/>
    <w:rsid w:val="00711F7B"/>
    <w:rsid w:val="00715F5C"/>
    <w:rsid w:val="00727538"/>
    <w:rsid w:val="007278C1"/>
    <w:rsid w:val="00733493"/>
    <w:rsid w:val="00737F1D"/>
    <w:rsid w:val="0077122B"/>
    <w:rsid w:val="00776046"/>
    <w:rsid w:val="00782609"/>
    <w:rsid w:val="00782816"/>
    <w:rsid w:val="007828D6"/>
    <w:rsid w:val="00785A46"/>
    <w:rsid w:val="007861E3"/>
    <w:rsid w:val="0078791B"/>
    <w:rsid w:val="007940D6"/>
    <w:rsid w:val="007A2C51"/>
    <w:rsid w:val="007A3665"/>
    <w:rsid w:val="007B05BB"/>
    <w:rsid w:val="007B1740"/>
    <w:rsid w:val="007C61B5"/>
    <w:rsid w:val="007C7D2D"/>
    <w:rsid w:val="007D05FA"/>
    <w:rsid w:val="007D3889"/>
    <w:rsid w:val="007D39E4"/>
    <w:rsid w:val="007D43A7"/>
    <w:rsid w:val="007E1695"/>
    <w:rsid w:val="007F204C"/>
    <w:rsid w:val="00804060"/>
    <w:rsid w:val="0081400E"/>
    <w:rsid w:val="008166C9"/>
    <w:rsid w:val="00824E43"/>
    <w:rsid w:val="00833D8C"/>
    <w:rsid w:val="00833E73"/>
    <w:rsid w:val="00834C9A"/>
    <w:rsid w:val="00835E54"/>
    <w:rsid w:val="00841AB3"/>
    <w:rsid w:val="008439B0"/>
    <w:rsid w:val="0084708C"/>
    <w:rsid w:val="00850AD5"/>
    <w:rsid w:val="00852739"/>
    <w:rsid w:val="00862793"/>
    <w:rsid w:val="008629CC"/>
    <w:rsid w:val="00865EBB"/>
    <w:rsid w:val="0086653A"/>
    <w:rsid w:val="00886C36"/>
    <w:rsid w:val="008A5079"/>
    <w:rsid w:val="008A6AC8"/>
    <w:rsid w:val="008B67EF"/>
    <w:rsid w:val="008C5591"/>
    <w:rsid w:val="008D04A6"/>
    <w:rsid w:val="008D4C1A"/>
    <w:rsid w:val="008E436A"/>
    <w:rsid w:val="008E4BC8"/>
    <w:rsid w:val="008F0867"/>
    <w:rsid w:val="008F172F"/>
    <w:rsid w:val="008F2044"/>
    <w:rsid w:val="008F2BE1"/>
    <w:rsid w:val="008F2E22"/>
    <w:rsid w:val="008F4DD1"/>
    <w:rsid w:val="00900DDE"/>
    <w:rsid w:val="009056DB"/>
    <w:rsid w:val="00940E85"/>
    <w:rsid w:val="009418C6"/>
    <w:rsid w:val="00947592"/>
    <w:rsid w:val="00950280"/>
    <w:rsid w:val="00957407"/>
    <w:rsid w:val="00981325"/>
    <w:rsid w:val="00991A18"/>
    <w:rsid w:val="00994A16"/>
    <w:rsid w:val="009A092C"/>
    <w:rsid w:val="009A30D3"/>
    <w:rsid w:val="009D03A7"/>
    <w:rsid w:val="009E0479"/>
    <w:rsid w:val="00A0102E"/>
    <w:rsid w:val="00A04220"/>
    <w:rsid w:val="00A12960"/>
    <w:rsid w:val="00A1570D"/>
    <w:rsid w:val="00A22386"/>
    <w:rsid w:val="00A377C4"/>
    <w:rsid w:val="00A40D1C"/>
    <w:rsid w:val="00A50AF3"/>
    <w:rsid w:val="00A55C3D"/>
    <w:rsid w:val="00A56B75"/>
    <w:rsid w:val="00A626F4"/>
    <w:rsid w:val="00A71C04"/>
    <w:rsid w:val="00A85A38"/>
    <w:rsid w:val="00AA0017"/>
    <w:rsid w:val="00AA4BC5"/>
    <w:rsid w:val="00AA6BD9"/>
    <w:rsid w:val="00AB09B3"/>
    <w:rsid w:val="00AC02D1"/>
    <w:rsid w:val="00AC5DF3"/>
    <w:rsid w:val="00AD3895"/>
    <w:rsid w:val="00B06019"/>
    <w:rsid w:val="00B07409"/>
    <w:rsid w:val="00B1006E"/>
    <w:rsid w:val="00B178FB"/>
    <w:rsid w:val="00B17A85"/>
    <w:rsid w:val="00B20D0A"/>
    <w:rsid w:val="00B27A00"/>
    <w:rsid w:val="00B334A2"/>
    <w:rsid w:val="00B350BB"/>
    <w:rsid w:val="00B5252A"/>
    <w:rsid w:val="00B63DB1"/>
    <w:rsid w:val="00B644EE"/>
    <w:rsid w:val="00B67138"/>
    <w:rsid w:val="00B6715C"/>
    <w:rsid w:val="00B75D4D"/>
    <w:rsid w:val="00B8036D"/>
    <w:rsid w:val="00B81CFE"/>
    <w:rsid w:val="00B903AE"/>
    <w:rsid w:val="00B9157F"/>
    <w:rsid w:val="00B95225"/>
    <w:rsid w:val="00BA2137"/>
    <w:rsid w:val="00BA55D3"/>
    <w:rsid w:val="00BA6759"/>
    <w:rsid w:val="00BA7204"/>
    <w:rsid w:val="00BB2C8C"/>
    <w:rsid w:val="00BC6826"/>
    <w:rsid w:val="00C0295C"/>
    <w:rsid w:val="00C03C06"/>
    <w:rsid w:val="00C108D0"/>
    <w:rsid w:val="00C121EC"/>
    <w:rsid w:val="00C12BCD"/>
    <w:rsid w:val="00C12C65"/>
    <w:rsid w:val="00C21B36"/>
    <w:rsid w:val="00C32A65"/>
    <w:rsid w:val="00C43A16"/>
    <w:rsid w:val="00C445E2"/>
    <w:rsid w:val="00C469E8"/>
    <w:rsid w:val="00C52E54"/>
    <w:rsid w:val="00C70F1B"/>
    <w:rsid w:val="00C7129D"/>
    <w:rsid w:val="00C748D1"/>
    <w:rsid w:val="00C8751E"/>
    <w:rsid w:val="00C91014"/>
    <w:rsid w:val="00C97823"/>
    <w:rsid w:val="00CA1CE9"/>
    <w:rsid w:val="00CB0D7F"/>
    <w:rsid w:val="00CB1A4E"/>
    <w:rsid w:val="00CB7616"/>
    <w:rsid w:val="00CC29F6"/>
    <w:rsid w:val="00CD2287"/>
    <w:rsid w:val="00CD5BBB"/>
    <w:rsid w:val="00CE0685"/>
    <w:rsid w:val="00CE2963"/>
    <w:rsid w:val="00CE71E8"/>
    <w:rsid w:val="00D16E17"/>
    <w:rsid w:val="00D17771"/>
    <w:rsid w:val="00D25CF6"/>
    <w:rsid w:val="00D37EA5"/>
    <w:rsid w:val="00D647C4"/>
    <w:rsid w:val="00D73628"/>
    <w:rsid w:val="00D73918"/>
    <w:rsid w:val="00D83508"/>
    <w:rsid w:val="00D9540B"/>
    <w:rsid w:val="00D967D7"/>
    <w:rsid w:val="00DA125D"/>
    <w:rsid w:val="00DA3064"/>
    <w:rsid w:val="00DA718A"/>
    <w:rsid w:val="00DB19B9"/>
    <w:rsid w:val="00DC4BC2"/>
    <w:rsid w:val="00DE057D"/>
    <w:rsid w:val="00DF762D"/>
    <w:rsid w:val="00E0020F"/>
    <w:rsid w:val="00E118C7"/>
    <w:rsid w:val="00E11A64"/>
    <w:rsid w:val="00E1427B"/>
    <w:rsid w:val="00E14E0D"/>
    <w:rsid w:val="00E2143C"/>
    <w:rsid w:val="00E22B8B"/>
    <w:rsid w:val="00E317D1"/>
    <w:rsid w:val="00E40DF0"/>
    <w:rsid w:val="00E4267B"/>
    <w:rsid w:val="00E43AFF"/>
    <w:rsid w:val="00E47DAC"/>
    <w:rsid w:val="00E63C8A"/>
    <w:rsid w:val="00E70BF6"/>
    <w:rsid w:val="00E7372D"/>
    <w:rsid w:val="00E80506"/>
    <w:rsid w:val="00E94240"/>
    <w:rsid w:val="00F034EA"/>
    <w:rsid w:val="00F11C98"/>
    <w:rsid w:val="00F12E47"/>
    <w:rsid w:val="00F1622A"/>
    <w:rsid w:val="00F223B2"/>
    <w:rsid w:val="00F45D66"/>
    <w:rsid w:val="00F53241"/>
    <w:rsid w:val="00F66521"/>
    <w:rsid w:val="00F67790"/>
    <w:rsid w:val="00F7379F"/>
    <w:rsid w:val="00F83385"/>
    <w:rsid w:val="00F9512A"/>
    <w:rsid w:val="00FB1A1B"/>
    <w:rsid w:val="00FB645B"/>
    <w:rsid w:val="00FC09D6"/>
    <w:rsid w:val="00FC34EC"/>
    <w:rsid w:val="00FC3F69"/>
    <w:rsid w:val="00FC48B9"/>
    <w:rsid w:val="00FC5312"/>
    <w:rsid w:val="00FD3964"/>
    <w:rsid w:val="00FD573E"/>
    <w:rsid w:val="00FE7F35"/>
    <w:rsid w:val="00FF26A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1B63527-9049-429C-93A5-3AAA427C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F57E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5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5B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05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7BBAB-61F4-40D8-8394-D0A561ED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2019-05-28T14:09:00Z</dcterms:created>
  <dcterms:modified xsi:type="dcterms:W3CDTF">2019-07-16T12:49:00Z</dcterms:modified>
</cp:coreProperties>
</file>