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A863D" w14:textId="2E076174" w:rsidR="00DF447D" w:rsidRPr="008C042C" w:rsidRDefault="00BE71D8" w:rsidP="00F86D2D">
      <w:pPr>
        <w:spacing w:before="120" w:after="120"/>
        <w:jc w:val="center"/>
        <w:rPr>
          <w:rFonts w:ascii="Times New Roman" w:hAnsi="Times New Roman"/>
        </w:rPr>
      </w:pPr>
      <w:r w:rsidRPr="008C042C">
        <w:rPr>
          <w:rFonts w:ascii="Times New Roman" w:hAnsi="Times New Roman"/>
          <w:b/>
          <w:lang w:val="sr-Cyrl-RS"/>
        </w:rPr>
        <w:t xml:space="preserve">ПОЈЕДНОСТАВЉЕЊЕ ПОСТУПКА КВАНТИТАТИВНЕ ХЕМИЈСКЕ АНАЛИЗЕ ДРАГОЦЕНИХ МЕТАЛА </w:t>
      </w:r>
    </w:p>
    <w:tbl>
      <w:tblPr>
        <w:tblStyle w:val="TableGrid"/>
        <w:tblW w:w="9900" w:type="dxa"/>
        <w:tblInd w:w="-432" w:type="dxa"/>
        <w:tblLook w:val="04A0" w:firstRow="1" w:lastRow="0" w:firstColumn="1" w:lastColumn="0" w:noHBand="0" w:noVBand="1"/>
      </w:tblPr>
      <w:tblGrid>
        <w:gridCol w:w="3121"/>
        <w:gridCol w:w="6779"/>
      </w:tblGrid>
      <w:tr w:rsidR="00850AD5" w:rsidRPr="008C042C" w14:paraId="1976FB87" w14:textId="77777777" w:rsidTr="6B844AE6">
        <w:trPr>
          <w:trHeight w:val="489"/>
        </w:trPr>
        <w:tc>
          <w:tcPr>
            <w:tcW w:w="3121" w:type="dxa"/>
            <w:shd w:val="clear" w:color="auto" w:fill="DBE5F1" w:themeFill="accent1" w:themeFillTint="33"/>
            <w:vAlign w:val="center"/>
          </w:tcPr>
          <w:p w14:paraId="11F785D1" w14:textId="77777777" w:rsidR="000E2036" w:rsidRPr="008C042C" w:rsidRDefault="000E2036" w:rsidP="00850AD5">
            <w:pPr>
              <w:jc w:val="left"/>
              <w:rPr>
                <w:rFonts w:ascii="Times New Roman" w:hAnsi="Times New Roman"/>
                <w:b/>
                <w:sz w:val="22"/>
                <w:szCs w:val="22"/>
                <w:lang w:val="sr-Cyrl-RS"/>
              </w:rPr>
            </w:pPr>
            <w:r w:rsidRPr="008C042C">
              <w:rPr>
                <w:rFonts w:ascii="Times New Roman" w:hAnsi="Times New Roman"/>
                <w:b/>
                <w:sz w:val="22"/>
                <w:szCs w:val="22"/>
                <w:lang w:val="sr-Cyrl-RS"/>
              </w:rPr>
              <w:t xml:space="preserve">Назив административног поступка  </w:t>
            </w:r>
          </w:p>
        </w:tc>
        <w:tc>
          <w:tcPr>
            <w:tcW w:w="6779" w:type="dxa"/>
            <w:vAlign w:val="center"/>
          </w:tcPr>
          <w:p w14:paraId="5FD56B01" w14:textId="5D50FD19" w:rsidR="000E2036" w:rsidRPr="008C042C" w:rsidRDefault="47F96D84" w:rsidP="47F96D84">
            <w:pPr>
              <w:pStyle w:val="NormalWeb"/>
              <w:spacing w:before="120" w:beforeAutospacing="0" w:after="120" w:afterAutospacing="0"/>
              <w:jc w:val="both"/>
              <w:rPr>
                <w:sz w:val="22"/>
                <w:szCs w:val="22"/>
                <w:lang w:val="sr-Latn-RS"/>
              </w:rPr>
            </w:pPr>
            <w:r w:rsidRPr="008C042C">
              <w:rPr>
                <w:sz w:val="22"/>
                <w:szCs w:val="22"/>
                <w:lang w:val="sr-Cyrl-RS"/>
              </w:rPr>
              <w:t>Квантитативна хемијска анализа драгоцених метала</w:t>
            </w:r>
          </w:p>
        </w:tc>
      </w:tr>
      <w:tr w:rsidR="00850AD5" w:rsidRPr="008C042C" w14:paraId="7A6AA442" w14:textId="77777777" w:rsidTr="6B844AE6">
        <w:trPr>
          <w:trHeight w:val="418"/>
        </w:trPr>
        <w:tc>
          <w:tcPr>
            <w:tcW w:w="3121" w:type="dxa"/>
            <w:shd w:val="clear" w:color="auto" w:fill="DBE5F1" w:themeFill="accent1" w:themeFillTint="33"/>
            <w:vAlign w:val="center"/>
          </w:tcPr>
          <w:p w14:paraId="049C2EAE" w14:textId="77777777" w:rsidR="000E2036" w:rsidRPr="008C042C" w:rsidRDefault="000E2036" w:rsidP="00850AD5">
            <w:pPr>
              <w:pStyle w:val="NormalWeb"/>
              <w:spacing w:before="0" w:beforeAutospacing="0" w:after="0" w:afterAutospacing="0"/>
              <w:rPr>
                <w:b/>
                <w:sz w:val="22"/>
                <w:szCs w:val="22"/>
                <w:lang w:val="sr-Cyrl-RS"/>
              </w:rPr>
            </w:pPr>
            <w:r w:rsidRPr="008C042C">
              <w:rPr>
                <w:b/>
                <w:sz w:val="22"/>
                <w:szCs w:val="22"/>
                <w:lang w:val="sr-Cyrl-RS"/>
              </w:rPr>
              <w:t>Шифра поступка</w:t>
            </w:r>
          </w:p>
        </w:tc>
        <w:tc>
          <w:tcPr>
            <w:tcW w:w="6779" w:type="dxa"/>
            <w:vAlign w:val="center"/>
          </w:tcPr>
          <w:p w14:paraId="76B78B5F" w14:textId="18065A57" w:rsidR="000E2036" w:rsidRPr="008C042C" w:rsidRDefault="00DB5431" w:rsidP="00A61262">
            <w:pPr>
              <w:pStyle w:val="NormalWeb"/>
              <w:spacing w:before="120" w:beforeAutospacing="0" w:after="120" w:afterAutospacing="0"/>
              <w:rPr>
                <w:sz w:val="22"/>
                <w:szCs w:val="22"/>
                <w:lang w:val="sr-Latn-RS"/>
              </w:rPr>
            </w:pPr>
            <w:r w:rsidRPr="008C042C">
              <w:rPr>
                <w:sz w:val="22"/>
                <w:szCs w:val="22"/>
                <w:lang w:val="sr-Latn-RS"/>
              </w:rPr>
              <w:t>10.01.00</w:t>
            </w:r>
            <w:r w:rsidR="00A61262" w:rsidRPr="008C042C">
              <w:rPr>
                <w:sz w:val="22"/>
                <w:szCs w:val="22"/>
                <w:lang w:val="sr-Latn-RS"/>
              </w:rPr>
              <w:t>35</w:t>
            </w:r>
          </w:p>
        </w:tc>
      </w:tr>
      <w:tr w:rsidR="00850AD5" w:rsidRPr="008C042C" w14:paraId="2CEE52A6" w14:textId="77777777" w:rsidTr="6B844AE6">
        <w:trPr>
          <w:trHeight w:val="390"/>
        </w:trPr>
        <w:tc>
          <w:tcPr>
            <w:tcW w:w="3121" w:type="dxa"/>
            <w:shd w:val="clear" w:color="auto" w:fill="DBE5F1" w:themeFill="accent1" w:themeFillTint="33"/>
            <w:vAlign w:val="center"/>
          </w:tcPr>
          <w:p w14:paraId="682C75C7" w14:textId="77777777" w:rsidR="00275E2A" w:rsidRPr="008C042C" w:rsidRDefault="00275E2A" w:rsidP="00850AD5">
            <w:pPr>
              <w:pStyle w:val="NormalWeb"/>
              <w:spacing w:before="0" w:beforeAutospacing="0" w:after="0" w:afterAutospacing="0"/>
              <w:rPr>
                <w:b/>
                <w:sz w:val="22"/>
                <w:szCs w:val="22"/>
                <w:lang w:val="sr-Cyrl-RS"/>
              </w:rPr>
            </w:pPr>
            <w:r w:rsidRPr="008C042C">
              <w:rPr>
                <w:b/>
                <w:sz w:val="22"/>
                <w:szCs w:val="22"/>
                <w:lang w:val="sr-Cyrl-RS"/>
              </w:rPr>
              <w:t>Регулаторно тело</w:t>
            </w:r>
          </w:p>
          <w:p w14:paraId="0CAF5299" w14:textId="77777777" w:rsidR="00275E2A" w:rsidRPr="008C042C" w:rsidRDefault="00275E2A" w:rsidP="00850AD5">
            <w:pPr>
              <w:pStyle w:val="NormalWeb"/>
              <w:spacing w:before="0" w:beforeAutospacing="0" w:after="0" w:afterAutospacing="0"/>
              <w:rPr>
                <w:b/>
                <w:sz w:val="22"/>
                <w:szCs w:val="22"/>
                <w:lang w:val="sr-Cyrl-RS"/>
              </w:rPr>
            </w:pPr>
            <w:r w:rsidRPr="008C042C">
              <w:rPr>
                <w:b/>
                <w:sz w:val="22"/>
                <w:szCs w:val="22"/>
                <w:lang w:val="sr-Cyrl-RS"/>
              </w:rPr>
              <w:t>(надлежно за спровођење препоруке)</w:t>
            </w:r>
          </w:p>
        </w:tc>
        <w:tc>
          <w:tcPr>
            <w:tcW w:w="6779" w:type="dxa"/>
            <w:vAlign w:val="center"/>
          </w:tcPr>
          <w:p w14:paraId="63727A92" w14:textId="77777777" w:rsidR="00FB64CE" w:rsidRPr="008C042C" w:rsidRDefault="00FB64CE" w:rsidP="00FB64CE">
            <w:pPr>
              <w:spacing w:before="120" w:after="120" w:line="276" w:lineRule="auto"/>
              <w:jc w:val="left"/>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Министарство привреде</w:t>
            </w:r>
          </w:p>
          <w:p w14:paraId="5795E7E6" w14:textId="39D5277A" w:rsidR="00092B84" w:rsidRPr="008C042C" w:rsidRDefault="00FB64CE" w:rsidP="00FB64CE">
            <w:pPr>
              <w:pStyle w:val="NormalWeb"/>
              <w:spacing w:before="120" w:beforeAutospacing="0" w:after="120" w:afterAutospacing="0"/>
              <w:rPr>
                <w:sz w:val="22"/>
                <w:szCs w:val="22"/>
                <w:lang w:val="sr-Cyrl-RS"/>
              </w:rPr>
            </w:pPr>
            <w:r w:rsidRPr="008C042C">
              <w:rPr>
                <w:rFonts w:eastAsiaTheme="minorHAnsi"/>
                <w:sz w:val="22"/>
                <w:szCs w:val="22"/>
                <w:lang w:val="sr-Cyrl-RS"/>
              </w:rPr>
              <w:t>Дирекција за мере и драгоцене метале</w:t>
            </w:r>
          </w:p>
        </w:tc>
      </w:tr>
      <w:tr w:rsidR="00850AD5" w:rsidRPr="008C042C" w14:paraId="10DA1CD3" w14:textId="77777777" w:rsidTr="6B844AE6">
        <w:tc>
          <w:tcPr>
            <w:tcW w:w="3121" w:type="dxa"/>
            <w:shd w:val="clear" w:color="auto" w:fill="DBE5F1" w:themeFill="accent1" w:themeFillTint="33"/>
            <w:vAlign w:val="center"/>
          </w:tcPr>
          <w:p w14:paraId="4DE579F4" w14:textId="77777777" w:rsidR="00275E2A" w:rsidRPr="008C042C" w:rsidRDefault="00275E2A" w:rsidP="00850AD5">
            <w:pPr>
              <w:pStyle w:val="NormalWeb"/>
              <w:spacing w:before="0" w:beforeAutospacing="0" w:after="0" w:afterAutospacing="0"/>
              <w:rPr>
                <w:b/>
                <w:sz w:val="22"/>
                <w:szCs w:val="22"/>
                <w:lang w:val="sr-Cyrl-RS"/>
              </w:rPr>
            </w:pPr>
            <w:r w:rsidRPr="008C042C">
              <w:rPr>
                <w:b/>
                <w:sz w:val="22"/>
                <w:szCs w:val="22"/>
                <w:lang w:val="sr-Cyrl-RS"/>
              </w:rPr>
              <w:t>Правни о</w:t>
            </w:r>
            <w:r w:rsidR="00B903AE" w:rsidRPr="008C042C">
              <w:rPr>
                <w:b/>
                <w:sz w:val="22"/>
                <w:szCs w:val="22"/>
                <w:lang w:val="sr-Cyrl-RS"/>
              </w:rPr>
              <w:t>квир</w:t>
            </w:r>
            <w:r w:rsidR="00DC4BC2" w:rsidRPr="008C042C">
              <w:rPr>
                <w:b/>
                <w:sz w:val="22"/>
                <w:szCs w:val="22"/>
                <w:lang w:val="sr-Cyrl-RS"/>
              </w:rPr>
              <w:t xml:space="preserve"> којим је уређен административни поступак</w:t>
            </w:r>
          </w:p>
        </w:tc>
        <w:tc>
          <w:tcPr>
            <w:tcW w:w="6779" w:type="dxa"/>
            <w:vAlign w:val="center"/>
          </w:tcPr>
          <w:p w14:paraId="22BF3F32" w14:textId="5F21E1A0" w:rsidR="009E7912" w:rsidRPr="008C042C" w:rsidRDefault="4E4290F0" w:rsidP="4E4290F0">
            <w:pPr>
              <w:pStyle w:val="ListParagraph"/>
              <w:numPr>
                <w:ilvl w:val="0"/>
                <w:numId w:val="1"/>
              </w:numPr>
              <w:rPr>
                <w:rFonts w:ascii="Times New Roman" w:hAnsi="Times New Roman"/>
                <w:sz w:val="22"/>
                <w:szCs w:val="22"/>
                <w:lang w:val="sr-Cyrl-RS"/>
              </w:rPr>
            </w:pPr>
            <w:r w:rsidRPr="008C042C">
              <w:rPr>
                <w:rFonts w:ascii="Times New Roman" w:eastAsia="Times New Roman" w:hAnsi="Times New Roman"/>
                <w:sz w:val="22"/>
                <w:szCs w:val="22"/>
                <w:lang w:val="sr-Cyrl-RS"/>
              </w:rPr>
              <w:t>Закон о контроли предмете од драгоцених метала ("Сл</w:t>
            </w:r>
            <w:r w:rsidR="002E0B81" w:rsidRPr="008C042C">
              <w:rPr>
                <w:rFonts w:ascii="Times New Roman" w:eastAsia="Times New Roman" w:hAnsi="Times New Roman"/>
                <w:sz w:val="22"/>
                <w:szCs w:val="22"/>
                <w:lang w:val="sr-Cyrl-RS"/>
              </w:rPr>
              <w:t>у</w:t>
            </w:r>
            <w:r w:rsidR="00B24873" w:rsidRPr="008C042C">
              <w:rPr>
                <w:rFonts w:ascii="Times New Roman" w:eastAsia="Times New Roman" w:hAnsi="Times New Roman"/>
                <w:sz w:val="22"/>
                <w:szCs w:val="22"/>
                <w:lang w:val="sr-Cyrl-RS"/>
              </w:rPr>
              <w:t>ж</w:t>
            </w:r>
            <w:r w:rsidR="002E0B81" w:rsidRPr="008C042C">
              <w:rPr>
                <w:rFonts w:ascii="Times New Roman" w:eastAsia="Times New Roman" w:hAnsi="Times New Roman"/>
                <w:sz w:val="22"/>
                <w:szCs w:val="22"/>
                <w:lang w:val="sr-Cyrl-RS"/>
              </w:rPr>
              <w:t>бени</w:t>
            </w:r>
            <w:r w:rsidR="008D6DDE">
              <w:rPr>
                <w:rFonts w:ascii="Times New Roman" w:eastAsia="Times New Roman" w:hAnsi="Times New Roman"/>
                <w:sz w:val="22"/>
                <w:szCs w:val="22"/>
                <w:lang w:val="sr-Cyrl-RS"/>
              </w:rPr>
              <w:t xml:space="preserve"> </w:t>
            </w:r>
            <w:r w:rsidR="002E0B81" w:rsidRPr="008C042C">
              <w:rPr>
                <w:rFonts w:ascii="Times New Roman" w:eastAsia="Times New Roman" w:hAnsi="Times New Roman"/>
                <w:sz w:val="22"/>
                <w:szCs w:val="22"/>
                <w:lang w:val="sr-Cyrl-RS"/>
              </w:rPr>
              <w:t>г</w:t>
            </w:r>
            <w:r w:rsidRPr="008C042C">
              <w:rPr>
                <w:rFonts w:ascii="Times New Roman" w:eastAsia="Times New Roman" w:hAnsi="Times New Roman"/>
                <w:sz w:val="22"/>
                <w:szCs w:val="22"/>
                <w:lang w:val="sr-Cyrl-RS"/>
              </w:rPr>
              <w:t xml:space="preserve">ласник РС", бр. </w:t>
            </w:r>
            <w:r w:rsidRPr="008C042C">
              <w:rPr>
                <w:rFonts w:ascii="Times New Roman" w:eastAsia="Times New Roman" w:hAnsi="Times New Roman"/>
                <w:sz w:val="22"/>
                <w:szCs w:val="22"/>
              </w:rPr>
              <w:t xml:space="preserve">36/2011 </w:t>
            </w:r>
            <w:r w:rsidRPr="008C042C">
              <w:rPr>
                <w:rFonts w:ascii="Times New Roman" w:eastAsia="Times New Roman" w:hAnsi="Times New Roman"/>
                <w:sz w:val="22"/>
                <w:szCs w:val="22"/>
                <w:lang w:val="sr-Cyrl-RS"/>
              </w:rPr>
              <w:t>и</w:t>
            </w:r>
            <w:r w:rsidRPr="008C042C">
              <w:rPr>
                <w:rFonts w:ascii="Times New Roman" w:eastAsia="Times New Roman" w:hAnsi="Times New Roman"/>
                <w:sz w:val="22"/>
                <w:szCs w:val="22"/>
              </w:rPr>
              <w:t xml:space="preserve"> 15/2016)</w:t>
            </w:r>
          </w:p>
          <w:p w14:paraId="0135A627" w14:textId="31D99A08" w:rsidR="0040616A" w:rsidRPr="008C042C" w:rsidRDefault="4E4290F0" w:rsidP="4E4290F0">
            <w:pPr>
              <w:pStyle w:val="ListParagraph"/>
              <w:numPr>
                <w:ilvl w:val="0"/>
                <w:numId w:val="1"/>
              </w:numPr>
              <w:rPr>
                <w:rFonts w:ascii="Times New Roman" w:hAnsi="Times New Roman"/>
                <w:sz w:val="22"/>
                <w:szCs w:val="22"/>
                <w:lang w:val="sr-Cyrl-RS"/>
              </w:rPr>
            </w:pPr>
            <w:r w:rsidRPr="008C042C">
              <w:rPr>
                <w:rFonts w:ascii="Times New Roman" w:eastAsia="Times New Roman" w:hAnsi="Times New Roman"/>
                <w:sz w:val="22"/>
                <w:szCs w:val="22"/>
                <w:lang w:val="sr-Cyrl-RS"/>
              </w:rPr>
              <w:t>Уредба о висини и начину плаћања накнада за извршавање послова у вези са испитивањем и жигосањем предмета од драгоцених метала ("Сл</w:t>
            </w:r>
            <w:r w:rsidR="002E0B81" w:rsidRPr="008C042C">
              <w:rPr>
                <w:rFonts w:ascii="Times New Roman" w:eastAsia="Times New Roman" w:hAnsi="Times New Roman"/>
                <w:sz w:val="22"/>
                <w:szCs w:val="22"/>
                <w:lang w:val="sr-Cyrl-RS"/>
              </w:rPr>
              <w:t>ужбени</w:t>
            </w:r>
            <w:r w:rsidR="008D6DDE">
              <w:rPr>
                <w:rFonts w:ascii="Times New Roman" w:eastAsia="Times New Roman" w:hAnsi="Times New Roman"/>
                <w:sz w:val="22"/>
                <w:szCs w:val="22"/>
                <w:lang w:val="sr-Cyrl-RS"/>
              </w:rPr>
              <w:t xml:space="preserve"> </w:t>
            </w:r>
            <w:r w:rsidR="002E0B81" w:rsidRPr="008C042C">
              <w:rPr>
                <w:rFonts w:ascii="Times New Roman" w:eastAsia="Times New Roman" w:hAnsi="Times New Roman"/>
                <w:sz w:val="22"/>
                <w:szCs w:val="22"/>
                <w:lang w:val="sr-Cyrl-RS"/>
              </w:rPr>
              <w:t>г</w:t>
            </w:r>
            <w:r w:rsidRPr="008C042C">
              <w:rPr>
                <w:rFonts w:ascii="Times New Roman" w:eastAsia="Times New Roman" w:hAnsi="Times New Roman"/>
                <w:sz w:val="22"/>
                <w:szCs w:val="22"/>
                <w:lang w:val="sr-Cyrl-RS"/>
              </w:rPr>
              <w:t>ласник РС", бр. 50/2013</w:t>
            </w:r>
            <w:r w:rsidRPr="008C042C">
              <w:rPr>
                <w:rFonts w:ascii="Times New Roman" w:eastAsia="Times New Roman" w:hAnsi="Times New Roman"/>
                <w:sz w:val="22"/>
                <w:szCs w:val="22"/>
              </w:rPr>
              <w:t>)</w:t>
            </w:r>
          </w:p>
          <w:p w14:paraId="680E21DA" w14:textId="03F6F5C2" w:rsidR="0040616A" w:rsidRPr="008C042C" w:rsidRDefault="4E4290F0" w:rsidP="4E4290F0">
            <w:pPr>
              <w:pStyle w:val="ListParagraph"/>
              <w:numPr>
                <w:ilvl w:val="0"/>
                <w:numId w:val="1"/>
              </w:numPr>
              <w:rPr>
                <w:rFonts w:ascii="Times New Roman" w:hAnsi="Times New Roman"/>
                <w:sz w:val="22"/>
                <w:szCs w:val="22"/>
                <w:lang w:val="sr-Cyrl-RS"/>
              </w:rPr>
            </w:pPr>
            <w:r w:rsidRPr="008C042C">
              <w:rPr>
                <w:rFonts w:ascii="Times New Roman" w:eastAsia="Times New Roman" w:hAnsi="Times New Roman"/>
                <w:sz w:val="22"/>
                <w:szCs w:val="22"/>
                <w:lang w:val="sr-Cyrl-RS"/>
              </w:rPr>
              <w:t>Уредба о накнади трошкова и отпремнини државних службеника и намештеника ("Сл</w:t>
            </w:r>
            <w:r w:rsidR="002E0B81" w:rsidRPr="008C042C">
              <w:rPr>
                <w:rFonts w:ascii="Times New Roman" w:eastAsia="Times New Roman" w:hAnsi="Times New Roman"/>
                <w:sz w:val="22"/>
                <w:szCs w:val="22"/>
                <w:lang w:val="sr-Cyrl-RS"/>
              </w:rPr>
              <w:t>ужбени</w:t>
            </w:r>
            <w:r w:rsidR="008D6DDE">
              <w:rPr>
                <w:rFonts w:ascii="Times New Roman" w:eastAsia="Times New Roman" w:hAnsi="Times New Roman"/>
                <w:sz w:val="22"/>
                <w:szCs w:val="22"/>
                <w:lang w:val="sr-Cyrl-RS"/>
              </w:rPr>
              <w:t xml:space="preserve"> </w:t>
            </w:r>
            <w:r w:rsidR="002E0B81" w:rsidRPr="008C042C">
              <w:rPr>
                <w:rFonts w:ascii="Times New Roman" w:eastAsia="Times New Roman" w:hAnsi="Times New Roman"/>
                <w:sz w:val="22"/>
                <w:szCs w:val="22"/>
                <w:lang w:val="sr-Cyrl-RS"/>
              </w:rPr>
              <w:t>г</w:t>
            </w:r>
            <w:r w:rsidRPr="008C042C">
              <w:rPr>
                <w:rFonts w:ascii="Times New Roman" w:eastAsia="Times New Roman" w:hAnsi="Times New Roman"/>
                <w:sz w:val="22"/>
                <w:szCs w:val="22"/>
                <w:lang w:val="sr-Cyrl-RS"/>
              </w:rPr>
              <w:t>ласник РС", бр. 98/2007 - пречишћен текст, 84/2014 и 84/2015</w:t>
            </w:r>
            <w:r w:rsidRPr="008C042C">
              <w:rPr>
                <w:rFonts w:ascii="Times New Roman" w:eastAsia="Times New Roman" w:hAnsi="Times New Roman"/>
                <w:sz w:val="22"/>
                <w:szCs w:val="22"/>
              </w:rPr>
              <w:t>)</w:t>
            </w:r>
          </w:p>
          <w:p w14:paraId="1B3CF4CF" w14:textId="6754F0F5" w:rsidR="00355162" w:rsidRPr="008C042C" w:rsidRDefault="4E4290F0" w:rsidP="4E4290F0">
            <w:pPr>
              <w:pStyle w:val="ListParagraph"/>
              <w:numPr>
                <w:ilvl w:val="0"/>
                <w:numId w:val="1"/>
              </w:numPr>
              <w:rPr>
                <w:rFonts w:ascii="Times New Roman" w:hAnsi="Times New Roman"/>
                <w:sz w:val="22"/>
                <w:szCs w:val="22"/>
                <w:lang w:val="sr-Cyrl-RS"/>
              </w:rPr>
            </w:pPr>
            <w:r w:rsidRPr="008C042C">
              <w:rPr>
                <w:rFonts w:ascii="Times New Roman" w:eastAsia="Times New Roman" w:hAnsi="Times New Roman"/>
                <w:sz w:val="22"/>
                <w:szCs w:val="22"/>
                <w:lang w:val="sr-Cyrl-RS"/>
              </w:rPr>
              <w:t>Правилник о начину испитивања и жигосања предмета од драгоцених метала, драгоцених метала и њихових легура ("С</w:t>
            </w:r>
            <w:r w:rsidR="002E0B81" w:rsidRPr="008C042C">
              <w:rPr>
                <w:rFonts w:ascii="Times New Roman" w:eastAsia="Times New Roman" w:hAnsi="Times New Roman"/>
                <w:sz w:val="22"/>
                <w:szCs w:val="22"/>
                <w:lang w:val="sr-Cyrl-RS"/>
              </w:rPr>
              <w:t>ужбени</w:t>
            </w:r>
            <w:r w:rsidR="008D6DDE">
              <w:rPr>
                <w:rFonts w:ascii="Times New Roman" w:eastAsia="Times New Roman" w:hAnsi="Times New Roman"/>
                <w:sz w:val="22"/>
                <w:szCs w:val="22"/>
                <w:lang w:val="sr-Cyrl-RS"/>
              </w:rPr>
              <w:t xml:space="preserve"> </w:t>
            </w:r>
            <w:r w:rsidR="002E0B81" w:rsidRPr="008C042C">
              <w:rPr>
                <w:rFonts w:ascii="Times New Roman" w:eastAsia="Times New Roman" w:hAnsi="Times New Roman"/>
                <w:sz w:val="22"/>
                <w:szCs w:val="22"/>
                <w:lang w:val="sr-Cyrl-RS"/>
              </w:rPr>
              <w:t>г</w:t>
            </w:r>
            <w:r w:rsidRPr="008C042C">
              <w:rPr>
                <w:rFonts w:ascii="Times New Roman" w:eastAsia="Times New Roman" w:hAnsi="Times New Roman"/>
                <w:sz w:val="22"/>
                <w:szCs w:val="22"/>
                <w:lang w:val="sr-Cyrl-RS"/>
              </w:rPr>
              <w:t xml:space="preserve">ласник РС", бр. </w:t>
            </w:r>
            <w:r w:rsidRPr="008C042C">
              <w:rPr>
                <w:rFonts w:ascii="Times New Roman" w:eastAsia="Times New Roman" w:hAnsi="Times New Roman"/>
                <w:sz w:val="22"/>
                <w:szCs w:val="22"/>
              </w:rPr>
              <w:t xml:space="preserve">106/2013 </w:t>
            </w:r>
            <w:r w:rsidRPr="008C042C">
              <w:rPr>
                <w:rFonts w:ascii="Times New Roman" w:eastAsia="Times New Roman" w:hAnsi="Times New Roman"/>
                <w:sz w:val="22"/>
                <w:szCs w:val="22"/>
                <w:lang w:val="sr-Cyrl-RS"/>
              </w:rPr>
              <w:t>и</w:t>
            </w:r>
            <w:r w:rsidRPr="008C042C">
              <w:rPr>
                <w:rFonts w:ascii="Times New Roman" w:eastAsia="Times New Roman" w:hAnsi="Times New Roman"/>
                <w:sz w:val="22"/>
                <w:szCs w:val="22"/>
              </w:rPr>
              <w:t xml:space="preserve"> 13/2018)</w:t>
            </w:r>
          </w:p>
          <w:p w14:paraId="2CCB5DCC" w14:textId="41742D5A" w:rsidR="00645199" w:rsidRPr="008C042C" w:rsidRDefault="4E4290F0" w:rsidP="002E0B81">
            <w:pPr>
              <w:pStyle w:val="ListParagraph"/>
              <w:numPr>
                <w:ilvl w:val="0"/>
                <w:numId w:val="1"/>
              </w:numPr>
              <w:rPr>
                <w:rFonts w:ascii="Times New Roman" w:hAnsi="Times New Roman"/>
                <w:sz w:val="22"/>
                <w:szCs w:val="22"/>
                <w:lang w:val="sr-Cyrl-RS"/>
              </w:rPr>
            </w:pPr>
            <w:r w:rsidRPr="008C042C">
              <w:rPr>
                <w:rFonts w:ascii="Times New Roman" w:eastAsia="Times New Roman" w:hAnsi="Times New Roman"/>
                <w:sz w:val="22"/>
                <w:szCs w:val="22"/>
                <w:lang w:val="sr-Cyrl-RS"/>
              </w:rPr>
              <w:t>Правилник о начину утврђивања усаглашености предмета од драгоцених метала на основу прописане документације ("Сл</w:t>
            </w:r>
            <w:r w:rsidR="002E0B81" w:rsidRPr="008C042C">
              <w:rPr>
                <w:rFonts w:ascii="Times New Roman" w:eastAsia="Times New Roman" w:hAnsi="Times New Roman"/>
                <w:sz w:val="22"/>
                <w:szCs w:val="22"/>
                <w:lang w:val="sr-Cyrl-RS"/>
              </w:rPr>
              <w:t>ужбени</w:t>
            </w:r>
            <w:r w:rsidR="008D6DDE">
              <w:rPr>
                <w:rFonts w:ascii="Times New Roman" w:eastAsia="Times New Roman" w:hAnsi="Times New Roman"/>
                <w:sz w:val="22"/>
                <w:szCs w:val="22"/>
                <w:lang w:val="sr-Cyrl-RS"/>
              </w:rPr>
              <w:t xml:space="preserve"> </w:t>
            </w:r>
            <w:r w:rsidR="002E0B81" w:rsidRPr="008C042C">
              <w:rPr>
                <w:rFonts w:ascii="Times New Roman" w:eastAsia="Times New Roman" w:hAnsi="Times New Roman"/>
                <w:sz w:val="22"/>
                <w:szCs w:val="22"/>
                <w:lang w:val="sr-Cyrl-RS"/>
              </w:rPr>
              <w:t>г</w:t>
            </w:r>
            <w:r w:rsidRPr="008C042C">
              <w:rPr>
                <w:rFonts w:ascii="Times New Roman" w:eastAsia="Times New Roman" w:hAnsi="Times New Roman"/>
                <w:sz w:val="22"/>
                <w:szCs w:val="22"/>
                <w:lang w:val="sr-Cyrl-RS"/>
              </w:rPr>
              <w:t xml:space="preserve">ласник РС", бр. </w:t>
            </w:r>
            <w:r w:rsidRPr="008C042C">
              <w:rPr>
                <w:rFonts w:ascii="Times New Roman" w:eastAsia="Times New Roman" w:hAnsi="Times New Roman"/>
                <w:sz w:val="22"/>
                <w:szCs w:val="22"/>
              </w:rPr>
              <w:t>54/2012)</w:t>
            </w:r>
          </w:p>
        </w:tc>
      </w:tr>
      <w:tr w:rsidR="00F86D2D" w:rsidRPr="008C042C" w14:paraId="724CF23D" w14:textId="77777777" w:rsidTr="6B844AE6">
        <w:tc>
          <w:tcPr>
            <w:tcW w:w="3121" w:type="dxa"/>
            <w:shd w:val="clear" w:color="auto" w:fill="DBE5F1" w:themeFill="accent1" w:themeFillTint="33"/>
            <w:vAlign w:val="center"/>
          </w:tcPr>
          <w:p w14:paraId="1A908998" w14:textId="11A1AF2D" w:rsidR="00F86D2D" w:rsidRPr="008C042C" w:rsidRDefault="00F86D2D" w:rsidP="00F86D2D">
            <w:pPr>
              <w:pStyle w:val="NormalWeb"/>
              <w:spacing w:before="0" w:beforeAutospacing="0" w:after="0" w:afterAutospacing="0"/>
              <w:rPr>
                <w:rFonts w:eastAsiaTheme="minorHAnsi"/>
                <w:b/>
                <w:bCs/>
                <w:color w:val="000000" w:themeColor="text1"/>
                <w:sz w:val="22"/>
                <w:szCs w:val="22"/>
                <w:lang w:val="sr-Cyrl-RS" w:eastAsia="en-GB"/>
              </w:rPr>
            </w:pPr>
            <w:r w:rsidRPr="008C042C">
              <w:rPr>
                <w:rFonts w:eastAsiaTheme="minorHAnsi"/>
                <w:b/>
                <w:bCs/>
                <w:color w:val="000000" w:themeColor="text1"/>
                <w:sz w:val="22"/>
                <w:szCs w:val="22"/>
                <w:lang w:val="sr-Cyrl-RS" w:eastAsia="en-GB"/>
              </w:rPr>
              <w:t>Прописи које треба променити</w:t>
            </w:r>
            <w:r w:rsidRPr="008C042C">
              <w:rPr>
                <w:rFonts w:eastAsiaTheme="minorHAnsi"/>
                <w:b/>
                <w:bCs/>
                <w:color w:val="000000" w:themeColor="text1"/>
                <w:sz w:val="22"/>
                <w:szCs w:val="22"/>
                <w:lang w:val="sr-Latn-RS" w:eastAsia="en-GB"/>
              </w:rPr>
              <w:t xml:space="preserve"> </w:t>
            </w:r>
            <w:r w:rsidRPr="008C042C">
              <w:rPr>
                <w:rFonts w:eastAsiaTheme="minorHAnsi"/>
                <w:b/>
                <w:bCs/>
                <w:color w:val="000000" w:themeColor="text1"/>
                <w:sz w:val="22"/>
                <w:szCs w:val="22"/>
                <w:lang w:val="sr-Cyrl-RS" w:eastAsia="en-GB"/>
              </w:rPr>
              <w:t>/донети/укинути</w:t>
            </w:r>
            <w:r w:rsidRPr="008C042C">
              <w:rPr>
                <w:rFonts w:eastAsiaTheme="minorHAnsi"/>
                <w:b/>
                <w:bCs/>
                <w:color w:val="000000" w:themeColor="text1"/>
                <w:sz w:val="22"/>
                <w:szCs w:val="22"/>
                <w:lang w:val="sr-Latn-RS" w:eastAsia="en-GB"/>
              </w:rPr>
              <w:t xml:space="preserve"> </w:t>
            </w:r>
            <w:r w:rsidRPr="008C042C">
              <w:rPr>
                <w:rFonts w:eastAsiaTheme="minorHAnsi"/>
                <w:b/>
                <w:bCs/>
                <w:color w:val="000000" w:themeColor="text1"/>
                <w:sz w:val="22"/>
                <w:szCs w:val="22"/>
                <w:lang w:val="sr-Cyrl-RS" w:eastAsia="en-GB"/>
              </w:rPr>
              <w:t>да би се спровеле препоруке</w:t>
            </w:r>
          </w:p>
        </w:tc>
        <w:tc>
          <w:tcPr>
            <w:tcW w:w="6779" w:type="dxa"/>
            <w:vAlign w:val="center"/>
          </w:tcPr>
          <w:p w14:paraId="55CB4618" w14:textId="5CEAE4BE" w:rsidR="00F86D2D" w:rsidRPr="008C042C" w:rsidRDefault="00F86D2D" w:rsidP="00F86D2D">
            <w:pPr>
              <w:pStyle w:val="NormalWeb"/>
              <w:spacing w:before="120" w:beforeAutospacing="0" w:after="120" w:afterAutospacing="0"/>
              <w:rPr>
                <w:sz w:val="22"/>
                <w:szCs w:val="22"/>
                <w:lang w:val="sr-Cyrl-RS"/>
              </w:rPr>
            </w:pPr>
            <w:r w:rsidRPr="008C042C">
              <w:rPr>
                <w:sz w:val="22"/>
                <w:szCs w:val="22"/>
                <w:lang w:val="sr-Cyrl-RS"/>
              </w:rPr>
              <w:t>Није потребна измена прописа</w:t>
            </w:r>
          </w:p>
        </w:tc>
      </w:tr>
      <w:tr w:rsidR="00F86D2D" w:rsidRPr="008C042C" w14:paraId="58812BCA" w14:textId="77777777" w:rsidTr="6B844AE6">
        <w:tc>
          <w:tcPr>
            <w:tcW w:w="3121" w:type="dxa"/>
            <w:shd w:val="clear" w:color="auto" w:fill="DBE5F1" w:themeFill="accent1" w:themeFillTint="33"/>
            <w:vAlign w:val="center"/>
          </w:tcPr>
          <w:p w14:paraId="0CF6011B" w14:textId="0E1BBDD3" w:rsidR="00F86D2D" w:rsidRPr="008C042C" w:rsidRDefault="00F86D2D" w:rsidP="00F86D2D">
            <w:pPr>
              <w:pStyle w:val="NormalWeb"/>
              <w:spacing w:before="0" w:beforeAutospacing="0" w:after="0" w:afterAutospacing="0"/>
              <w:rPr>
                <w:b/>
                <w:sz w:val="22"/>
                <w:szCs w:val="22"/>
                <w:lang w:val="sr-Cyrl-RS"/>
              </w:rPr>
            </w:pPr>
            <w:r w:rsidRPr="008C042C">
              <w:rPr>
                <w:b/>
                <w:sz w:val="22"/>
                <w:szCs w:val="22"/>
                <w:lang w:val="sr-Cyrl-RS"/>
              </w:rPr>
              <w:t>Рок за спровођење препорука</w:t>
            </w:r>
          </w:p>
        </w:tc>
        <w:tc>
          <w:tcPr>
            <w:tcW w:w="6779" w:type="dxa"/>
            <w:vAlign w:val="center"/>
          </w:tcPr>
          <w:p w14:paraId="19A48B50" w14:textId="20FCB30F" w:rsidR="00F86D2D" w:rsidRPr="008C042C" w:rsidRDefault="48D010C7" w:rsidP="48D010C7">
            <w:pPr>
              <w:pStyle w:val="NormalWeb"/>
              <w:spacing w:before="120" w:beforeAutospacing="0" w:after="120" w:afterAutospacing="0"/>
              <w:rPr>
                <w:sz w:val="22"/>
                <w:szCs w:val="22"/>
                <w:lang w:val="sr-Cyrl-RS"/>
              </w:rPr>
            </w:pPr>
            <w:r w:rsidRPr="008C042C">
              <w:rPr>
                <w:sz w:val="22"/>
                <w:szCs w:val="22"/>
                <w:lang w:val="sr-Cyrl-RS"/>
              </w:rPr>
              <w:t xml:space="preserve">Четврти квартал 2019. </w:t>
            </w:r>
            <w:r w:rsidR="002E0B81" w:rsidRPr="008C042C">
              <w:rPr>
                <w:sz w:val="22"/>
                <w:szCs w:val="22"/>
                <w:lang w:val="sr-Cyrl-RS"/>
              </w:rPr>
              <w:t>г</w:t>
            </w:r>
            <w:r w:rsidRPr="008C042C">
              <w:rPr>
                <w:sz w:val="22"/>
                <w:szCs w:val="22"/>
                <w:lang w:val="sr-Cyrl-RS"/>
              </w:rPr>
              <w:t>одине</w:t>
            </w:r>
          </w:p>
        </w:tc>
      </w:tr>
      <w:tr w:rsidR="00F86D2D" w:rsidRPr="008C042C" w14:paraId="539113B1" w14:textId="77777777" w:rsidTr="6B844AE6">
        <w:trPr>
          <w:trHeight w:val="409"/>
        </w:trPr>
        <w:tc>
          <w:tcPr>
            <w:tcW w:w="9900" w:type="dxa"/>
            <w:gridSpan w:val="2"/>
            <w:shd w:val="clear" w:color="auto" w:fill="DBE5F1" w:themeFill="accent1" w:themeFillTint="33"/>
            <w:vAlign w:val="center"/>
          </w:tcPr>
          <w:p w14:paraId="6E79D945" w14:textId="77777777" w:rsidR="00F86D2D" w:rsidRPr="008C042C" w:rsidRDefault="00F86D2D" w:rsidP="00F86D2D">
            <w:pPr>
              <w:pStyle w:val="NormalWeb"/>
              <w:numPr>
                <w:ilvl w:val="0"/>
                <w:numId w:val="24"/>
              </w:numPr>
              <w:spacing w:before="120" w:beforeAutospacing="0" w:after="120" w:afterAutospacing="0"/>
              <w:jc w:val="center"/>
              <w:rPr>
                <w:b/>
                <w:sz w:val="22"/>
                <w:szCs w:val="22"/>
                <w:lang w:val="sr-Cyrl-RS"/>
              </w:rPr>
            </w:pPr>
            <w:r w:rsidRPr="008C042C">
              <w:rPr>
                <w:b/>
                <w:sz w:val="22"/>
                <w:szCs w:val="22"/>
                <w:lang w:val="sr-Cyrl-RS"/>
              </w:rPr>
              <w:t>КРАТАК ОПИС ПРОБЛЕМА</w:t>
            </w:r>
          </w:p>
        </w:tc>
      </w:tr>
      <w:tr w:rsidR="00F86D2D" w:rsidRPr="008C042C" w14:paraId="4635A4BE" w14:textId="77777777" w:rsidTr="6B844AE6">
        <w:tc>
          <w:tcPr>
            <w:tcW w:w="9900" w:type="dxa"/>
            <w:gridSpan w:val="2"/>
          </w:tcPr>
          <w:p w14:paraId="04B67AF1" w14:textId="234CAB35" w:rsidR="002E3288" w:rsidRPr="008C042C" w:rsidRDefault="002E3288" w:rsidP="002E3288">
            <w:pPr>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 xml:space="preserve">У релевантном пропису који уређује питање накнада за поступање органа, није прописана прецизна накнада за спровођење квантитативне хемијске анализе драгоцених метала.  У поступку је прописано за најчешће масе предмета од драгоцених метала који се појављују у пракси (за већину је прописана Прилогом 1 Уредбе), за поступање органа у овом поступку. За преостале масе предмета од драгоцених метала која нису наведена у Прилогу 1 да се накнада утврђује према потребном броју радних сати, с тим да је одређена висина накнаде по радном сату, али не и број радних сати. Из тог разлога се не може унапред знати колика ће накнада бити у конкретном поступку. Странкама би било од изузетне важности кад би биле информисане о просечном износу накнаде у овом поступку, у обрасцу захтева или на други јавно доступан начин. </w:t>
            </w:r>
          </w:p>
          <w:p w14:paraId="5857425D" w14:textId="5653B5DF" w:rsidR="00F86D2D" w:rsidRPr="008C042C" w:rsidRDefault="00F86D2D" w:rsidP="001C65D0">
            <w:pPr>
              <w:rPr>
                <w:rFonts w:ascii="Times New Roman" w:hAnsi="Times New Roman"/>
                <w:color w:val="FF0000"/>
                <w:sz w:val="22"/>
                <w:szCs w:val="22"/>
                <w:lang w:val="sr-Cyrl-RS"/>
              </w:rPr>
            </w:pPr>
          </w:p>
          <w:p w14:paraId="27B2EFA0" w14:textId="0B01418D" w:rsidR="00F86D2D" w:rsidRPr="008C042C" w:rsidRDefault="00F86D2D" w:rsidP="001C65D0">
            <w:pPr>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5FBB681A" w14:textId="77777777" w:rsidR="00F86D2D" w:rsidRPr="008C042C" w:rsidRDefault="00F86D2D" w:rsidP="001C65D0">
            <w:pPr>
              <w:rPr>
                <w:rFonts w:ascii="Times New Roman" w:eastAsia="Times New Roman" w:hAnsi="Times New Roman"/>
                <w:sz w:val="22"/>
                <w:szCs w:val="22"/>
                <w:lang w:val="sr-Cyrl-RS"/>
              </w:rPr>
            </w:pPr>
          </w:p>
          <w:p w14:paraId="4BCB02C2" w14:textId="1B38FF29" w:rsidR="00F86D2D" w:rsidRPr="008C042C" w:rsidRDefault="00F86D2D" w:rsidP="001C65D0">
            <w:pPr>
              <w:rPr>
                <w:rFonts w:ascii="Times New Roman" w:hAnsi="Times New Roman"/>
                <w:sz w:val="22"/>
                <w:szCs w:val="22"/>
                <w:lang w:val="sr-Cyrl-RS"/>
              </w:rPr>
            </w:pPr>
            <w:r w:rsidRPr="008C042C">
              <w:rPr>
                <w:rFonts w:ascii="Times New Roman" w:hAnsi="Times New Roman"/>
                <w:sz w:val="22"/>
                <w:szCs w:val="22"/>
                <w:lang w:val="sr-Cyrl-RS"/>
              </w:rPr>
              <w:t xml:space="preserve">На крају обрасца за подношење захтева који је припремљен од стране организационе јединице предвиђено је место за печат, што је супротно законским одредбама којима је укинута обавеза привредних друштава да употребљавају печат. </w:t>
            </w:r>
          </w:p>
        </w:tc>
      </w:tr>
      <w:tr w:rsidR="00F86D2D" w:rsidRPr="008C042C" w14:paraId="31663FC5" w14:textId="77777777" w:rsidTr="6B844AE6">
        <w:trPr>
          <w:trHeight w:val="454"/>
        </w:trPr>
        <w:tc>
          <w:tcPr>
            <w:tcW w:w="9900" w:type="dxa"/>
            <w:gridSpan w:val="2"/>
            <w:tcBorders>
              <w:bottom w:val="single" w:sz="4" w:space="0" w:color="000000" w:themeColor="text1"/>
            </w:tcBorders>
            <w:shd w:val="clear" w:color="auto" w:fill="DBE5F1" w:themeFill="accent1" w:themeFillTint="33"/>
            <w:vAlign w:val="center"/>
          </w:tcPr>
          <w:p w14:paraId="12FDE5D1" w14:textId="77777777" w:rsidR="00F86D2D" w:rsidRPr="008C042C" w:rsidRDefault="00F86D2D" w:rsidP="001C65D0">
            <w:pPr>
              <w:pStyle w:val="NormalWeb"/>
              <w:numPr>
                <w:ilvl w:val="0"/>
                <w:numId w:val="24"/>
              </w:numPr>
              <w:spacing w:before="0" w:beforeAutospacing="0" w:after="0" w:afterAutospacing="0"/>
              <w:jc w:val="center"/>
              <w:rPr>
                <w:b/>
                <w:sz w:val="22"/>
                <w:szCs w:val="22"/>
                <w:lang w:val="sr-Cyrl-RS"/>
              </w:rPr>
            </w:pPr>
            <w:r w:rsidRPr="008C042C">
              <w:rPr>
                <w:b/>
                <w:sz w:val="22"/>
                <w:szCs w:val="22"/>
                <w:lang w:val="sr-Cyrl-RS"/>
              </w:rPr>
              <w:t>САЖЕТАК ПРЕПОРУКА</w:t>
            </w:r>
          </w:p>
        </w:tc>
      </w:tr>
      <w:tr w:rsidR="00F86D2D" w:rsidRPr="008C042C" w14:paraId="66715B57" w14:textId="77777777" w:rsidTr="6B844AE6">
        <w:trPr>
          <w:trHeight w:val="454"/>
        </w:trPr>
        <w:tc>
          <w:tcPr>
            <w:tcW w:w="9900" w:type="dxa"/>
            <w:gridSpan w:val="2"/>
            <w:tcBorders>
              <w:bottom w:val="nil"/>
            </w:tcBorders>
            <w:shd w:val="clear" w:color="auto" w:fill="FFFFFF" w:themeFill="background1"/>
            <w:vAlign w:val="center"/>
          </w:tcPr>
          <w:p w14:paraId="43426D8C" w14:textId="77777777" w:rsidR="00F86D2D" w:rsidRPr="008C042C" w:rsidRDefault="00F86D2D" w:rsidP="001C65D0">
            <w:pPr>
              <w:pStyle w:val="NormalWeb"/>
              <w:spacing w:before="0" w:beforeAutospacing="0" w:after="0" w:afterAutospacing="0"/>
              <w:rPr>
                <w:sz w:val="22"/>
                <w:szCs w:val="22"/>
                <w:lang w:val="sr-Cyrl-RS"/>
              </w:rPr>
            </w:pPr>
          </w:p>
        </w:tc>
      </w:tr>
      <w:tr w:rsidR="00F86D2D" w:rsidRPr="008C042C" w14:paraId="3010E605" w14:textId="77777777" w:rsidTr="6B844AE6">
        <w:trPr>
          <w:trHeight w:val="454"/>
        </w:trPr>
        <w:tc>
          <w:tcPr>
            <w:tcW w:w="990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948"/>
              <w:gridCol w:w="1952"/>
              <w:gridCol w:w="1637"/>
            </w:tblGrid>
            <w:tr w:rsidR="00F86D2D" w:rsidRPr="008C042C" w14:paraId="30C2F8E8" w14:textId="77777777" w:rsidTr="00FB64CE">
              <w:trPr>
                <w:trHeight w:val="749"/>
              </w:trPr>
              <w:tc>
                <w:tcPr>
                  <w:tcW w:w="3632" w:type="dxa"/>
                  <w:vMerge w:val="restart"/>
                  <w:shd w:val="clear" w:color="auto" w:fill="F2F2F2" w:themeFill="background1" w:themeFillShade="F2"/>
                  <w:vAlign w:val="center"/>
                </w:tcPr>
                <w:p w14:paraId="1CF0BC7A" w14:textId="20607AAF" w:rsidR="00F86D2D" w:rsidRPr="008C042C" w:rsidRDefault="00F86D2D" w:rsidP="001C65D0">
                  <w:pPr>
                    <w:jc w:val="center"/>
                    <w:rPr>
                      <w:rFonts w:ascii="Times New Roman" w:eastAsia="Times New Roman" w:hAnsi="Times New Roman"/>
                      <w:b/>
                      <w:sz w:val="22"/>
                      <w:szCs w:val="22"/>
                      <w:lang w:val="sr-Cyrl-RS"/>
                    </w:rPr>
                  </w:pPr>
                  <w:r w:rsidRPr="008C042C">
                    <w:rPr>
                      <w:rFonts w:ascii="Times New Roman" w:eastAsia="Times New Roman" w:hAnsi="Times New Roman"/>
                      <w:b/>
                      <w:sz w:val="22"/>
                      <w:szCs w:val="22"/>
                      <w:lang w:val="sr-Cyrl-RS"/>
                    </w:rPr>
                    <w:lastRenderedPageBreak/>
                    <w:t>ПРЕПОРУКА</w:t>
                  </w:r>
                </w:p>
              </w:tc>
              <w:tc>
                <w:tcPr>
                  <w:tcW w:w="3900" w:type="dxa"/>
                  <w:gridSpan w:val="2"/>
                  <w:shd w:val="clear" w:color="auto" w:fill="F2F2F2" w:themeFill="background1" w:themeFillShade="F2"/>
                  <w:vAlign w:val="center"/>
                </w:tcPr>
                <w:p w14:paraId="5A7B4B51" w14:textId="77777777" w:rsidR="00F86D2D" w:rsidRPr="008C042C" w:rsidRDefault="00F86D2D" w:rsidP="001C65D0">
                  <w:pPr>
                    <w:jc w:val="center"/>
                    <w:rPr>
                      <w:rFonts w:ascii="Times New Roman" w:eastAsia="Times New Roman" w:hAnsi="Times New Roman"/>
                      <w:b/>
                      <w:sz w:val="22"/>
                      <w:szCs w:val="22"/>
                      <w:lang w:val="sr-Cyrl-RS"/>
                    </w:rPr>
                  </w:pPr>
                  <w:r w:rsidRPr="008C042C">
                    <w:rPr>
                      <w:rFonts w:ascii="Times New Roman" w:eastAsia="Times New Roman" w:hAnsi="Times New Roman"/>
                      <w:b/>
                      <w:sz w:val="22"/>
                      <w:szCs w:val="22"/>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F86D2D" w:rsidRPr="008C042C" w:rsidRDefault="00F86D2D" w:rsidP="001C65D0">
                  <w:pPr>
                    <w:jc w:val="center"/>
                    <w:rPr>
                      <w:rFonts w:ascii="Times New Roman" w:eastAsia="Times New Roman" w:hAnsi="Times New Roman"/>
                      <w:b/>
                      <w:sz w:val="22"/>
                      <w:szCs w:val="22"/>
                      <w:lang w:val="sr-Cyrl-RS"/>
                    </w:rPr>
                  </w:pPr>
                  <w:r w:rsidRPr="008C042C">
                    <w:rPr>
                      <w:rFonts w:ascii="Times New Roman" w:eastAsia="Times New Roman" w:hAnsi="Times New Roman"/>
                      <w:b/>
                      <w:sz w:val="22"/>
                      <w:szCs w:val="22"/>
                      <w:lang w:val="sr-Cyrl-RS"/>
                    </w:rPr>
                    <w:t>УКОЛИКО ЈЕ ОДГОВОР ДА, КОЈИХ</w:t>
                  </w:r>
                </w:p>
              </w:tc>
            </w:tr>
            <w:tr w:rsidR="00F86D2D" w:rsidRPr="008C042C" w14:paraId="2B15C487" w14:textId="77777777" w:rsidTr="00FB64CE">
              <w:trPr>
                <w:trHeight w:val="260"/>
              </w:trPr>
              <w:tc>
                <w:tcPr>
                  <w:tcW w:w="3632" w:type="dxa"/>
                  <w:vMerge/>
                </w:tcPr>
                <w:p w14:paraId="42D3BC1D" w14:textId="77777777" w:rsidR="00F86D2D" w:rsidRPr="008C042C" w:rsidRDefault="00F86D2D" w:rsidP="001C65D0">
                  <w:pPr>
                    <w:jc w:val="left"/>
                    <w:rPr>
                      <w:rFonts w:ascii="Times New Roman" w:eastAsia="Times New Roman" w:hAnsi="Times New Roman"/>
                      <w:sz w:val="22"/>
                      <w:szCs w:val="22"/>
                      <w:lang w:val="sr-Cyrl-RS"/>
                    </w:rPr>
                  </w:pPr>
                </w:p>
              </w:tc>
              <w:tc>
                <w:tcPr>
                  <w:tcW w:w="1948" w:type="dxa"/>
                  <w:shd w:val="clear" w:color="auto" w:fill="F2F2F2" w:themeFill="background1" w:themeFillShade="F2"/>
                </w:tcPr>
                <w:p w14:paraId="4FE48A96" w14:textId="77777777" w:rsidR="00F86D2D" w:rsidRPr="008C042C" w:rsidRDefault="00F86D2D" w:rsidP="001C65D0">
                  <w:pPr>
                    <w:jc w:val="center"/>
                    <w:rPr>
                      <w:rFonts w:ascii="Times New Roman" w:eastAsia="Times New Roman" w:hAnsi="Times New Roman"/>
                      <w:b/>
                      <w:sz w:val="22"/>
                      <w:szCs w:val="22"/>
                      <w:lang w:val="sr-Cyrl-RS"/>
                    </w:rPr>
                  </w:pPr>
                  <w:r w:rsidRPr="008C042C">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F86D2D" w:rsidRPr="008C042C" w:rsidRDefault="00F86D2D" w:rsidP="001C65D0">
                  <w:pPr>
                    <w:jc w:val="center"/>
                    <w:rPr>
                      <w:rFonts w:ascii="Times New Roman" w:eastAsia="Times New Roman" w:hAnsi="Times New Roman"/>
                      <w:b/>
                      <w:sz w:val="22"/>
                      <w:szCs w:val="22"/>
                      <w:lang w:val="sr-Cyrl-RS"/>
                    </w:rPr>
                  </w:pPr>
                  <w:r w:rsidRPr="008C042C">
                    <w:rPr>
                      <w:rFonts w:ascii="Times New Roman" w:eastAsia="Times New Roman" w:hAnsi="Times New Roman"/>
                      <w:b/>
                      <w:sz w:val="22"/>
                      <w:szCs w:val="22"/>
                      <w:lang w:val="sr-Cyrl-RS"/>
                    </w:rPr>
                    <w:t>Не</w:t>
                  </w:r>
                </w:p>
              </w:tc>
              <w:tc>
                <w:tcPr>
                  <w:tcW w:w="1637" w:type="dxa"/>
                  <w:vMerge/>
                </w:tcPr>
                <w:p w14:paraId="21FE126E" w14:textId="77777777" w:rsidR="00F86D2D" w:rsidRPr="008C042C" w:rsidRDefault="00F86D2D" w:rsidP="001C65D0">
                  <w:pPr>
                    <w:jc w:val="left"/>
                    <w:rPr>
                      <w:rFonts w:ascii="Times New Roman" w:eastAsia="Times New Roman" w:hAnsi="Times New Roman"/>
                      <w:sz w:val="22"/>
                      <w:szCs w:val="22"/>
                      <w:lang w:val="sr-Cyrl-RS"/>
                    </w:rPr>
                  </w:pPr>
                </w:p>
              </w:tc>
            </w:tr>
            <w:tr w:rsidR="00FB64CE" w:rsidRPr="008C042C" w14:paraId="24D5F3ED" w14:textId="77777777" w:rsidTr="00151410">
              <w:trPr>
                <w:trHeight w:val="489"/>
              </w:trPr>
              <w:tc>
                <w:tcPr>
                  <w:tcW w:w="3632" w:type="dxa"/>
                  <w:vAlign w:val="center"/>
                </w:tcPr>
                <w:p w14:paraId="559EC2DD" w14:textId="5FA67FB8" w:rsidR="00FB64CE" w:rsidRPr="008C042C" w:rsidRDefault="00FB64CE" w:rsidP="001C65D0">
                  <w:pPr>
                    <w:jc w:val="left"/>
                    <w:rPr>
                      <w:rFonts w:ascii="Times New Roman" w:eastAsia="Times New Roman" w:hAnsi="Times New Roman"/>
                      <w:sz w:val="22"/>
                      <w:szCs w:val="22"/>
                      <w:lang w:val="sr-Cyrl-RS"/>
                    </w:rPr>
                  </w:pPr>
                  <w:r w:rsidRPr="008C042C">
                    <w:rPr>
                      <w:rFonts w:ascii="Times New Roman" w:eastAsia="Times New Roman" w:hAnsi="Times New Roman"/>
                      <w:b/>
                      <w:sz w:val="22"/>
                      <w:szCs w:val="22"/>
                      <w:lang w:val="sr-Cyrl-RS"/>
                    </w:rPr>
                    <w:t>Транспарентност административног поступка</w:t>
                  </w:r>
                </w:p>
              </w:tc>
              <w:tc>
                <w:tcPr>
                  <w:tcW w:w="5537" w:type="dxa"/>
                  <w:gridSpan w:val="3"/>
                </w:tcPr>
                <w:p w14:paraId="439E23F3" w14:textId="77777777" w:rsidR="00FB64CE" w:rsidRPr="008C042C" w:rsidRDefault="00FB64CE" w:rsidP="001C65D0">
                  <w:pPr>
                    <w:jc w:val="center"/>
                    <w:rPr>
                      <w:rFonts w:ascii="Times New Roman" w:eastAsia="Times New Roman" w:hAnsi="Times New Roman"/>
                      <w:sz w:val="22"/>
                      <w:szCs w:val="22"/>
                      <w:lang w:val="sr-Cyrl-RS"/>
                    </w:rPr>
                  </w:pPr>
                </w:p>
              </w:tc>
            </w:tr>
            <w:tr w:rsidR="00F86D2D" w:rsidRPr="008C042C" w14:paraId="218C899B" w14:textId="77777777" w:rsidTr="00FB64CE">
              <w:trPr>
                <w:trHeight w:val="489"/>
              </w:trPr>
              <w:tc>
                <w:tcPr>
                  <w:tcW w:w="3632" w:type="dxa"/>
                  <w:vAlign w:val="center"/>
                </w:tcPr>
                <w:p w14:paraId="0B131DEB" w14:textId="51AC75BE" w:rsidR="00F86D2D" w:rsidRPr="008C042C" w:rsidRDefault="00873676" w:rsidP="00FB64CE">
                  <w:pPr>
                    <w:rPr>
                      <w:rFonts w:ascii="Times New Roman" w:eastAsia="Times New Roman" w:hAnsi="Times New Roman"/>
                      <w:i/>
                      <w:sz w:val="22"/>
                      <w:szCs w:val="22"/>
                      <w:lang w:val="sr-Cyrl-RS"/>
                    </w:rPr>
                  </w:pPr>
                  <w:r w:rsidRPr="008C042C">
                    <w:rPr>
                      <w:rFonts w:ascii="Times New Roman" w:eastAsia="Times New Roman" w:hAnsi="Times New Roman"/>
                      <w:i/>
                      <w:sz w:val="22"/>
                      <w:szCs w:val="22"/>
                      <w:lang w:val="sr-Cyrl-RS"/>
                    </w:rPr>
                    <w:t>И</w:t>
                  </w:r>
                  <w:r w:rsidR="00F86D2D" w:rsidRPr="008C042C">
                    <w:rPr>
                      <w:rFonts w:ascii="Times New Roman" w:eastAsia="Times New Roman" w:hAnsi="Times New Roman"/>
                      <w:i/>
                      <w:sz w:val="22"/>
                      <w:szCs w:val="22"/>
                      <w:lang w:val="sr-Cyrl-RS"/>
                    </w:rPr>
                    <w:t xml:space="preserve">нформисање странака о просечној накнади </w:t>
                  </w:r>
                  <w:r w:rsidR="00FB64CE" w:rsidRPr="008C042C">
                    <w:rPr>
                      <w:rFonts w:ascii="Times New Roman" w:eastAsia="Times New Roman" w:hAnsi="Times New Roman"/>
                      <w:i/>
                      <w:sz w:val="22"/>
                      <w:szCs w:val="22"/>
                      <w:lang w:val="sr-Cyrl-RS"/>
                    </w:rPr>
                    <w:t>на интернет страници органа</w:t>
                  </w:r>
                </w:p>
              </w:tc>
              <w:tc>
                <w:tcPr>
                  <w:tcW w:w="1948" w:type="dxa"/>
                </w:tcPr>
                <w:p w14:paraId="776F86A7" w14:textId="033EAC33" w:rsidR="00F86D2D" w:rsidRPr="008C042C" w:rsidRDefault="00F86D2D" w:rsidP="001C65D0">
                  <w:pPr>
                    <w:jc w:val="center"/>
                    <w:rPr>
                      <w:rFonts w:ascii="Times New Roman" w:eastAsia="Times New Roman" w:hAnsi="Times New Roman"/>
                      <w:sz w:val="22"/>
                      <w:szCs w:val="22"/>
                      <w:lang w:val="sr-Cyrl-RS"/>
                    </w:rPr>
                  </w:pPr>
                </w:p>
              </w:tc>
              <w:tc>
                <w:tcPr>
                  <w:tcW w:w="1952" w:type="dxa"/>
                </w:tcPr>
                <w:p w14:paraId="0C8D9D0C" w14:textId="1660D86D" w:rsidR="00F86D2D" w:rsidRPr="008C042C" w:rsidRDefault="00873676" w:rsidP="001C65D0">
                  <w:pPr>
                    <w:jc w:val="center"/>
                    <w:rPr>
                      <w:rFonts w:ascii="Times New Roman" w:eastAsia="Times New Roman" w:hAnsi="Times New Roman"/>
                      <w:b/>
                      <w:sz w:val="22"/>
                      <w:szCs w:val="22"/>
                      <w:lang w:val="sr-Cyrl-RS"/>
                    </w:rPr>
                  </w:pPr>
                  <w:r w:rsidRPr="008C042C">
                    <w:rPr>
                      <w:rFonts w:ascii="Times New Roman" w:eastAsia="Times New Roman" w:hAnsi="Times New Roman"/>
                      <w:b/>
                      <w:sz w:val="22"/>
                      <w:szCs w:val="22"/>
                      <w:lang w:val="sr-Cyrl-RS"/>
                    </w:rPr>
                    <w:t>Х</w:t>
                  </w:r>
                </w:p>
              </w:tc>
              <w:tc>
                <w:tcPr>
                  <w:tcW w:w="1637" w:type="dxa"/>
                </w:tcPr>
                <w:p w14:paraId="2FCE89E3" w14:textId="00593D37" w:rsidR="00F86D2D" w:rsidRPr="008C042C" w:rsidRDefault="00F86D2D" w:rsidP="001C65D0">
                  <w:pPr>
                    <w:jc w:val="center"/>
                    <w:rPr>
                      <w:rFonts w:ascii="Times New Roman" w:eastAsia="Times New Roman" w:hAnsi="Times New Roman"/>
                      <w:sz w:val="22"/>
                      <w:szCs w:val="22"/>
                      <w:lang w:val="sr-Cyrl-RS"/>
                    </w:rPr>
                  </w:pPr>
                </w:p>
              </w:tc>
            </w:tr>
            <w:tr w:rsidR="00FB64CE" w:rsidRPr="008C042C" w14:paraId="7574ED50" w14:textId="77777777" w:rsidTr="002F7B00">
              <w:trPr>
                <w:trHeight w:val="489"/>
              </w:trPr>
              <w:tc>
                <w:tcPr>
                  <w:tcW w:w="3632" w:type="dxa"/>
                  <w:vAlign w:val="center"/>
                </w:tcPr>
                <w:p w14:paraId="6AECC6C4" w14:textId="6BFF4751" w:rsidR="00FB64CE" w:rsidRPr="008C042C" w:rsidRDefault="00FB64CE" w:rsidP="001C65D0">
                  <w:pPr>
                    <w:jc w:val="left"/>
                    <w:rPr>
                      <w:rFonts w:ascii="Times New Roman" w:eastAsia="Times New Roman" w:hAnsi="Times New Roman"/>
                      <w:sz w:val="22"/>
                      <w:szCs w:val="22"/>
                      <w:lang w:val="sr-Cyrl-RS"/>
                    </w:rPr>
                  </w:pPr>
                  <w:r w:rsidRPr="008C042C">
                    <w:rPr>
                      <w:rFonts w:ascii="Times New Roman" w:eastAsia="Times New Roman" w:hAnsi="Times New Roman"/>
                      <w:b/>
                      <w:sz w:val="22"/>
                      <w:szCs w:val="22"/>
                      <w:lang w:val="sr-Cyrl-RS"/>
                    </w:rPr>
                    <w:t>Документација</w:t>
                  </w:r>
                </w:p>
              </w:tc>
              <w:tc>
                <w:tcPr>
                  <w:tcW w:w="5537" w:type="dxa"/>
                  <w:gridSpan w:val="3"/>
                </w:tcPr>
                <w:p w14:paraId="24233354" w14:textId="77777777" w:rsidR="00FB64CE" w:rsidRPr="008C042C" w:rsidRDefault="00FB64CE" w:rsidP="001C65D0">
                  <w:pPr>
                    <w:jc w:val="left"/>
                    <w:rPr>
                      <w:rFonts w:ascii="Times New Roman" w:eastAsia="Times New Roman" w:hAnsi="Times New Roman"/>
                      <w:sz w:val="22"/>
                      <w:szCs w:val="22"/>
                      <w:lang w:val="sr-Cyrl-RS"/>
                    </w:rPr>
                  </w:pPr>
                </w:p>
              </w:tc>
            </w:tr>
            <w:tr w:rsidR="00F86D2D" w:rsidRPr="008C042C" w14:paraId="05C5D6FB" w14:textId="77777777" w:rsidTr="00FB64CE">
              <w:trPr>
                <w:trHeight w:val="489"/>
              </w:trPr>
              <w:tc>
                <w:tcPr>
                  <w:tcW w:w="3632" w:type="dxa"/>
                  <w:vAlign w:val="center"/>
                </w:tcPr>
                <w:p w14:paraId="5CC4D591" w14:textId="5B8B4FBE" w:rsidR="00F86D2D" w:rsidRPr="008C042C" w:rsidRDefault="00F86D2D" w:rsidP="001C65D0">
                  <w:pPr>
                    <w:jc w:val="left"/>
                    <w:rPr>
                      <w:rFonts w:ascii="Times New Roman" w:eastAsia="Times New Roman" w:hAnsi="Times New Roman"/>
                      <w:i/>
                      <w:sz w:val="22"/>
                      <w:szCs w:val="22"/>
                      <w:lang w:val="sr-Cyrl-RS"/>
                    </w:rPr>
                  </w:pPr>
                  <w:r w:rsidRPr="008C042C">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0641F572" w14:textId="77777777" w:rsidR="00F86D2D" w:rsidRPr="008C042C" w:rsidRDefault="00F86D2D" w:rsidP="001C65D0">
                  <w:pPr>
                    <w:jc w:val="left"/>
                    <w:rPr>
                      <w:rFonts w:ascii="Times New Roman" w:eastAsia="Times New Roman" w:hAnsi="Times New Roman"/>
                      <w:sz w:val="22"/>
                      <w:szCs w:val="22"/>
                      <w:lang w:val="sr-Cyrl-RS"/>
                    </w:rPr>
                  </w:pPr>
                </w:p>
              </w:tc>
              <w:tc>
                <w:tcPr>
                  <w:tcW w:w="1952" w:type="dxa"/>
                </w:tcPr>
                <w:p w14:paraId="2B71BAC2" w14:textId="4FEC19E4" w:rsidR="00F86D2D" w:rsidRPr="008C042C" w:rsidRDefault="00F86D2D" w:rsidP="001C65D0">
                  <w:pPr>
                    <w:jc w:val="center"/>
                    <w:rPr>
                      <w:rFonts w:ascii="Times New Roman" w:eastAsia="Times New Roman" w:hAnsi="Times New Roman"/>
                      <w:b/>
                      <w:sz w:val="22"/>
                      <w:szCs w:val="22"/>
                      <w:lang w:val="sr-Cyrl-RS"/>
                    </w:rPr>
                  </w:pPr>
                  <w:r w:rsidRPr="008C042C">
                    <w:rPr>
                      <w:rFonts w:ascii="Times New Roman" w:eastAsia="Times New Roman" w:hAnsi="Times New Roman"/>
                      <w:b/>
                      <w:sz w:val="22"/>
                      <w:szCs w:val="22"/>
                      <w:lang w:val="sr-Cyrl-RS"/>
                    </w:rPr>
                    <w:t>Х</w:t>
                  </w:r>
                </w:p>
              </w:tc>
              <w:tc>
                <w:tcPr>
                  <w:tcW w:w="1637" w:type="dxa"/>
                </w:tcPr>
                <w:p w14:paraId="45165BA0" w14:textId="77777777" w:rsidR="00F86D2D" w:rsidRPr="008C042C" w:rsidRDefault="00F86D2D" w:rsidP="001C65D0">
                  <w:pPr>
                    <w:jc w:val="left"/>
                    <w:rPr>
                      <w:rFonts w:ascii="Times New Roman" w:eastAsia="Times New Roman" w:hAnsi="Times New Roman"/>
                      <w:sz w:val="22"/>
                      <w:szCs w:val="22"/>
                      <w:lang w:val="sr-Cyrl-RS"/>
                    </w:rPr>
                  </w:pPr>
                </w:p>
              </w:tc>
            </w:tr>
            <w:tr w:rsidR="00F86D2D" w:rsidRPr="008C042C" w14:paraId="6FBFDA78" w14:textId="77777777" w:rsidTr="00FB64CE">
              <w:trPr>
                <w:trHeight w:val="489"/>
              </w:trPr>
              <w:tc>
                <w:tcPr>
                  <w:tcW w:w="3632" w:type="dxa"/>
                  <w:vAlign w:val="center"/>
                </w:tcPr>
                <w:p w14:paraId="47B11A50" w14:textId="0A7F11DB" w:rsidR="00F86D2D" w:rsidRPr="008C042C" w:rsidRDefault="00F86D2D" w:rsidP="001C65D0">
                  <w:pPr>
                    <w:jc w:val="left"/>
                    <w:rPr>
                      <w:rFonts w:ascii="Times New Roman" w:eastAsia="Times New Roman" w:hAnsi="Times New Roman"/>
                      <w:b/>
                      <w:sz w:val="22"/>
                      <w:szCs w:val="22"/>
                      <w:lang w:val="sr-Cyrl-RS"/>
                    </w:rPr>
                  </w:pPr>
                  <w:r w:rsidRPr="008C042C">
                    <w:rPr>
                      <w:rFonts w:ascii="Times New Roman" w:eastAsia="Times New Roman" w:hAnsi="Times New Roman"/>
                      <w:b/>
                      <w:sz w:val="22"/>
                      <w:szCs w:val="22"/>
                      <w:lang w:val="sr-Cyrl-RS"/>
                    </w:rPr>
                    <w:t>Престанак употребе печата на обрасцу захтева</w:t>
                  </w:r>
                </w:p>
              </w:tc>
              <w:tc>
                <w:tcPr>
                  <w:tcW w:w="1948" w:type="dxa"/>
                </w:tcPr>
                <w:p w14:paraId="704B52A4" w14:textId="0A7B2DE7" w:rsidR="00F86D2D" w:rsidRPr="008C042C" w:rsidRDefault="00F86D2D" w:rsidP="001C65D0">
                  <w:pPr>
                    <w:jc w:val="left"/>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 xml:space="preserve">                </w:t>
                  </w:r>
                </w:p>
              </w:tc>
              <w:tc>
                <w:tcPr>
                  <w:tcW w:w="1952" w:type="dxa"/>
                </w:tcPr>
                <w:p w14:paraId="14AE46C8" w14:textId="47DCAC44" w:rsidR="00F86D2D" w:rsidRPr="008C042C" w:rsidRDefault="00F86D2D" w:rsidP="001C65D0">
                  <w:pPr>
                    <w:jc w:val="center"/>
                    <w:rPr>
                      <w:rFonts w:ascii="Times New Roman" w:eastAsia="Times New Roman" w:hAnsi="Times New Roman"/>
                      <w:b/>
                      <w:sz w:val="22"/>
                      <w:szCs w:val="22"/>
                      <w:lang w:val="sr-Cyrl-RS"/>
                    </w:rPr>
                  </w:pPr>
                  <w:r w:rsidRPr="008C042C">
                    <w:rPr>
                      <w:rFonts w:ascii="Times New Roman" w:eastAsia="Times New Roman" w:hAnsi="Times New Roman"/>
                      <w:b/>
                      <w:sz w:val="22"/>
                      <w:szCs w:val="22"/>
                      <w:lang w:val="sr-Cyrl-RS"/>
                    </w:rPr>
                    <w:t>Х</w:t>
                  </w:r>
                </w:p>
              </w:tc>
              <w:tc>
                <w:tcPr>
                  <w:tcW w:w="1637" w:type="dxa"/>
                </w:tcPr>
                <w:p w14:paraId="7CDE1B07" w14:textId="77777777" w:rsidR="00F86D2D" w:rsidRPr="008C042C" w:rsidRDefault="00F86D2D" w:rsidP="001C65D0">
                  <w:pPr>
                    <w:jc w:val="left"/>
                    <w:rPr>
                      <w:rFonts w:ascii="Times New Roman" w:eastAsia="Times New Roman" w:hAnsi="Times New Roman"/>
                      <w:sz w:val="22"/>
                      <w:szCs w:val="22"/>
                      <w:lang w:val="sr-Cyrl-RS"/>
                    </w:rPr>
                  </w:pPr>
                </w:p>
              </w:tc>
            </w:tr>
          </w:tbl>
          <w:p w14:paraId="6E28D8C5" w14:textId="510BD087" w:rsidR="00F86D2D" w:rsidRPr="008C042C" w:rsidRDefault="00F86D2D" w:rsidP="001C65D0">
            <w:pPr>
              <w:pStyle w:val="NormalWeb"/>
              <w:spacing w:before="0" w:beforeAutospacing="0" w:after="0" w:afterAutospacing="0"/>
              <w:rPr>
                <w:sz w:val="22"/>
                <w:szCs w:val="22"/>
                <w:lang w:val="sr-Cyrl-RS"/>
              </w:rPr>
            </w:pPr>
          </w:p>
        </w:tc>
      </w:tr>
      <w:tr w:rsidR="00F86D2D" w:rsidRPr="008C042C" w14:paraId="0B4EEBB8" w14:textId="77777777" w:rsidTr="6B844AE6">
        <w:trPr>
          <w:trHeight w:val="454"/>
        </w:trPr>
        <w:tc>
          <w:tcPr>
            <w:tcW w:w="9900" w:type="dxa"/>
            <w:gridSpan w:val="2"/>
            <w:shd w:val="clear" w:color="auto" w:fill="DBE5F1" w:themeFill="accent1" w:themeFillTint="33"/>
            <w:vAlign w:val="center"/>
          </w:tcPr>
          <w:p w14:paraId="30CB88E1" w14:textId="18030B78" w:rsidR="00F86D2D" w:rsidRPr="008C042C" w:rsidRDefault="00F86D2D" w:rsidP="001C65D0">
            <w:pPr>
              <w:pStyle w:val="NormalWeb"/>
              <w:numPr>
                <w:ilvl w:val="0"/>
                <w:numId w:val="24"/>
              </w:numPr>
              <w:spacing w:before="0" w:beforeAutospacing="0" w:after="0" w:afterAutospacing="0"/>
              <w:jc w:val="center"/>
              <w:rPr>
                <w:b/>
                <w:sz w:val="22"/>
                <w:szCs w:val="22"/>
                <w:lang w:val="sr-Cyrl-RS"/>
              </w:rPr>
            </w:pPr>
            <w:r w:rsidRPr="008C042C">
              <w:rPr>
                <w:b/>
                <w:sz w:val="22"/>
                <w:szCs w:val="22"/>
                <w:lang w:val="sr-Cyrl-RS"/>
              </w:rPr>
              <w:t>ОБРАЗЛОЖЕЊЕ</w:t>
            </w:r>
          </w:p>
        </w:tc>
      </w:tr>
      <w:tr w:rsidR="00F86D2D" w:rsidRPr="008C042C" w14:paraId="4C67EFD3" w14:textId="77777777" w:rsidTr="6B844AE6">
        <w:trPr>
          <w:trHeight w:val="454"/>
        </w:trPr>
        <w:tc>
          <w:tcPr>
            <w:tcW w:w="9900" w:type="dxa"/>
            <w:gridSpan w:val="2"/>
            <w:shd w:val="clear" w:color="auto" w:fill="auto"/>
          </w:tcPr>
          <w:p w14:paraId="7CD6CB45" w14:textId="7BA59D54" w:rsidR="00F86D2D" w:rsidRPr="008C042C" w:rsidRDefault="002E6DF4" w:rsidP="001C65D0">
            <w:pPr>
              <w:jc w:val="left"/>
              <w:rPr>
                <w:rFonts w:ascii="Times New Roman" w:eastAsia="Times New Roman" w:hAnsi="Times New Roman"/>
                <w:b/>
                <w:sz w:val="22"/>
                <w:szCs w:val="22"/>
                <w:u w:val="single"/>
                <w:lang w:val="sr-Cyrl-RS"/>
              </w:rPr>
            </w:pPr>
            <w:r w:rsidRPr="008C042C">
              <w:rPr>
                <w:rFonts w:ascii="Times New Roman" w:eastAsia="Times New Roman" w:hAnsi="Times New Roman"/>
                <w:b/>
                <w:sz w:val="22"/>
                <w:szCs w:val="22"/>
                <w:u w:val="single"/>
                <w:lang w:val="sr-Cyrl-RS"/>
              </w:rPr>
              <w:t xml:space="preserve">3.1. </w:t>
            </w:r>
            <w:r w:rsidR="00873676" w:rsidRPr="008C042C">
              <w:rPr>
                <w:rFonts w:ascii="Times New Roman" w:eastAsia="Times New Roman" w:hAnsi="Times New Roman"/>
                <w:b/>
                <w:sz w:val="22"/>
                <w:szCs w:val="22"/>
                <w:u w:val="single"/>
                <w:lang w:val="sr-Cyrl-RS"/>
              </w:rPr>
              <w:t>И</w:t>
            </w:r>
            <w:r w:rsidR="00F86D2D" w:rsidRPr="008C042C">
              <w:rPr>
                <w:rFonts w:ascii="Times New Roman" w:eastAsia="Times New Roman" w:hAnsi="Times New Roman"/>
                <w:b/>
                <w:sz w:val="22"/>
                <w:szCs w:val="22"/>
                <w:u w:val="single"/>
                <w:lang w:val="sr-Cyrl-RS"/>
              </w:rPr>
              <w:t>нформисање странака о просечној накнади</w:t>
            </w:r>
            <w:r w:rsidR="002E3288" w:rsidRPr="008C042C">
              <w:rPr>
                <w:rFonts w:ascii="Times New Roman" w:eastAsia="Times New Roman" w:hAnsi="Times New Roman"/>
                <w:b/>
                <w:sz w:val="22"/>
                <w:szCs w:val="22"/>
                <w:u w:val="single"/>
                <w:lang w:val="sr-Cyrl-RS"/>
              </w:rPr>
              <w:t xml:space="preserve"> на интернет страници органа</w:t>
            </w:r>
            <w:r w:rsidR="00F86D2D" w:rsidRPr="008C042C">
              <w:rPr>
                <w:rFonts w:ascii="Times New Roman" w:eastAsia="Times New Roman" w:hAnsi="Times New Roman"/>
                <w:b/>
                <w:sz w:val="22"/>
                <w:szCs w:val="22"/>
                <w:u w:val="single"/>
                <w:lang w:val="sr-Cyrl-RS"/>
              </w:rPr>
              <w:t xml:space="preserve"> </w:t>
            </w:r>
          </w:p>
          <w:p w14:paraId="5F23FE51" w14:textId="1B91900F" w:rsidR="002E6DF4" w:rsidRPr="008C042C" w:rsidRDefault="002E6DF4" w:rsidP="001C65D0">
            <w:pPr>
              <w:jc w:val="left"/>
              <w:rPr>
                <w:rFonts w:ascii="Times New Roman" w:eastAsia="Times New Roman" w:hAnsi="Times New Roman"/>
                <w:b/>
                <w:sz w:val="22"/>
                <w:szCs w:val="22"/>
                <w:u w:val="single"/>
                <w:lang w:val="sr-Latn-RS"/>
              </w:rPr>
            </w:pPr>
          </w:p>
          <w:p w14:paraId="058EB6F9" w14:textId="0D4D01A5" w:rsidR="00185000" w:rsidRPr="008C042C" w:rsidRDefault="00873676" w:rsidP="001C65D0">
            <w:pPr>
              <w:rPr>
                <w:rFonts w:ascii="Times New Roman" w:hAnsi="Times New Roman"/>
                <w:i/>
                <w:color w:val="FF0000"/>
                <w:sz w:val="22"/>
                <w:szCs w:val="22"/>
                <w:lang w:val="sr-Cyrl-RS"/>
              </w:rPr>
            </w:pPr>
            <w:r w:rsidRPr="008C042C">
              <w:rPr>
                <w:rFonts w:ascii="Times New Roman" w:eastAsia="Times New Roman" w:hAnsi="Times New Roman"/>
                <w:sz w:val="22"/>
                <w:szCs w:val="22"/>
                <w:lang w:val="sr-Cyrl-RS"/>
              </w:rPr>
              <w:t xml:space="preserve">Имајући у виду изнето сматрамо да је потребно да се информишу странке о просечној накнади у овом поступку, чиме се постиже правна сигурност и транспарентност поступка, а уједно се установљава контрола рада органа од стране заинтересоване јавности. </w:t>
            </w:r>
            <w:r w:rsidR="00185000" w:rsidRPr="008C042C">
              <w:rPr>
                <w:rFonts w:ascii="Times New Roman" w:eastAsia="Times New Roman" w:hAnsi="Times New Roman"/>
                <w:sz w:val="22"/>
                <w:szCs w:val="22"/>
                <w:lang w:val="sr-Cyrl-RS"/>
              </w:rPr>
              <w:t>У информацији се мора навести и могући изузетак да у одређеним случајевима накнада може бити већа услед могуће потребе да се поступак понавља.</w:t>
            </w:r>
            <w:r w:rsidR="00185000" w:rsidRPr="008C042C">
              <w:rPr>
                <w:rFonts w:ascii="Times New Roman" w:hAnsi="Times New Roman"/>
                <w:i/>
                <w:color w:val="FF0000"/>
                <w:sz w:val="22"/>
                <w:szCs w:val="22"/>
                <w:lang w:val="sr-Cyrl-RS"/>
              </w:rPr>
              <w:t xml:space="preserve"> </w:t>
            </w:r>
          </w:p>
          <w:p w14:paraId="11B087AD" w14:textId="5E44C6BE" w:rsidR="001C65D0" w:rsidRPr="008C042C" w:rsidRDefault="001C65D0" w:rsidP="001C65D0">
            <w:pPr>
              <w:rPr>
                <w:rFonts w:ascii="Times New Roman" w:hAnsi="Times New Roman"/>
                <w:i/>
                <w:color w:val="FF0000"/>
                <w:sz w:val="22"/>
                <w:szCs w:val="22"/>
                <w:lang w:val="sr-Latn-RS"/>
              </w:rPr>
            </w:pPr>
          </w:p>
          <w:p w14:paraId="585023F3" w14:textId="0A0563FA" w:rsidR="00F86D2D" w:rsidRPr="008C042C" w:rsidRDefault="002E6DF4" w:rsidP="001C65D0">
            <w:pPr>
              <w:pStyle w:val="NormalWeb"/>
              <w:spacing w:before="0" w:beforeAutospacing="0" w:after="0" w:afterAutospacing="0"/>
              <w:jc w:val="both"/>
              <w:rPr>
                <w:b/>
                <w:i/>
                <w:sz w:val="22"/>
                <w:szCs w:val="22"/>
                <w:lang w:val="sr-Cyrl-RS"/>
              </w:rPr>
            </w:pPr>
            <w:r w:rsidRPr="008C042C">
              <w:rPr>
                <w:b/>
                <w:i/>
                <w:sz w:val="22"/>
                <w:szCs w:val="22"/>
                <w:lang w:val="sr-Cyrl-RS"/>
              </w:rPr>
              <w:tab/>
            </w:r>
            <w:r w:rsidR="00873676" w:rsidRPr="008C042C">
              <w:rPr>
                <w:b/>
                <w:i/>
                <w:sz w:val="22"/>
                <w:szCs w:val="22"/>
                <w:lang w:val="sr-Cyrl-RS"/>
              </w:rPr>
              <w:t>За примену ове препоруке није потребна измена прописа</w:t>
            </w:r>
            <w:r w:rsidRPr="008C042C">
              <w:rPr>
                <w:b/>
                <w:i/>
                <w:sz w:val="22"/>
                <w:szCs w:val="22"/>
                <w:lang w:val="sr-Cyrl-RS"/>
              </w:rPr>
              <w:t>.</w:t>
            </w:r>
          </w:p>
          <w:p w14:paraId="3C519FA3" w14:textId="77777777" w:rsidR="001C65D0" w:rsidRPr="008C042C" w:rsidRDefault="001C65D0" w:rsidP="001C65D0">
            <w:pPr>
              <w:pStyle w:val="NormalWeb"/>
              <w:spacing w:before="0" w:beforeAutospacing="0" w:after="0" w:afterAutospacing="0"/>
              <w:jc w:val="both"/>
              <w:rPr>
                <w:rFonts w:eastAsia="Calibri"/>
                <w:b/>
                <w:i/>
                <w:sz w:val="22"/>
                <w:szCs w:val="22"/>
                <w:lang w:val="sr-Latn-RS"/>
              </w:rPr>
            </w:pPr>
          </w:p>
          <w:p w14:paraId="2A085292" w14:textId="08D369F9" w:rsidR="00F86D2D" w:rsidRDefault="002E6DF4" w:rsidP="001C65D0">
            <w:pPr>
              <w:rPr>
                <w:rFonts w:ascii="Times New Roman" w:eastAsia="Times New Roman" w:hAnsi="Times New Roman"/>
                <w:b/>
                <w:sz w:val="22"/>
                <w:szCs w:val="22"/>
                <w:u w:val="single"/>
                <w:lang w:val="sr-Cyrl-RS"/>
              </w:rPr>
            </w:pPr>
            <w:r w:rsidRPr="008C042C">
              <w:rPr>
                <w:rFonts w:ascii="Times New Roman" w:eastAsia="Times New Roman" w:hAnsi="Times New Roman"/>
                <w:b/>
                <w:sz w:val="22"/>
                <w:szCs w:val="22"/>
                <w:u w:val="single"/>
                <w:lang w:val="sr-Cyrl-RS"/>
              </w:rPr>
              <w:t xml:space="preserve">3.2. </w:t>
            </w:r>
            <w:r w:rsidR="00F86D2D" w:rsidRPr="008C042C">
              <w:rPr>
                <w:rFonts w:ascii="Times New Roman" w:eastAsia="Times New Roman" w:hAnsi="Times New Roman"/>
                <w:b/>
                <w:sz w:val="22"/>
                <w:szCs w:val="22"/>
                <w:u w:val="single"/>
                <w:lang w:val="sr-Cyrl-RS"/>
              </w:rPr>
              <w:t>Прихватање доказа о електронској уплати таксе без печата банке</w:t>
            </w:r>
          </w:p>
          <w:p w14:paraId="47EFE931" w14:textId="77777777" w:rsidR="00AA6E51" w:rsidRPr="008C042C" w:rsidRDefault="00AA6E51" w:rsidP="001C65D0">
            <w:pPr>
              <w:rPr>
                <w:rFonts w:ascii="Times New Roman" w:eastAsia="Times New Roman" w:hAnsi="Times New Roman"/>
                <w:b/>
                <w:sz w:val="22"/>
                <w:szCs w:val="22"/>
                <w:u w:val="single"/>
                <w:lang w:val="sr-Latn-RS"/>
              </w:rPr>
            </w:pPr>
          </w:p>
          <w:p w14:paraId="350D664F" w14:textId="77777777" w:rsidR="002E0B81" w:rsidRPr="008C042C" w:rsidRDefault="002E0B81" w:rsidP="002E0B81">
            <w:pPr>
              <w:tabs>
                <w:tab w:val="left" w:pos="379"/>
              </w:tabs>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5E1ABB51" w14:textId="77777777" w:rsidR="002E0B81" w:rsidRPr="008C042C" w:rsidRDefault="002E0B81" w:rsidP="002E0B81">
            <w:pPr>
              <w:tabs>
                <w:tab w:val="left" w:pos="379"/>
              </w:tabs>
              <w:ind w:left="379"/>
              <w:rPr>
                <w:rFonts w:ascii="Times New Roman" w:eastAsia="Times New Roman" w:hAnsi="Times New Roman"/>
                <w:sz w:val="22"/>
                <w:szCs w:val="22"/>
                <w:lang w:val="sr-Cyrl-RS"/>
              </w:rPr>
            </w:pPr>
          </w:p>
          <w:p w14:paraId="4290EB5E" w14:textId="77777777" w:rsidR="002E0B81" w:rsidRPr="008C042C" w:rsidRDefault="002E0B81" w:rsidP="002E0B81">
            <w:pPr>
              <w:tabs>
                <w:tab w:val="left" w:pos="379"/>
              </w:tabs>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4CA23FED" w14:textId="77777777" w:rsidR="002E0B81" w:rsidRPr="008C042C" w:rsidRDefault="002E0B81" w:rsidP="002E0B81">
            <w:pPr>
              <w:tabs>
                <w:tab w:val="left" w:pos="379"/>
              </w:tabs>
              <w:ind w:left="379"/>
              <w:rPr>
                <w:rFonts w:ascii="Times New Roman" w:eastAsia="Times New Roman" w:hAnsi="Times New Roman"/>
                <w:sz w:val="22"/>
                <w:szCs w:val="22"/>
                <w:lang w:val="sr-Cyrl-RS"/>
              </w:rPr>
            </w:pPr>
          </w:p>
          <w:p w14:paraId="077B4B95" w14:textId="77777777" w:rsidR="002E0B81" w:rsidRPr="008C042C" w:rsidRDefault="002E0B81" w:rsidP="002E0B81">
            <w:pPr>
              <w:pStyle w:val="ListParagraph"/>
              <w:numPr>
                <w:ilvl w:val="0"/>
                <w:numId w:val="33"/>
              </w:numPr>
              <w:tabs>
                <w:tab w:val="left" w:pos="379"/>
              </w:tabs>
              <w:ind w:left="379" w:hanging="180"/>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200F367F" w14:textId="77777777" w:rsidR="002E0B81" w:rsidRPr="008C042C" w:rsidRDefault="002E0B81" w:rsidP="002E0B81">
            <w:pPr>
              <w:pStyle w:val="ListParagraph"/>
              <w:tabs>
                <w:tab w:val="left" w:pos="379"/>
              </w:tabs>
              <w:ind w:left="379"/>
              <w:rPr>
                <w:rFonts w:ascii="Times New Roman" w:eastAsia="Times New Roman" w:hAnsi="Times New Roman"/>
                <w:sz w:val="22"/>
                <w:szCs w:val="22"/>
                <w:lang w:val="sr-Cyrl-RS"/>
              </w:rPr>
            </w:pPr>
          </w:p>
          <w:p w14:paraId="02AA75CA" w14:textId="77777777" w:rsidR="002E0B81" w:rsidRPr="008C042C" w:rsidRDefault="002E0B81" w:rsidP="002E0B81">
            <w:pPr>
              <w:pStyle w:val="ListParagraph"/>
              <w:numPr>
                <w:ilvl w:val="0"/>
                <w:numId w:val="33"/>
              </w:numPr>
              <w:tabs>
                <w:tab w:val="left" w:pos="379"/>
              </w:tabs>
              <w:ind w:left="379" w:hanging="180"/>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60757D14" w14:textId="77777777" w:rsidR="002E0B81" w:rsidRPr="008C042C" w:rsidRDefault="002E0B81" w:rsidP="002E0B81">
            <w:pPr>
              <w:tabs>
                <w:tab w:val="left" w:pos="379"/>
              </w:tabs>
              <w:ind w:left="379"/>
              <w:rPr>
                <w:rFonts w:ascii="Times New Roman" w:eastAsia="Times New Roman" w:hAnsi="Times New Roman"/>
                <w:sz w:val="22"/>
                <w:szCs w:val="22"/>
                <w:lang w:val="sr-Cyrl-RS"/>
              </w:rPr>
            </w:pPr>
          </w:p>
          <w:p w14:paraId="164C590A" w14:textId="77777777" w:rsidR="002E0B81" w:rsidRPr="008C042C" w:rsidRDefault="002E0B81" w:rsidP="002E0B81">
            <w:pPr>
              <w:pStyle w:val="ListParagraph"/>
              <w:numPr>
                <w:ilvl w:val="0"/>
                <w:numId w:val="33"/>
              </w:numPr>
              <w:tabs>
                <w:tab w:val="left" w:pos="379"/>
              </w:tabs>
              <w:ind w:hanging="900"/>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Омогућити систем електронског плаћања преко портала е-Управе.</w:t>
            </w:r>
          </w:p>
          <w:p w14:paraId="0A0086EA" w14:textId="77777777" w:rsidR="002E0B81" w:rsidRPr="008C042C" w:rsidRDefault="002E0B81" w:rsidP="002E0B81">
            <w:pPr>
              <w:tabs>
                <w:tab w:val="left" w:pos="379"/>
              </w:tabs>
              <w:ind w:left="379"/>
              <w:rPr>
                <w:rFonts w:ascii="Times New Roman" w:eastAsia="Times New Roman" w:hAnsi="Times New Roman"/>
                <w:sz w:val="22"/>
                <w:szCs w:val="22"/>
                <w:lang w:val="sr-Cyrl-RS"/>
              </w:rPr>
            </w:pPr>
          </w:p>
          <w:p w14:paraId="51446DEA" w14:textId="77777777" w:rsidR="002E0B81" w:rsidRPr="008C042C" w:rsidRDefault="002E0B81" w:rsidP="002E0B81">
            <w:pPr>
              <w:tabs>
                <w:tab w:val="left" w:pos="379"/>
              </w:tabs>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3DD82E97" w14:textId="77777777" w:rsidR="00F86D2D" w:rsidRPr="008C042C" w:rsidRDefault="00F86D2D" w:rsidP="001C65D0">
            <w:pPr>
              <w:rPr>
                <w:rFonts w:ascii="Times New Roman" w:eastAsia="Times New Roman" w:hAnsi="Times New Roman"/>
                <w:sz w:val="22"/>
                <w:szCs w:val="22"/>
                <w:lang w:val="sr-Latn-RS"/>
              </w:rPr>
            </w:pPr>
          </w:p>
          <w:p w14:paraId="2265F500" w14:textId="77777777" w:rsidR="001C65D0" w:rsidRPr="008C042C" w:rsidRDefault="001C65D0" w:rsidP="001C65D0">
            <w:pPr>
              <w:rPr>
                <w:rFonts w:ascii="Times New Roman" w:eastAsia="Times New Roman" w:hAnsi="Times New Roman"/>
                <w:sz w:val="22"/>
                <w:szCs w:val="22"/>
                <w:lang w:val="sr-Latn-RS"/>
              </w:rPr>
            </w:pPr>
          </w:p>
          <w:p w14:paraId="09EA321B" w14:textId="77777777" w:rsidR="000F6024" w:rsidRPr="008C042C" w:rsidRDefault="002E6DF4" w:rsidP="001C65D0">
            <w:pPr>
              <w:rPr>
                <w:rFonts w:ascii="Times New Roman" w:hAnsi="Times New Roman"/>
                <w:b/>
                <w:i/>
                <w:sz w:val="22"/>
                <w:szCs w:val="22"/>
                <w:lang w:val="sr-Cyrl-RS"/>
              </w:rPr>
            </w:pPr>
            <w:r w:rsidRPr="008C042C">
              <w:rPr>
                <w:rFonts w:ascii="Times New Roman" w:hAnsi="Times New Roman"/>
                <w:b/>
                <w:i/>
                <w:sz w:val="22"/>
                <w:szCs w:val="22"/>
                <w:lang w:val="sr-Cyrl-RS"/>
              </w:rPr>
              <w:tab/>
            </w:r>
            <w:r w:rsidR="00F86D2D" w:rsidRPr="008C042C">
              <w:rPr>
                <w:rFonts w:ascii="Times New Roman" w:hAnsi="Times New Roman"/>
                <w:b/>
                <w:i/>
                <w:sz w:val="22"/>
                <w:szCs w:val="22"/>
                <w:lang w:val="sr-Cyrl-RS"/>
              </w:rPr>
              <w:t xml:space="preserve">За примену ове препоруке није потребна измена прописа. </w:t>
            </w:r>
          </w:p>
          <w:p w14:paraId="3C74D119" w14:textId="77777777" w:rsidR="001C65D0" w:rsidRPr="008C042C" w:rsidRDefault="001C65D0" w:rsidP="001C65D0">
            <w:pPr>
              <w:rPr>
                <w:rFonts w:ascii="Times New Roman" w:hAnsi="Times New Roman"/>
                <w:b/>
                <w:i/>
                <w:sz w:val="22"/>
                <w:szCs w:val="22"/>
                <w:lang w:val="sr-Cyrl-RS"/>
              </w:rPr>
            </w:pPr>
          </w:p>
          <w:p w14:paraId="6B2EA5AF" w14:textId="1F7D9222" w:rsidR="00F86D2D" w:rsidRPr="008C042C" w:rsidRDefault="002E6DF4" w:rsidP="001C65D0">
            <w:pPr>
              <w:rPr>
                <w:rFonts w:ascii="Times New Roman" w:hAnsi="Times New Roman"/>
                <w:b/>
                <w:sz w:val="22"/>
                <w:szCs w:val="22"/>
                <w:u w:val="single"/>
                <w:lang w:val="sr-Cyrl-RS"/>
              </w:rPr>
            </w:pPr>
            <w:r w:rsidRPr="008C042C">
              <w:rPr>
                <w:rFonts w:ascii="Times New Roman" w:eastAsia="Times New Roman" w:hAnsi="Times New Roman"/>
                <w:b/>
                <w:sz w:val="22"/>
                <w:szCs w:val="22"/>
                <w:u w:val="single"/>
                <w:lang w:val="sr-Cyrl-RS"/>
              </w:rPr>
              <w:t xml:space="preserve">3.3. </w:t>
            </w:r>
            <w:r w:rsidR="00F86D2D" w:rsidRPr="008C042C">
              <w:rPr>
                <w:rFonts w:ascii="Times New Roman" w:eastAsia="Times New Roman" w:hAnsi="Times New Roman"/>
                <w:b/>
                <w:sz w:val="22"/>
                <w:szCs w:val="22"/>
                <w:u w:val="single"/>
                <w:lang w:val="sr-Cyrl-RS"/>
              </w:rPr>
              <w:t>Престанак употребе печата на обрасцу захтева</w:t>
            </w:r>
            <w:r w:rsidR="00F86D2D" w:rsidRPr="008C042C">
              <w:rPr>
                <w:rFonts w:ascii="Times New Roman" w:hAnsi="Times New Roman"/>
                <w:b/>
                <w:sz w:val="22"/>
                <w:szCs w:val="22"/>
                <w:u w:val="single"/>
                <w:lang w:val="sr-Cyrl-RS"/>
              </w:rPr>
              <w:t xml:space="preserve"> </w:t>
            </w:r>
          </w:p>
          <w:p w14:paraId="68868C96" w14:textId="77777777" w:rsidR="001C65D0" w:rsidRPr="008C042C" w:rsidRDefault="001C65D0" w:rsidP="001C65D0">
            <w:pPr>
              <w:rPr>
                <w:rFonts w:ascii="Times New Roman" w:hAnsi="Times New Roman"/>
                <w:b/>
                <w:sz w:val="22"/>
                <w:szCs w:val="22"/>
                <w:u w:val="single"/>
                <w:lang w:val="sr-Cyrl-RS"/>
              </w:rPr>
            </w:pPr>
          </w:p>
          <w:p w14:paraId="6EDB0446" w14:textId="77777777" w:rsidR="00F86D2D" w:rsidRPr="008C042C" w:rsidRDefault="00F86D2D" w:rsidP="001C65D0">
            <w:pPr>
              <w:rPr>
                <w:rFonts w:ascii="Times New Roman" w:hAnsi="Times New Roman"/>
                <w:sz w:val="22"/>
                <w:szCs w:val="22"/>
                <w:lang w:val="sr-Cyrl-RS"/>
              </w:rPr>
            </w:pPr>
            <w:r w:rsidRPr="008C042C">
              <w:rPr>
                <w:rFonts w:ascii="Times New Roman" w:hAnsi="Times New Roman"/>
                <w:sz w:val="22"/>
                <w:szCs w:val="22"/>
                <w:lang w:val="sr-Cyrl-RS"/>
              </w:rPr>
              <w:t xml:space="preserve">Сходно члану 160. Закона о изменама и допунама закона о привредним друштвима од 01. октобра </w:t>
            </w:r>
            <w:r w:rsidRPr="008C042C">
              <w:rPr>
                <w:rFonts w:ascii="Times New Roman" w:hAnsi="Times New Roman"/>
                <w:sz w:val="22"/>
                <w:szCs w:val="22"/>
                <w:lang w:val="sr-Cyrl-RS"/>
              </w:rPr>
              <w:lastRenderedPageBreak/>
              <w:t>2018. године укида се</w:t>
            </w:r>
            <w:r w:rsidRPr="008C042C">
              <w:rPr>
                <w:rFonts w:ascii="Times New Roman" w:hAnsi="Times New Roman"/>
                <w:sz w:val="22"/>
                <w:szCs w:val="22"/>
                <w:lang w:val="sr-Latn-RS"/>
              </w:rPr>
              <w:t xml:space="preserve"> </w:t>
            </w:r>
            <w:r w:rsidRPr="008C042C">
              <w:rPr>
                <w:rFonts w:ascii="Times New Roman" w:hAnsi="Times New Roman"/>
                <w:sz w:val="22"/>
                <w:szCs w:val="22"/>
                <w:lang w:val="sr-Cyrl-RS"/>
              </w:rPr>
              <w:t>обавеза употребе печата, те је потребно образац захтева изменити у том смислу.</w:t>
            </w:r>
          </w:p>
          <w:p w14:paraId="0CCC54E6" w14:textId="77777777" w:rsidR="001C65D0" w:rsidRPr="008C042C" w:rsidRDefault="001C65D0" w:rsidP="001C65D0">
            <w:pPr>
              <w:rPr>
                <w:rFonts w:ascii="Times New Roman" w:hAnsi="Times New Roman"/>
                <w:sz w:val="22"/>
                <w:szCs w:val="22"/>
                <w:lang w:val="sr-Cyrl-RS"/>
              </w:rPr>
            </w:pPr>
          </w:p>
          <w:p w14:paraId="3EAB4AF8" w14:textId="5120B6B7" w:rsidR="00F86D2D" w:rsidRPr="008C042C" w:rsidRDefault="002E6DF4" w:rsidP="001C65D0">
            <w:pPr>
              <w:rPr>
                <w:rFonts w:ascii="Times New Roman" w:eastAsia="Times New Roman" w:hAnsi="Times New Roman"/>
                <w:color w:val="FF0000"/>
                <w:sz w:val="22"/>
                <w:szCs w:val="22"/>
                <w:lang w:val="sr-Cyrl-RS"/>
              </w:rPr>
            </w:pPr>
            <w:r w:rsidRPr="008C042C">
              <w:rPr>
                <w:rFonts w:ascii="Times New Roman" w:hAnsi="Times New Roman"/>
                <w:b/>
                <w:i/>
                <w:sz w:val="22"/>
                <w:szCs w:val="22"/>
                <w:lang w:val="sr-Cyrl-RS"/>
              </w:rPr>
              <w:tab/>
            </w:r>
            <w:r w:rsidR="00F86D2D" w:rsidRPr="008C042C">
              <w:rPr>
                <w:rFonts w:ascii="Times New Roman" w:hAnsi="Times New Roman"/>
                <w:b/>
                <w:i/>
                <w:sz w:val="22"/>
                <w:szCs w:val="22"/>
                <w:lang w:val="sr-Cyrl-RS"/>
              </w:rPr>
              <w:t xml:space="preserve">За примену ове препоруке није потребна измена прописа. </w:t>
            </w:r>
          </w:p>
        </w:tc>
      </w:tr>
      <w:tr w:rsidR="00185000" w:rsidRPr="008C042C" w14:paraId="52C990E5" w14:textId="77777777" w:rsidTr="6B844AE6">
        <w:trPr>
          <w:trHeight w:val="454"/>
        </w:trPr>
        <w:tc>
          <w:tcPr>
            <w:tcW w:w="9900" w:type="dxa"/>
            <w:gridSpan w:val="2"/>
            <w:shd w:val="clear" w:color="auto" w:fill="DBE5F1" w:themeFill="accent1" w:themeFillTint="33"/>
            <w:vAlign w:val="center"/>
          </w:tcPr>
          <w:p w14:paraId="493D6146" w14:textId="0C8BE37E" w:rsidR="00185000" w:rsidRPr="008C042C" w:rsidRDefault="00185000" w:rsidP="001C65D0">
            <w:pPr>
              <w:pStyle w:val="NormalWeb"/>
              <w:numPr>
                <w:ilvl w:val="0"/>
                <w:numId w:val="24"/>
              </w:numPr>
              <w:spacing w:before="0" w:beforeAutospacing="0" w:after="0" w:afterAutospacing="0"/>
              <w:jc w:val="center"/>
              <w:rPr>
                <w:b/>
                <w:sz w:val="22"/>
                <w:szCs w:val="22"/>
                <w:lang w:val="sr-Cyrl-RS"/>
              </w:rPr>
            </w:pPr>
            <w:r w:rsidRPr="008C042C">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85000" w:rsidRPr="008C042C" w14:paraId="077D3505" w14:textId="77777777" w:rsidTr="6B844AE6">
        <w:trPr>
          <w:trHeight w:val="454"/>
        </w:trPr>
        <w:tc>
          <w:tcPr>
            <w:tcW w:w="9900" w:type="dxa"/>
            <w:gridSpan w:val="2"/>
            <w:shd w:val="clear" w:color="auto" w:fill="auto"/>
          </w:tcPr>
          <w:p w14:paraId="39763933" w14:textId="235A7204" w:rsidR="00185000" w:rsidRPr="008C042C" w:rsidRDefault="00185000" w:rsidP="001C65D0">
            <w:pPr>
              <w:jc w:val="left"/>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Није потребна измена прописа.</w:t>
            </w:r>
          </w:p>
        </w:tc>
      </w:tr>
      <w:tr w:rsidR="00185000" w:rsidRPr="008C042C" w14:paraId="0489C5FC" w14:textId="77777777" w:rsidTr="6B844AE6">
        <w:trPr>
          <w:trHeight w:val="454"/>
        </w:trPr>
        <w:tc>
          <w:tcPr>
            <w:tcW w:w="9900" w:type="dxa"/>
            <w:gridSpan w:val="2"/>
            <w:shd w:val="clear" w:color="auto" w:fill="DBE5F1" w:themeFill="accent1" w:themeFillTint="33"/>
            <w:vAlign w:val="center"/>
          </w:tcPr>
          <w:p w14:paraId="6DA2404D" w14:textId="7EE7D537" w:rsidR="00185000" w:rsidRPr="008C042C" w:rsidRDefault="00185000" w:rsidP="001C65D0">
            <w:pPr>
              <w:pStyle w:val="NormalWeb"/>
              <w:numPr>
                <w:ilvl w:val="0"/>
                <w:numId w:val="24"/>
              </w:numPr>
              <w:spacing w:before="0" w:beforeAutospacing="0" w:after="0" w:afterAutospacing="0"/>
              <w:jc w:val="center"/>
              <w:rPr>
                <w:b/>
                <w:sz w:val="22"/>
                <w:szCs w:val="22"/>
                <w:lang w:val="sr-Cyrl-RS"/>
              </w:rPr>
            </w:pPr>
            <w:r w:rsidRPr="008C042C">
              <w:rPr>
                <w:b/>
                <w:sz w:val="22"/>
                <w:szCs w:val="22"/>
                <w:lang w:val="sr-Cyrl-RS"/>
              </w:rPr>
              <w:t>ПРЕГЛЕД ОДРЕДБИ ПРОПИСА ЧИЈА СЕ ИЗМЕНА ПРЕДЛАЖЕ</w:t>
            </w:r>
          </w:p>
        </w:tc>
      </w:tr>
      <w:tr w:rsidR="00185000" w:rsidRPr="008C042C" w14:paraId="3C4DDA6A" w14:textId="77777777" w:rsidTr="6B844AE6">
        <w:trPr>
          <w:trHeight w:val="454"/>
        </w:trPr>
        <w:tc>
          <w:tcPr>
            <w:tcW w:w="9900" w:type="dxa"/>
            <w:gridSpan w:val="2"/>
            <w:shd w:val="clear" w:color="auto" w:fill="auto"/>
          </w:tcPr>
          <w:p w14:paraId="1506ADFF" w14:textId="4FBCA607" w:rsidR="00185000" w:rsidRPr="008C042C" w:rsidRDefault="00185000" w:rsidP="001C65D0">
            <w:pPr>
              <w:jc w:val="left"/>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Није потребна измена прописа.</w:t>
            </w:r>
          </w:p>
        </w:tc>
      </w:tr>
      <w:tr w:rsidR="00185000" w:rsidRPr="008C042C" w14:paraId="429F5407" w14:textId="77777777" w:rsidTr="6B844AE6">
        <w:trPr>
          <w:trHeight w:val="454"/>
        </w:trPr>
        <w:tc>
          <w:tcPr>
            <w:tcW w:w="9900" w:type="dxa"/>
            <w:gridSpan w:val="2"/>
            <w:shd w:val="clear" w:color="auto" w:fill="DBE5F1" w:themeFill="accent1" w:themeFillTint="33"/>
            <w:vAlign w:val="center"/>
          </w:tcPr>
          <w:p w14:paraId="033C7D4B" w14:textId="3CD86FAD" w:rsidR="00185000" w:rsidRPr="008C042C" w:rsidRDefault="00185000" w:rsidP="001C65D0">
            <w:pPr>
              <w:pStyle w:val="NormalWeb"/>
              <w:numPr>
                <w:ilvl w:val="0"/>
                <w:numId w:val="24"/>
              </w:numPr>
              <w:spacing w:before="0" w:beforeAutospacing="0" w:after="0" w:afterAutospacing="0"/>
              <w:jc w:val="center"/>
              <w:rPr>
                <w:b/>
                <w:sz w:val="22"/>
                <w:szCs w:val="22"/>
                <w:lang w:val="sr-Cyrl-RS"/>
              </w:rPr>
            </w:pPr>
            <w:r w:rsidRPr="008C042C">
              <w:rPr>
                <w:b/>
                <w:sz w:val="22"/>
                <w:szCs w:val="22"/>
                <w:lang w:val="sr-Cyrl-RS"/>
              </w:rPr>
              <w:t>АНАЛИЗА ЕФЕКАТА ПРЕПОРУКЕ (АЕП)</w:t>
            </w:r>
          </w:p>
        </w:tc>
      </w:tr>
      <w:tr w:rsidR="00185000" w:rsidRPr="008C042C" w14:paraId="72BD2239" w14:textId="77777777" w:rsidTr="6B844AE6">
        <w:trPr>
          <w:trHeight w:val="70"/>
        </w:trPr>
        <w:tc>
          <w:tcPr>
            <w:tcW w:w="9900" w:type="dxa"/>
            <w:gridSpan w:val="2"/>
            <w:shd w:val="clear" w:color="auto" w:fill="auto"/>
          </w:tcPr>
          <w:p w14:paraId="38FE1B32" w14:textId="77777777" w:rsidR="00091318" w:rsidRPr="008C042C" w:rsidRDefault="00091318" w:rsidP="00091318">
            <w:pPr>
              <w:rPr>
                <w:rFonts w:ascii="Times New Roman" w:eastAsia="Times New Roman" w:hAnsi="Times New Roman"/>
                <w:sz w:val="22"/>
                <w:szCs w:val="22"/>
                <w:lang w:val="sr-Cyrl-RS"/>
              </w:rPr>
            </w:pPr>
            <w:bookmarkStart w:id="0" w:name="_GoBack"/>
            <w:bookmarkEnd w:id="0"/>
          </w:p>
          <w:p w14:paraId="331CCBA4" w14:textId="063C3F6D" w:rsidR="00185000" w:rsidRPr="008C042C" w:rsidRDefault="6B844AE6" w:rsidP="00AA6E51">
            <w:pPr>
              <w:rPr>
                <w:rFonts w:ascii="Times New Roman" w:eastAsia="Times New Roman" w:hAnsi="Times New Roman"/>
                <w:sz w:val="22"/>
                <w:szCs w:val="22"/>
                <w:lang w:val="sr-Cyrl-RS"/>
              </w:rPr>
            </w:pPr>
            <w:r w:rsidRPr="008C042C">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Препорукама се такође утиче на побољшање пословног амбијентта.</w:t>
            </w:r>
          </w:p>
        </w:tc>
      </w:tr>
    </w:tbl>
    <w:p w14:paraId="5CCD2EC5" w14:textId="77777777" w:rsidR="005C7474" w:rsidRPr="008C042C" w:rsidRDefault="005C7474" w:rsidP="001C65D0">
      <w:pPr>
        <w:rPr>
          <w:rFonts w:ascii="Times New Roman" w:eastAsia="Times New Roman" w:hAnsi="Times New Roman"/>
          <w:lang w:val="sr-Cyrl-RS"/>
        </w:rPr>
      </w:pPr>
    </w:p>
    <w:sectPr w:rsidR="005C7474" w:rsidRPr="008C042C" w:rsidSect="00C121EC">
      <w:footerReference w:type="default" r:id="rId8"/>
      <w:pgSz w:w="11906" w:h="16838"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BE0D6F" w16cid:durableId="2055FB23"/>
  <w16cid:commentId w16cid:paraId="5A2F35F1" w16cid:durableId="2055FB24"/>
  <w16cid:commentId w16cid:paraId="2CF6F54E" w16cid:durableId="2055FB57"/>
  <w16cid:commentId w16cid:paraId="64C77426" w16cid:durableId="2055FB25"/>
  <w16cid:commentId w16cid:paraId="33FEDF63" w16cid:durableId="2055FB26"/>
  <w16cid:commentId w16cid:paraId="4939789B" w16cid:durableId="2055FB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AE986" w14:textId="77777777" w:rsidR="001A4842" w:rsidRDefault="001A4842" w:rsidP="002A202F">
      <w:r>
        <w:separator/>
      </w:r>
    </w:p>
  </w:endnote>
  <w:endnote w:type="continuationSeparator" w:id="0">
    <w:p w14:paraId="76B8FD9A" w14:textId="77777777" w:rsidR="001A4842" w:rsidRDefault="001A484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5A8784B" w:rsidR="002A202F" w:rsidRDefault="002A202F">
        <w:pPr>
          <w:pStyle w:val="Footer"/>
          <w:jc w:val="right"/>
        </w:pPr>
        <w:r>
          <w:fldChar w:fldCharType="begin"/>
        </w:r>
        <w:r>
          <w:instrText xml:space="preserve"> PAGE   \* MERGEFORMAT </w:instrText>
        </w:r>
        <w:r>
          <w:fldChar w:fldCharType="separate"/>
        </w:r>
        <w:r w:rsidR="004C2A7A">
          <w:rPr>
            <w:noProof/>
          </w:rPr>
          <w:t>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92AF7" w14:textId="77777777" w:rsidR="001A4842" w:rsidRDefault="001A4842" w:rsidP="002A202F">
      <w:r>
        <w:separator/>
      </w:r>
    </w:p>
  </w:footnote>
  <w:footnote w:type="continuationSeparator" w:id="0">
    <w:p w14:paraId="56CE4CD8" w14:textId="77777777" w:rsidR="001A4842" w:rsidRDefault="001A4842"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B0328"/>
    <w:multiLevelType w:val="hybridMultilevel"/>
    <w:tmpl w:val="98D6AE74"/>
    <w:lvl w:ilvl="0" w:tplc="241A0011">
      <w:start w:val="1"/>
      <w:numFmt w:val="decimal"/>
      <w:lvlText w:val="%1)"/>
      <w:lvlJc w:val="left"/>
      <w:pPr>
        <w:ind w:left="720" w:hanging="360"/>
      </w:pPr>
      <w:rPr>
        <w:rFonts w:hint="default"/>
        <w:b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2592FB2"/>
    <w:multiLevelType w:val="hybridMultilevel"/>
    <w:tmpl w:val="173464A4"/>
    <w:lvl w:ilvl="0" w:tplc="4AB43B8C">
      <w:start w:val="1"/>
      <w:numFmt w:val="bullet"/>
      <w:lvlText w:val=""/>
      <w:lvlJc w:val="left"/>
      <w:pPr>
        <w:ind w:left="720" w:hanging="360"/>
      </w:pPr>
      <w:rPr>
        <w:rFonts w:ascii="Symbol" w:hAnsi="Symbol" w:hint="default"/>
      </w:rPr>
    </w:lvl>
    <w:lvl w:ilvl="1" w:tplc="C6C2899A">
      <w:start w:val="1"/>
      <w:numFmt w:val="bullet"/>
      <w:lvlText w:val="o"/>
      <w:lvlJc w:val="left"/>
      <w:pPr>
        <w:ind w:left="1440" w:hanging="360"/>
      </w:pPr>
      <w:rPr>
        <w:rFonts w:ascii="Courier New" w:hAnsi="Courier New" w:hint="default"/>
      </w:rPr>
    </w:lvl>
    <w:lvl w:ilvl="2" w:tplc="581CA88A">
      <w:start w:val="1"/>
      <w:numFmt w:val="bullet"/>
      <w:lvlText w:val=""/>
      <w:lvlJc w:val="left"/>
      <w:pPr>
        <w:ind w:left="2160" w:hanging="360"/>
      </w:pPr>
      <w:rPr>
        <w:rFonts w:ascii="Wingdings" w:hAnsi="Wingdings" w:hint="default"/>
      </w:rPr>
    </w:lvl>
    <w:lvl w:ilvl="3" w:tplc="242883F2">
      <w:start w:val="1"/>
      <w:numFmt w:val="bullet"/>
      <w:lvlText w:val=""/>
      <w:lvlJc w:val="left"/>
      <w:pPr>
        <w:ind w:left="2880" w:hanging="360"/>
      </w:pPr>
      <w:rPr>
        <w:rFonts w:ascii="Symbol" w:hAnsi="Symbol" w:hint="default"/>
      </w:rPr>
    </w:lvl>
    <w:lvl w:ilvl="4" w:tplc="3F5C0430">
      <w:start w:val="1"/>
      <w:numFmt w:val="bullet"/>
      <w:lvlText w:val="o"/>
      <w:lvlJc w:val="left"/>
      <w:pPr>
        <w:ind w:left="3600" w:hanging="360"/>
      </w:pPr>
      <w:rPr>
        <w:rFonts w:ascii="Courier New" w:hAnsi="Courier New" w:hint="default"/>
      </w:rPr>
    </w:lvl>
    <w:lvl w:ilvl="5" w:tplc="285A835E">
      <w:start w:val="1"/>
      <w:numFmt w:val="bullet"/>
      <w:lvlText w:val=""/>
      <w:lvlJc w:val="left"/>
      <w:pPr>
        <w:ind w:left="4320" w:hanging="360"/>
      </w:pPr>
      <w:rPr>
        <w:rFonts w:ascii="Wingdings" w:hAnsi="Wingdings" w:hint="default"/>
      </w:rPr>
    </w:lvl>
    <w:lvl w:ilvl="6" w:tplc="55E466A0">
      <w:start w:val="1"/>
      <w:numFmt w:val="bullet"/>
      <w:lvlText w:val=""/>
      <w:lvlJc w:val="left"/>
      <w:pPr>
        <w:ind w:left="5040" w:hanging="360"/>
      </w:pPr>
      <w:rPr>
        <w:rFonts w:ascii="Symbol" w:hAnsi="Symbol" w:hint="default"/>
      </w:rPr>
    </w:lvl>
    <w:lvl w:ilvl="7" w:tplc="5D74A714">
      <w:start w:val="1"/>
      <w:numFmt w:val="bullet"/>
      <w:lvlText w:val="o"/>
      <w:lvlJc w:val="left"/>
      <w:pPr>
        <w:ind w:left="5760" w:hanging="360"/>
      </w:pPr>
      <w:rPr>
        <w:rFonts w:ascii="Courier New" w:hAnsi="Courier New" w:hint="default"/>
      </w:rPr>
    </w:lvl>
    <w:lvl w:ilvl="8" w:tplc="229E4CDE">
      <w:start w:val="1"/>
      <w:numFmt w:val="bullet"/>
      <w:lvlText w:val=""/>
      <w:lvlJc w:val="left"/>
      <w:pPr>
        <w:ind w:left="6480" w:hanging="360"/>
      </w:pPr>
      <w:rPr>
        <w:rFonts w:ascii="Wingdings" w:hAnsi="Wingdings" w:hint="default"/>
      </w:r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70B6200"/>
    <w:multiLevelType w:val="hybridMultilevel"/>
    <w:tmpl w:val="B0320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491E75"/>
    <w:multiLevelType w:val="hybridMultilevel"/>
    <w:tmpl w:val="8EC8370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AA76461"/>
    <w:multiLevelType w:val="hybridMultilevel"/>
    <w:tmpl w:val="9398A632"/>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start w:val="1"/>
      <w:numFmt w:val="bullet"/>
      <w:lvlText w:val="o"/>
      <w:lvlJc w:val="left"/>
      <w:pPr>
        <w:ind w:left="1819" w:hanging="360"/>
      </w:pPr>
      <w:rPr>
        <w:rFonts w:ascii="Courier New" w:hAnsi="Courier New" w:cs="Courier New" w:hint="default"/>
      </w:rPr>
    </w:lvl>
    <w:lvl w:ilvl="2" w:tplc="04090005">
      <w:start w:val="1"/>
      <w:numFmt w:val="bullet"/>
      <w:lvlText w:val=""/>
      <w:lvlJc w:val="left"/>
      <w:pPr>
        <w:ind w:left="2539" w:hanging="360"/>
      </w:pPr>
      <w:rPr>
        <w:rFonts w:ascii="Wingdings" w:hAnsi="Wingdings" w:hint="default"/>
      </w:rPr>
    </w:lvl>
    <w:lvl w:ilvl="3" w:tplc="04090001">
      <w:start w:val="1"/>
      <w:numFmt w:val="bullet"/>
      <w:lvlText w:val=""/>
      <w:lvlJc w:val="left"/>
      <w:pPr>
        <w:ind w:left="3259" w:hanging="360"/>
      </w:pPr>
      <w:rPr>
        <w:rFonts w:ascii="Symbol" w:hAnsi="Symbol" w:hint="default"/>
      </w:rPr>
    </w:lvl>
    <w:lvl w:ilvl="4" w:tplc="04090003">
      <w:start w:val="1"/>
      <w:numFmt w:val="bullet"/>
      <w:lvlText w:val="o"/>
      <w:lvlJc w:val="left"/>
      <w:pPr>
        <w:ind w:left="3979" w:hanging="360"/>
      </w:pPr>
      <w:rPr>
        <w:rFonts w:ascii="Courier New" w:hAnsi="Courier New" w:cs="Courier New" w:hint="default"/>
      </w:rPr>
    </w:lvl>
    <w:lvl w:ilvl="5" w:tplc="04090005">
      <w:start w:val="1"/>
      <w:numFmt w:val="bullet"/>
      <w:lvlText w:val=""/>
      <w:lvlJc w:val="left"/>
      <w:pPr>
        <w:ind w:left="4699" w:hanging="360"/>
      </w:pPr>
      <w:rPr>
        <w:rFonts w:ascii="Wingdings" w:hAnsi="Wingdings" w:hint="default"/>
      </w:rPr>
    </w:lvl>
    <w:lvl w:ilvl="6" w:tplc="04090001">
      <w:start w:val="1"/>
      <w:numFmt w:val="bullet"/>
      <w:lvlText w:val=""/>
      <w:lvlJc w:val="left"/>
      <w:pPr>
        <w:ind w:left="5419" w:hanging="360"/>
      </w:pPr>
      <w:rPr>
        <w:rFonts w:ascii="Symbol" w:hAnsi="Symbol" w:hint="default"/>
      </w:rPr>
    </w:lvl>
    <w:lvl w:ilvl="7" w:tplc="04090003">
      <w:start w:val="1"/>
      <w:numFmt w:val="bullet"/>
      <w:lvlText w:val="o"/>
      <w:lvlJc w:val="left"/>
      <w:pPr>
        <w:ind w:left="6139" w:hanging="360"/>
      </w:pPr>
      <w:rPr>
        <w:rFonts w:ascii="Courier New" w:hAnsi="Courier New" w:cs="Courier New" w:hint="default"/>
      </w:rPr>
    </w:lvl>
    <w:lvl w:ilvl="8" w:tplc="04090005">
      <w:start w:val="1"/>
      <w:numFmt w:val="bullet"/>
      <w:lvlText w:val=""/>
      <w:lvlJc w:val="left"/>
      <w:pPr>
        <w:ind w:left="6859" w:hanging="360"/>
      </w:pPr>
      <w:rPr>
        <w:rFonts w:ascii="Wingdings" w:hAnsi="Wingdings" w:hint="default"/>
      </w:rPr>
    </w:lvl>
  </w:abstractNum>
  <w:abstractNum w:abstractNumId="14" w15:restartNumberingAfterBreak="0">
    <w:nsid w:val="43BA79E5"/>
    <w:multiLevelType w:val="hybridMultilevel"/>
    <w:tmpl w:val="0CE86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multilevel"/>
    <w:tmpl w:val="D7208AA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65A93"/>
    <w:multiLevelType w:val="hybridMultilevel"/>
    <w:tmpl w:val="E968C69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74F77444"/>
    <w:multiLevelType w:val="hybridMultilevel"/>
    <w:tmpl w:val="663C6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8"/>
  </w:num>
  <w:num w:numId="5">
    <w:abstractNumId w:val="4"/>
  </w:num>
  <w:num w:numId="6">
    <w:abstractNumId w:val="2"/>
  </w:num>
  <w:num w:numId="7">
    <w:abstractNumId w:val="17"/>
  </w:num>
  <w:num w:numId="8">
    <w:abstractNumId w:val="30"/>
  </w:num>
  <w:num w:numId="9">
    <w:abstractNumId w:val="15"/>
  </w:num>
  <w:num w:numId="10">
    <w:abstractNumId w:val="27"/>
  </w:num>
  <w:num w:numId="11">
    <w:abstractNumId w:val="24"/>
  </w:num>
  <w:num w:numId="12">
    <w:abstractNumId w:val="23"/>
  </w:num>
  <w:num w:numId="13">
    <w:abstractNumId w:val="22"/>
  </w:num>
  <w:num w:numId="14">
    <w:abstractNumId w:val="19"/>
  </w:num>
  <w:num w:numId="15">
    <w:abstractNumId w:val="25"/>
  </w:num>
  <w:num w:numId="16">
    <w:abstractNumId w:val="21"/>
  </w:num>
  <w:num w:numId="17">
    <w:abstractNumId w:val="16"/>
  </w:num>
  <w:num w:numId="18">
    <w:abstractNumId w:val="12"/>
  </w:num>
  <w:num w:numId="19">
    <w:abstractNumId w:val="29"/>
  </w:num>
  <w:num w:numId="20">
    <w:abstractNumId w:val="5"/>
  </w:num>
  <w:num w:numId="21">
    <w:abstractNumId w:val="31"/>
  </w:num>
  <w:num w:numId="22">
    <w:abstractNumId w:val="6"/>
  </w:num>
  <w:num w:numId="23">
    <w:abstractNumId w:val="3"/>
  </w:num>
  <w:num w:numId="24">
    <w:abstractNumId w:val="20"/>
  </w:num>
  <w:num w:numId="25">
    <w:abstractNumId w:val="0"/>
  </w:num>
  <w:num w:numId="26">
    <w:abstractNumId w:val="28"/>
  </w:num>
  <w:num w:numId="27">
    <w:abstractNumId w:val="1"/>
  </w:num>
  <w:num w:numId="28">
    <w:abstractNumId w:val="26"/>
  </w:num>
  <w:num w:numId="29">
    <w:abstractNumId w:val="9"/>
  </w:num>
  <w:num w:numId="30">
    <w:abstractNumId w:val="11"/>
  </w:num>
  <w:num w:numId="31">
    <w:abstractNumId w:val="10"/>
  </w:num>
  <w:num w:numId="32">
    <w:abstractNumId w:val="1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0135"/>
    <w:rsid w:val="00002164"/>
    <w:rsid w:val="000050B3"/>
    <w:rsid w:val="0001445B"/>
    <w:rsid w:val="00023EF9"/>
    <w:rsid w:val="00026C2F"/>
    <w:rsid w:val="00027945"/>
    <w:rsid w:val="000301A4"/>
    <w:rsid w:val="00036812"/>
    <w:rsid w:val="00042066"/>
    <w:rsid w:val="00043E4F"/>
    <w:rsid w:val="00044F35"/>
    <w:rsid w:val="00044F63"/>
    <w:rsid w:val="00050616"/>
    <w:rsid w:val="00056D2F"/>
    <w:rsid w:val="00061070"/>
    <w:rsid w:val="00083993"/>
    <w:rsid w:val="0008408B"/>
    <w:rsid w:val="00091318"/>
    <w:rsid w:val="00092B84"/>
    <w:rsid w:val="0009542A"/>
    <w:rsid w:val="000A34B4"/>
    <w:rsid w:val="000A53F3"/>
    <w:rsid w:val="000A5CDC"/>
    <w:rsid w:val="000B54D7"/>
    <w:rsid w:val="000D5029"/>
    <w:rsid w:val="000E2036"/>
    <w:rsid w:val="000F5E72"/>
    <w:rsid w:val="000F6024"/>
    <w:rsid w:val="00107429"/>
    <w:rsid w:val="001156BA"/>
    <w:rsid w:val="00121A06"/>
    <w:rsid w:val="00132645"/>
    <w:rsid w:val="0015182D"/>
    <w:rsid w:val="00161847"/>
    <w:rsid w:val="00166738"/>
    <w:rsid w:val="001706E8"/>
    <w:rsid w:val="00170CA7"/>
    <w:rsid w:val="001711C5"/>
    <w:rsid w:val="00176ADF"/>
    <w:rsid w:val="0018494C"/>
    <w:rsid w:val="00185000"/>
    <w:rsid w:val="001922CC"/>
    <w:rsid w:val="0019793A"/>
    <w:rsid w:val="001A023F"/>
    <w:rsid w:val="001A3FAC"/>
    <w:rsid w:val="001A4842"/>
    <w:rsid w:val="001A6472"/>
    <w:rsid w:val="001C5538"/>
    <w:rsid w:val="001C65D0"/>
    <w:rsid w:val="001D0EDE"/>
    <w:rsid w:val="001D20E2"/>
    <w:rsid w:val="001E2341"/>
    <w:rsid w:val="001E38DE"/>
    <w:rsid w:val="001F7B31"/>
    <w:rsid w:val="002002A0"/>
    <w:rsid w:val="0020601F"/>
    <w:rsid w:val="00212DA5"/>
    <w:rsid w:val="0021347C"/>
    <w:rsid w:val="00223007"/>
    <w:rsid w:val="002323AC"/>
    <w:rsid w:val="00261404"/>
    <w:rsid w:val="0027426E"/>
    <w:rsid w:val="00275E2A"/>
    <w:rsid w:val="00276BA3"/>
    <w:rsid w:val="00296938"/>
    <w:rsid w:val="002A202F"/>
    <w:rsid w:val="002A78CB"/>
    <w:rsid w:val="002B19B4"/>
    <w:rsid w:val="002D5B2E"/>
    <w:rsid w:val="002E0465"/>
    <w:rsid w:val="002E0B81"/>
    <w:rsid w:val="002E3288"/>
    <w:rsid w:val="002E3EA2"/>
    <w:rsid w:val="002E6DF4"/>
    <w:rsid w:val="002F1BEC"/>
    <w:rsid w:val="002F4757"/>
    <w:rsid w:val="00322199"/>
    <w:rsid w:val="003223C7"/>
    <w:rsid w:val="00324FA3"/>
    <w:rsid w:val="00326555"/>
    <w:rsid w:val="00334EE6"/>
    <w:rsid w:val="003410E0"/>
    <w:rsid w:val="00350EAD"/>
    <w:rsid w:val="00355162"/>
    <w:rsid w:val="003651DB"/>
    <w:rsid w:val="00366054"/>
    <w:rsid w:val="003715A0"/>
    <w:rsid w:val="0037171F"/>
    <w:rsid w:val="00376FD1"/>
    <w:rsid w:val="0039002C"/>
    <w:rsid w:val="003B330B"/>
    <w:rsid w:val="003B44DB"/>
    <w:rsid w:val="003B4BC9"/>
    <w:rsid w:val="003B6298"/>
    <w:rsid w:val="003C0CB5"/>
    <w:rsid w:val="003C5B0A"/>
    <w:rsid w:val="003E2EB1"/>
    <w:rsid w:val="003E3C16"/>
    <w:rsid w:val="003F2FBB"/>
    <w:rsid w:val="0040616A"/>
    <w:rsid w:val="00407D96"/>
    <w:rsid w:val="00427080"/>
    <w:rsid w:val="00432495"/>
    <w:rsid w:val="00441D33"/>
    <w:rsid w:val="00444DA7"/>
    <w:rsid w:val="004545C4"/>
    <w:rsid w:val="00457882"/>
    <w:rsid w:val="00463CC7"/>
    <w:rsid w:val="004809C4"/>
    <w:rsid w:val="0048433C"/>
    <w:rsid w:val="004847B1"/>
    <w:rsid w:val="0049545B"/>
    <w:rsid w:val="004A2D78"/>
    <w:rsid w:val="004B7BB2"/>
    <w:rsid w:val="004C2A7A"/>
    <w:rsid w:val="004D3BD0"/>
    <w:rsid w:val="004D45B1"/>
    <w:rsid w:val="004D68A7"/>
    <w:rsid w:val="004E29D1"/>
    <w:rsid w:val="004F5C2F"/>
    <w:rsid w:val="00500566"/>
    <w:rsid w:val="005073A3"/>
    <w:rsid w:val="00523608"/>
    <w:rsid w:val="00525C0A"/>
    <w:rsid w:val="00535608"/>
    <w:rsid w:val="00535E59"/>
    <w:rsid w:val="00556688"/>
    <w:rsid w:val="0056162B"/>
    <w:rsid w:val="0056707B"/>
    <w:rsid w:val="00581A9D"/>
    <w:rsid w:val="005A15BB"/>
    <w:rsid w:val="005A2503"/>
    <w:rsid w:val="005B4F04"/>
    <w:rsid w:val="005B7CB9"/>
    <w:rsid w:val="005C514A"/>
    <w:rsid w:val="005C7474"/>
    <w:rsid w:val="005D0023"/>
    <w:rsid w:val="005D3BD8"/>
    <w:rsid w:val="005E21C4"/>
    <w:rsid w:val="005F0F4A"/>
    <w:rsid w:val="005F4D59"/>
    <w:rsid w:val="0060001C"/>
    <w:rsid w:val="00600D31"/>
    <w:rsid w:val="0060786A"/>
    <w:rsid w:val="006237FE"/>
    <w:rsid w:val="00627AF7"/>
    <w:rsid w:val="00632540"/>
    <w:rsid w:val="00633F73"/>
    <w:rsid w:val="00645199"/>
    <w:rsid w:val="00645850"/>
    <w:rsid w:val="00646446"/>
    <w:rsid w:val="00661ECF"/>
    <w:rsid w:val="00692071"/>
    <w:rsid w:val="00694B28"/>
    <w:rsid w:val="006B6ECA"/>
    <w:rsid w:val="006C5349"/>
    <w:rsid w:val="006C5F2A"/>
    <w:rsid w:val="006C662C"/>
    <w:rsid w:val="006F3A14"/>
    <w:rsid w:val="006F4A5C"/>
    <w:rsid w:val="00715F5C"/>
    <w:rsid w:val="00716640"/>
    <w:rsid w:val="007278C1"/>
    <w:rsid w:val="00733493"/>
    <w:rsid w:val="00737F1D"/>
    <w:rsid w:val="007500AB"/>
    <w:rsid w:val="00766097"/>
    <w:rsid w:val="00766FA8"/>
    <w:rsid w:val="007751D1"/>
    <w:rsid w:val="00782816"/>
    <w:rsid w:val="00785A46"/>
    <w:rsid w:val="007861E3"/>
    <w:rsid w:val="007940D6"/>
    <w:rsid w:val="007A253F"/>
    <w:rsid w:val="007B00F0"/>
    <w:rsid w:val="007B1740"/>
    <w:rsid w:val="007C61B5"/>
    <w:rsid w:val="007D3889"/>
    <w:rsid w:val="007D39E4"/>
    <w:rsid w:val="007D43A7"/>
    <w:rsid w:val="007E12E0"/>
    <w:rsid w:val="007E1695"/>
    <w:rsid w:val="007E5E83"/>
    <w:rsid w:val="007F204C"/>
    <w:rsid w:val="00804060"/>
    <w:rsid w:val="0080485D"/>
    <w:rsid w:val="0081557F"/>
    <w:rsid w:val="008166C9"/>
    <w:rsid w:val="00824E43"/>
    <w:rsid w:val="00833D8C"/>
    <w:rsid w:val="008342C9"/>
    <w:rsid w:val="00834C9A"/>
    <w:rsid w:val="0084708C"/>
    <w:rsid w:val="00850AD5"/>
    <w:rsid w:val="00852739"/>
    <w:rsid w:val="008629CC"/>
    <w:rsid w:val="00863D9A"/>
    <w:rsid w:val="00865EBB"/>
    <w:rsid w:val="00873676"/>
    <w:rsid w:val="008800EF"/>
    <w:rsid w:val="0088221A"/>
    <w:rsid w:val="00886C36"/>
    <w:rsid w:val="008A6AC8"/>
    <w:rsid w:val="008C042C"/>
    <w:rsid w:val="008C5591"/>
    <w:rsid w:val="008D04A6"/>
    <w:rsid w:val="008D4C1A"/>
    <w:rsid w:val="008D6DDE"/>
    <w:rsid w:val="008F0867"/>
    <w:rsid w:val="008F172F"/>
    <w:rsid w:val="008F2044"/>
    <w:rsid w:val="008F2BE1"/>
    <w:rsid w:val="008F4DD1"/>
    <w:rsid w:val="009056DB"/>
    <w:rsid w:val="0090614E"/>
    <w:rsid w:val="00945E04"/>
    <w:rsid w:val="00947592"/>
    <w:rsid w:val="00950280"/>
    <w:rsid w:val="00954DA7"/>
    <w:rsid w:val="00964F06"/>
    <w:rsid w:val="00965192"/>
    <w:rsid w:val="00966AE7"/>
    <w:rsid w:val="00984ABF"/>
    <w:rsid w:val="00991A18"/>
    <w:rsid w:val="00994A16"/>
    <w:rsid w:val="009A096A"/>
    <w:rsid w:val="009A30D3"/>
    <w:rsid w:val="009D03A7"/>
    <w:rsid w:val="009E0479"/>
    <w:rsid w:val="009E569B"/>
    <w:rsid w:val="009E7912"/>
    <w:rsid w:val="009F320E"/>
    <w:rsid w:val="00A0102E"/>
    <w:rsid w:val="00A12960"/>
    <w:rsid w:val="00A1570D"/>
    <w:rsid w:val="00A22386"/>
    <w:rsid w:val="00A50645"/>
    <w:rsid w:val="00A53936"/>
    <w:rsid w:val="00A56B75"/>
    <w:rsid w:val="00A61262"/>
    <w:rsid w:val="00A71C04"/>
    <w:rsid w:val="00AA0017"/>
    <w:rsid w:val="00AA4BC5"/>
    <w:rsid w:val="00AA5F8A"/>
    <w:rsid w:val="00AA6E51"/>
    <w:rsid w:val="00AB09B3"/>
    <w:rsid w:val="00AC02D1"/>
    <w:rsid w:val="00AC2FD2"/>
    <w:rsid w:val="00B06019"/>
    <w:rsid w:val="00B07409"/>
    <w:rsid w:val="00B1006E"/>
    <w:rsid w:val="00B14EDC"/>
    <w:rsid w:val="00B178FB"/>
    <w:rsid w:val="00B24873"/>
    <w:rsid w:val="00B277E3"/>
    <w:rsid w:val="00B5252A"/>
    <w:rsid w:val="00B548DA"/>
    <w:rsid w:val="00B60282"/>
    <w:rsid w:val="00B62369"/>
    <w:rsid w:val="00B63DB1"/>
    <w:rsid w:val="00B66B5C"/>
    <w:rsid w:val="00B67138"/>
    <w:rsid w:val="00B6715C"/>
    <w:rsid w:val="00B81CFE"/>
    <w:rsid w:val="00B903AE"/>
    <w:rsid w:val="00B9157F"/>
    <w:rsid w:val="00B95225"/>
    <w:rsid w:val="00BA5252"/>
    <w:rsid w:val="00BA55D3"/>
    <w:rsid w:val="00BA6759"/>
    <w:rsid w:val="00BA7204"/>
    <w:rsid w:val="00BB39DA"/>
    <w:rsid w:val="00BC6826"/>
    <w:rsid w:val="00BE22D5"/>
    <w:rsid w:val="00BE5283"/>
    <w:rsid w:val="00BE71D8"/>
    <w:rsid w:val="00BF0BCD"/>
    <w:rsid w:val="00C0295C"/>
    <w:rsid w:val="00C03C06"/>
    <w:rsid w:val="00C121EC"/>
    <w:rsid w:val="00C12C65"/>
    <w:rsid w:val="00C4081A"/>
    <w:rsid w:val="00C445E2"/>
    <w:rsid w:val="00C6088B"/>
    <w:rsid w:val="00C70F1B"/>
    <w:rsid w:val="00C71247"/>
    <w:rsid w:val="00C7129D"/>
    <w:rsid w:val="00C748D1"/>
    <w:rsid w:val="00C77497"/>
    <w:rsid w:val="00C848B9"/>
    <w:rsid w:val="00C91014"/>
    <w:rsid w:val="00CA1CE9"/>
    <w:rsid w:val="00CA4D6E"/>
    <w:rsid w:val="00CB0C39"/>
    <w:rsid w:val="00CB1A4E"/>
    <w:rsid w:val="00CC29F6"/>
    <w:rsid w:val="00CD006E"/>
    <w:rsid w:val="00CD2287"/>
    <w:rsid w:val="00CD5BBB"/>
    <w:rsid w:val="00CE0685"/>
    <w:rsid w:val="00D23F62"/>
    <w:rsid w:val="00D32881"/>
    <w:rsid w:val="00D37EA5"/>
    <w:rsid w:val="00D73628"/>
    <w:rsid w:val="00D73918"/>
    <w:rsid w:val="00D967D7"/>
    <w:rsid w:val="00DA125D"/>
    <w:rsid w:val="00DB11D0"/>
    <w:rsid w:val="00DB19B9"/>
    <w:rsid w:val="00DB2AD8"/>
    <w:rsid w:val="00DB5431"/>
    <w:rsid w:val="00DC4BC2"/>
    <w:rsid w:val="00DE057D"/>
    <w:rsid w:val="00DF447D"/>
    <w:rsid w:val="00E0020F"/>
    <w:rsid w:val="00E118C7"/>
    <w:rsid w:val="00E1427B"/>
    <w:rsid w:val="00E14E0D"/>
    <w:rsid w:val="00E22B8B"/>
    <w:rsid w:val="00E317D1"/>
    <w:rsid w:val="00E40DF0"/>
    <w:rsid w:val="00E4267B"/>
    <w:rsid w:val="00E47DAC"/>
    <w:rsid w:val="00E55332"/>
    <w:rsid w:val="00E63C8A"/>
    <w:rsid w:val="00E70BF6"/>
    <w:rsid w:val="00E841BF"/>
    <w:rsid w:val="00EF75E9"/>
    <w:rsid w:val="00F11C98"/>
    <w:rsid w:val="00F1200F"/>
    <w:rsid w:val="00F12E47"/>
    <w:rsid w:val="00F223B2"/>
    <w:rsid w:val="00F52699"/>
    <w:rsid w:val="00F53241"/>
    <w:rsid w:val="00F56F94"/>
    <w:rsid w:val="00F61C47"/>
    <w:rsid w:val="00F67790"/>
    <w:rsid w:val="00F77F6F"/>
    <w:rsid w:val="00F86D2D"/>
    <w:rsid w:val="00FA2449"/>
    <w:rsid w:val="00FB1A1B"/>
    <w:rsid w:val="00FB645B"/>
    <w:rsid w:val="00FB64CE"/>
    <w:rsid w:val="00FC09D6"/>
    <w:rsid w:val="00FC34EC"/>
    <w:rsid w:val="00FC3F69"/>
    <w:rsid w:val="00FC5312"/>
    <w:rsid w:val="00FD25A1"/>
    <w:rsid w:val="00FD31FE"/>
    <w:rsid w:val="00FD3964"/>
    <w:rsid w:val="00FF4DB4"/>
    <w:rsid w:val="00FF78E5"/>
    <w:rsid w:val="00FF7CF5"/>
    <w:rsid w:val="32E92756"/>
    <w:rsid w:val="47F96D84"/>
    <w:rsid w:val="48D010C7"/>
    <w:rsid w:val="4E4290F0"/>
    <w:rsid w:val="6B844AE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D34BACA-4668-4049-A02D-7D6DB46FE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1">
    <w:name w:val="heading 1"/>
    <w:basedOn w:val="Normal"/>
    <w:link w:val="Heading1Char"/>
    <w:uiPriority w:val="9"/>
    <w:qFormat/>
    <w:rsid w:val="009E7912"/>
    <w:pPr>
      <w:spacing w:before="100" w:beforeAutospacing="1" w:after="100" w:afterAutospacing="1"/>
      <w:jc w:val="left"/>
      <w:outlineLvl w:val="0"/>
    </w:pPr>
    <w:rPr>
      <w:rFonts w:ascii="Times New Roman" w:eastAsia="Times New Roman" w:hAnsi="Times New Roman"/>
      <w:b/>
      <w:bCs/>
      <w:kern w:val="36"/>
      <w:sz w:val="48"/>
      <w:szCs w:val="48"/>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1Char">
    <w:name w:val="Heading 1 Char"/>
    <w:basedOn w:val="DefaultParagraphFont"/>
    <w:link w:val="Heading1"/>
    <w:uiPriority w:val="9"/>
    <w:rsid w:val="009E7912"/>
    <w:rPr>
      <w:rFonts w:ascii="Times New Roman" w:eastAsia="Times New Roman" w:hAnsi="Times New Roman" w:cs="Times New Roman"/>
      <w:b/>
      <w:bCs/>
      <w:kern w:val="36"/>
      <w:sz w:val="48"/>
      <w:szCs w:val="48"/>
      <w:lang w:eastAsia="sr-Latn-RS"/>
    </w:rPr>
  </w:style>
  <w:style w:type="character" w:customStyle="1" w:styleId="naslovpropisa1">
    <w:name w:val="naslovpropisa1"/>
    <w:basedOn w:val="DefaultParagraphFont"/>
    <w:rsid w:val="009E7912"/>
  </w:style>
  <w:style w:type="character" w:customStyle="1" w:styleId="naslovpropisa1a">
    <w:name w:val="naslovpropisa1a"/>
    <w:basedOn w:val="DefaultParagraphFont"/>
    <w:rsid w:val="009E7912"/>
  </w:style>
  <w:style w:type="paragraph" w:customStyle="1" w:styleId="podnaslovpropisa">
    <w:name w:val="podnaslovpropisa"/>
    <w:basedOn w:val="Normal"/>
    <w:rsid w:val="009E7912"/>
    <w:pPr>
      <w:spacing w:before="100" w:beforeAutospacing="1" w:after="100" w:afterAutospacing="1"/>
      <w:jc w:val="left"/>
    </w:pPr>
    <w:rPr>
      <w:rFonts w:ascii="Times New Roman" w:eastAsia="Times New Roman" w:hAnsi="Times New Roman"/>
      <w:sz w:val="24"/>
      <w:szCs w:val="24"/>
      <w:lang w:val="sr-Latn-RS" w:eastAsia="sr-Latn-RS"/>
    </w:rPr>
  </w:style>
  <w:style w:type="paragraph" w:styleId="Revision">
    <w:name w:val="Revision"/>
    <w:hidden/>
    <w:uiPriority w:val="99"/>
    <w:semiHidden/>
    <w:rsid w:val="008D6DDE"/>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67095637">
      <w:bodyDiv w:val="1"/>
      <w:marLeft w:val="0"/>
      <w:marRight w:val="0"/>
      <w:marTop w:val="0"/>
      <w:marBottom w:val="0"/>
      <w:divBdr>
        <w:top w:val="none" w:sz="0" w:space="0" w:color="auto"/>
        <w:left w:val="none" w:sz="0" w:space="0" w:color="auto"/>
        <w:bottom w:val="none" w:sz="0" w:space="0" w:color="auto"/>
        <w:right w:val="none" w:sz="0" w:space="0" w:color="auto"/>
      </w:divBdr>
    </w:div>
    <w:div w:id="711999907">
      <w:bodyDiv w:val="1"/>
      <w:marLeft w:val="0"/>
      <w:marRight w:val="0"/>
      <w:marTop w:val="0"/>
      <w:marBottom w:val="0"/>
      <w:divBdr>
        <w:top w:val="none" w:sz="0" w:space="0" w:color="auto"/>
        <w:left w:val="none" w:sz="0" w:space="0" w:color="auto"/>
        <w:bottom w:val="none" w:sz="0" w:space="0" w:color="auto"/>
        <w:right w:val="none" w:sz="0" w:space="0" w:color="auto"/>
      </w:divBdr>
    </w:div>
    <w:div w:id="1293250771">
      <w:bodyDiv w:val="1"/>
      <w:marLeft w:val="0"/>
      <w:marRight w:val="0"/>
      <w:marTop w:val="0"/>
      <w:marBottom w:val="0"/>
      <w:divBdr>
        <w:top w:val="none" w:sz="0" w:space="0" w:color="auto"/>
        <w:left w:val="none" w:sz="0" w:space="0" w:color="auto"/>
        <w:bottom w:val="none" w:sz="0" w:space="0" w:color="auto"/>
        <w:right w:val="none" w:sz="0" w:space="0" w:color="auto"/>
      </w:divBdr>
      <w:divsChild>
        <w:div w:id="398752632">
          <w:marLeft w:val="0"/>
          <w:marRight w:val="0"/>
          <w:marTop w:val="0"/>
          <w:marBottom w:val="0"/>
          <w:divBdr>
            <w:top w:val="none" w:sz="0" w:space="0" w:color="auto"/>
            <w:left w:val="none" w:sz="0" w:space="0" w:color="auto"/>
            <w:bottom w:val="none" w:sz="0" w:space="0" w:color="auto"/>
            <w:right w:val="none" w:sz="0" w:space="0" w:color="auto"/>
          </w:divBdr>
        </w:div>
        <w:div w:id="1401291983">
          <w:marLeft w:val="0"/>
          <w:marRight w:val="0"/>
          <w:marTop w:val="0"/>
          <w:marBottom w:val="0"/>
          <w:divBdr>
            <w:top w:val="none" w:sz="0" w:space="0" w:color="auto"/>
            <w:left w:val="none" w:sz="0" w:space="0" w:color="auto"/>
            <w:bottom w:val="none" w:sz="0" w:space="0" w:color="auto"/>
            <w:right w:val="none" w:sz="0" w:space="0" w:color="auto"/>
          </w:divBdr>
        </w:div>
        <w:div w:id="229536627">
          <w:marLeft w:val="0"/>
          <w:marRight w:val="0"/>
          <w:marTop w:val="0"/>
          <w:marBottom w:val="0"/>
          <w:divBdr>
            <w:top w:val="none" w:sz="0" w:space="0" w:color="auto"/>
            <w:left w:val="none" w:sz="0" w:space="0" w:color="auto"/>
            <w:bottom w:val="none" w:sz="0" w:space="0" w:color="auto"/>
            <w:right w:val="none" w:sz="0" w:space="0" w:color="auto"/>
          </w:divBdr>
        </w:div>
        <w:div w:id="541401439">
          <w:marLeft w:val="0"/>
          <w:marRight w:val="0"/>
          <w:marTop w:val="0"/>
          <w:marBottom w:val="0"/>
          <w:divBdr>
            <w:top w:val="none" w:sz="0" w:space="0" w:color="auto"/>
            <w:left w:val="none" w:sz="0" w:space="0" w:color="auto"/>
            <w:bottom w:val="none" w:sz="0" w:space="0" w:color="auto"/>
            <w:right w:val="none" w:sz="0" w:space="0" w:color="auto"/>
          </w:divBdr>
        </w:div>
      </w:divsChild>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38406980">
      <w:bodyDiv w:val="1"/>
      <w:marLeft w:val="0"/>
      <w:marRight w:val="0"/>
      <w:marTop w:val="0"/>
      <w:marBottom w:val="0"/>
      <w:divBdr>
        <w:top w:val="none" w:sz="0" w:space="0" w:color="auto"/>
        <w:left w:val="none" w:sz="0" w:space="0" w:color="auto"/>
        <w:bottom w:val="none" w:sz="0" w:space="0" w:color="auto"/>
        <w:right w:val="none" w:sz="0" w:space="0" w:color="auto"/>
      </w:divBdr>
    </w:div>
    <w:div w:id="153368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89FDD-583A-404E-8DE2-44106151C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808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9</cp:revision>
  <cp:lastPrinted>2018-09-05T12:48:00Z</cp:lastPrinted>
  <dcterms:created xsi:type="dcterms:W3CDTF">2019-04-05T06:55:00Z</dcterms:created>
  <dcterms:modified xsi:type="dcterms:W3CDTF">2019-04-10T12:26:00Z</dcterms:modified>
</cp:coreProperties>
</file>