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2CDFC" w14:textId="3D94252E" w:rsidR="005B11C4" w:rsidRPr="00D91724" w:rsidRDefault="00FC03EC" w:rsidP="001F739C">
      <w:pPr>
        <w:jc w:val="center"/>
        <w:rPr>
          <w:rFonts w:ascii="Times New Roman" w:hAnsi="Times New Roman"/>
          <w:b/>
          <w:lang w:val="sr-Cyrl-RS"/>
        </w:rPr>
      </w:pPr>
      <w:bookmarkStart w:id="0" w:name="_GoBack"/>
      <w:bookmarkEnd w:id="0"/>
      <w:r w:rsidRPr="00D91724">
        <w:rPr>
          <w:rFonts w:ascii="Times New Roman" w:hAnsi="Times New Roman"/>
          <w:b/>
          <w:lang w:val="sr-Cyrl-RS"/>
        </w:rPr>
        <w:t>ПОЈЕДНОСТАВЉЕЊЕ ПОСТУПКА ПРОГЛАШЕЊА НАЦИОНАЛНОГ ЕТАЛОНА И ИМЕНОВАЊЕ НОСИОЦА НАЦИОНАЛНОГ ЕТАЛОНА</w:t>
      </w:r>
      <w:bookmarkStart w:id="1" w:name="_Hlk532652512"/>
      <w:bookmarkStart w:id="2" w:name="_Hlk532651780"/>
    </w:p>
    <w:tbl>
      <w:tblPr>
        <w:tblStyle w:val="TableGrid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91724" w14:paraId="1976FB87" w14:textId="77777777" w:rsidTr="0CEF4457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bookmarkEnd w:id="1"/>
          <w:bookmarkEnd w:id="2"/>
          <w:p w14:paraId="11F785D1" w14:textId="77777777" w:rsidR="000E2036" w:rsidRPr="00D91724" w:rsidRDefault="000E2036" w:rsidP="000E718E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9172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F5B6738" w:rsidR="000E2036" w:rsidRPr="00D91724" w:rsidRDefault="7E86B2DC" w:rsidP="7E86B2D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D91724">
              <w:rPr>
                <w:sz w:val="22"/>
                <w:szCs w:val="22"/>
                <w:lang w:val="sr-Cyrl-RS"/>
              </w:rPr>
              <w:t>Проглашење националног еталона и именовање носиоца националног еталона</w:t>
            </w:r>
            <w:r w:rsidRPr="00D91724">
              <w:rPr>
                <w:sz w:val="22"/>
                <w:szCs w:val="22"/>
                <w:lang w:val="sr-Latn-RS"/>
              </w:rPr>
              <w:t xml:space="preserve">    </w:t>
            </w:r>
            <w:r w:rsidRPr="00D91724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D91724" w14:paraId="7A6AA442" w14:textId="77777777" w:rsidTr="0CEF4457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91724" w:rsidRDefault="000E2036" w:rsidP="000E718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729B127" w:rsidR="000E2036" w:rsidRPr="00D91724" w:rsidRDefault="00DB5431" w:rsidP="000E718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D91724">
              <w:rPr>
                <w:sz w:val="22"/>
                <w:szCs w:val="22"/>
                <w:lang w:val="sr-Latn-RS"/>
              </w:rPr>
              <w:t>10.01.00</w:t>
            </w:r>
            <w:r w:rsidR="00863D9A" w:rsidRPr="00D91724">
              <w:rPr>
                <w:sz w:val="22"/>
                <w:szCs w:val="22"/>
                <w:lang w:val="sr-Latn-RS"/>
              </w:rPr>
              <w:t>0</w:t>
            </w:r>
            <w:r w:rsidR="00B548DA" w:rsidRPr="00D91724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850AD5" w:rsidRPr="00D91724" w14:paraId="2CEE52A6" w14:textId="77777777" w:rsidTr="0CEF4457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91724" w:rsidRDefault="00275E2A" w:rsidP="000E718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91724" w:rsidRDefault="00275E2A" w:rsidP="000E718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1223E85" w14:textId="77777777" w:rsidR="001852B2" w:rsidRPr="00D91724" w:rsidRDefault="001852B2" w:rsidP="001852B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91724"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29C54C0F" w:rsidR="00092B84" w:rsidRPr="00D91724" w:rsidRDefault="001852B2" w:rsidP="001852B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91724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D91724" w14:paraId="10DA1CD3" w14:textId="77777777" w:rsidTr="0CEF4457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91724" w:rsidRDefault="00275E2A" w:rsidP="000E718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9172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9172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F033EA9" w14:textId="2FEB0B03" w:rsidR="00366054" w:rsidRPr="00D91724" w:rsidRDefault="700F9662" w:rsidP="700F9662">
            <w:pPr>
              <w:pStyle w:val="3vff3xh4yd"/>
              <w:numPr>
                <w:ilvl w:val="0"/>
                <w:numId w:val="32"/>
              </w:numPr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91724">
              <w:rPr>
                <w:sz w:val="22"/>
                <w:szCs w:val="22"/>
                <w:lang w:val="sr-Cyrl-RS"/>
              </w:rPr>
              <w:t>Закон о метрологији</w:t>
            </w:r>
            <w:r w:rsidRPr="00D91724">
              <w:rPr>
                <w:sz w:val="22"/>
                <w:szCs w:val="22"/>
              </w:rPr>
              <w:t>: („</w:t>
            </w:r>
            <w:proofErr w:type="spellStart"/>
            <w:r w:rsidRPr="00D91724">
              <w:rPr>
                <w:sz w:val="22"/>
                <w:szCs w:val="22"/>
              </w:rPr>
              <w:t>Службени</w:t>
            </w:r>
            <w:proofErr w:type="spellEnd"/>
            <w:r w:rsidRPr="00D91724">
              <w:rPr>
                <w:sz w:val="22"/>
                <w:szCs w:val="22"/>
              </w:rPr>
              <w:t xml:space="preserve"> </w:t>
            </w:r>
            <w:proofErr w:type="spellStart"/>
            <w:r w:rsidRPr="00D91724">
              <w:rPr>
                <w:sz w:val="22"/>
                <w:szCs w:val="22"/>
              </w:rPr>
              <w:t>гласник</w:t>
            </w:r>
            <w:proofErr w:type="spellEnd"/>
            <w:r w:rsidRPr="00D91724">
              <w:rPr>
                <w:sz w:val="22"/>
                <w:szCs w:val="22"/>
              </w:rPr>
              <w:t xml:space="preserve"> РС”, </w:t>
            </w:r>
            <w:proofErr w:type="spellStart"/>
            <w:r w:rsidRPr="00D91724">
              <w:rPr>
                <w:sz w:val="22"/>
                <w:szCs w:val="22"/>
              </w:rPr>
              <w:t>бр</w:t>
            </w:r>
            <w:proofErr w:type="spellEnd"/>
            <w:r w:rsidRPr="00D91724">
              <w:rPr>
                <w:sz w:val="22"/>
                <w:szCs w:val="22"/>
              </w:rPr>
              <w:t xml:space="preserve">. </w:t>
            </w:r>
            <w:r w:rsidRPr="00D91724">
              <w:rPr>
                <w:sz w:val="22"/>
                <w:szCs w:val="22"/>
                <w:lang w:val="sr-Cyrl-RS"/>
              </w:rPr>
              <w:t>15/2016</w:t>
            </w:r>
            <w:r w:rsidRPr="00D91724">
              <w:rPr>
                <w:sz w:val="22"/>
                <w:szCs w:val="22"/>
              </w:rPr>
              <w:t>)</w:t>
            </w:r>
          </w:p>
          <w:p w14:paraId="2CCB5DCC" w14:textId="446DA4BC" w:rsidR="00645199" w:rsidRPr="00D91724" w:rsidRDefault="700F9662" w:rsidP="700F9662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националним</w:t>
            </w:r>
            <w:r w:rsidRPr="00D917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91724">
              <w:rPr>
                <w:rFonts w:ascii="Times New Roman" w:hAnsi="Times New Roman"/>
                <w:sz w:val="22"/>
                <w:szCs w:val="22"/>
                <w:lang w:val="sr-Cyrl-RS"/>
              </w:rPr>
              <w:t>еталонима</w:t>
            </w:r>
            <w:r w:rsidRPr="00D91724">
              <w:rPr>
                <w:rFonts w:ascii="Times New Roman" w:hAnsi="Times New Roman"/>
                <w:sz w:val="22"/>
                <w:szCs w:val="22"/>
              </w:rPr>
              <w:t>: („</w:t>
            </w:r>
            <w:proofErr w:type="spellStart"/>
            <w:r w:rsidRPr="00D91724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D917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91724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D91724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D91724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D91724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D91724">
              <w:rPr>
                <w:rFonts w:ascii="Times New Roman" w:hAnsi="Times New Roman"/>
                <w:sz w:val="22"/>
                <w:szCs w:val="22"/>
                <w:lang w:val="sr-Cyrl-RS"/>
              </w:rPr>
              <w:t>18/2018</w:t>
            </w:r>
            <w:r w:rsidRPr="00D9172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D91724" w14:paraId="724CF23D" w14:textId="77777777" w:rsidTr="0CEF4457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91724" w:rsidRDefault="00D73918" w:rsidP="000E718E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917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917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917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917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9172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D5B9A32" w:rsidR="00D73918" w:rsidRPr="00770F9E" w:rsidRDefault="00153C69" w:rsidP="00862BF3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rPr>
                <w:sz w:val="20"/>
                <w:szCs w:val="20"/>
                <w:lang w:val="sr-Cyrl-RS"/>
              </w:rPr>
            </w:pPr>
            <w:r w:rsidRPr="00770F9E">
              <w:rPr>
                <w:sz w:val="22"/>
                <w:szCs w:val="22"/>
                <w:lang w:val="sr-Cyrl-RS"/>
              </w:rPr>
              <w:t>Правилник о националним еталонима: („Службени гласник РС”, бр. 18/20</w:t>
            </w:r>
            <w:r w:rsidRPr="00770F9E">
              <w:rPr>
                <w:szCs w:val="20"/>
                <w:lang w:val="sr-Cyrl-RS"/>
              </w:rPr>
              <w:t>18</w:t>
            </w:r>
            <w:r w:rsidRPr="00770F9E">
              <w:rPr>
                <w:szCs w:val="20"/>
              </w:rPr>
              <w:t>)</w:t>
            </w:r>
          </w:p>
        </w:tc>
      </w:tr>
      <w:tr w:rsidR="00850AD5" w:rsidRPr="00D91724" w14:paraId="58812BCA" w14:textId="77777777" w:rsidTr="0CEF4457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91724" w:rsidRDefault="00275E2A" w:rsidP="000E718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9172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BCC72F5" w:rsidR="00804060" w:rsidRPr="00D91724" w:rsidRDefault="00470CB1" w:rsidP="0061429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91724">
              <w:rPr>
                <w:sz w:val="22"/>
                <w:szCs w:val="22"/>
                <w:lang w:val="sr-Cyrl-RS"/>
              </w:rPr>
              <w:t>Четврти</w:t>
            </w:r>
            <w:r w:rsidR="459E87FC" w:rsidRPr="00D91724">
              <w:rPr>
                <w:sz w:val="22"/>
                <w:szCs w:val="22"/>
                <w:lang w:val="sr-Cyrl-RS"/>
              </w:rPr>
              <w:t xml:space="preserve"> квартал </w:t>
            </w:r>
            <w:r w:rsidR="00614299">
              <w:rPr>
                <w:sz w:val="22"/>
                <w:szCs w:val="22"/>
                <w:lang w:val="sr-Cyrl-RS"/>
              </w:rPr>
              <w:t>2020</w:t>
            </w:r>
            <w:r w:rsidR="459E87FC" w:rsidRPr="00D91724">
              <w:rPr>
                <w:sz w:val="22"/>
                <w:szCs w:val="22"/>
                <w:lang w:val="sr-Cyrl-RS"/>
              </w:rPr>
              <w:t xml:space="preserve">. године </w:t>
            </w:r>
          </w:p>
        </w:tc>
      </w:tr>
      <w:tr w:rsidR="00275E2A" w:rsidRPr="00D91724" w14:paraId="539113B1" w14:textId="77777777" w:rsidTr="0CEF4457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91724" w:rsidRDefault="00275E2A" w:rsidP="000E718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91724" w14:paraId="4635A4BE" w14:textId="77777777" w:rsidTr="0CEF4457">
        <w:tc>
          <w:tcPr>
            <w:tcW w:w="9060" w:type="dxa"/>
            <w:gridSpan w:val="2"/>
          </w:tcPr>
          <w:p w14:paraId="58E21455" w14:textId="49581BE8" w:rsidR="00B277E3" w:rsidRPr="00D91724" w:rsidRDefault="64E8A666" w:rsidP="64E8A66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покреће захтевом странке који је у слободној форми, Дакле не постоји посебан образац захтева за покретање поступка, тако да су странке у обавези да саме састављају захтев, те да се о свим елементима и фазама поступка упознају на други начин уместо да најважније информације добију увидом у образаца захтева, попут информација о  потребној документацији, начина достављања захтева итд.  </w:t>
            </w:r>
          </w:p>
          <w:p w14:paraId="182B231E" w14:textId="77777777" w:rsidR="00430F21" w:rsidRPr="00D91724" w:rsidRDefault="00430F21" w:rsidP="00430F2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01AB16" w14:textId="38C60AD1" w:rsidR="001A6C9D" w:rsidRPr="00D91724" w:rsidRDefault="39A83FE5" w:rsidP="39A83F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hAnsi="Times New Roman"/>
                <w:sz w:val="22"/>
                <w:szCs w:val="22"/>
                <w:lang w:val="sr-Cyrl-RS"/>
              </w:rPr>
              <w:t>У поступку се од странке захтева достављање Акта о акредитацији по стандарду РПС ИСО/ИЕЦ 17025. Имајући у виду да</w:t>
            </w: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документ издаје Акредитационо тело Србије као и важећу регулативу на тај начин се за странку непотребно  стварају додатни трошкови, уместо да се документ  прибавља службеним путем. Идентична је ситуација у погледу обавезе достављања</w:t>
            </w:r>
            <w:r w:rsidRPr="00D917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Доказа да не постоји претходно признат еталон за физичку величину за коју се тражи признавање националног еталона (доказ о томе се налази међу претходно донетим Одлукама о проглашењу националних еталона)</w:t>
            </w:r>
            <w:r w:rsidRPr="00D9172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</w:t>
            </w:r>
          </w:p>
          <w:p w14:paraId="67347A9F" w14:textId="77777777" w:rsidR="001A6C9D" w:rsidRPr="00D91724" w:rsidRDefault="001A6C9D" w:rsidP="00430F2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47B6D0F" w14:textId="77777777" w:rsidR="00E36F55" w:rsidRDefault="005D3BD8" w:rsidP="00E36F5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18515D77" w:rsidR="00B5660D" w:rsidRPr="00D91724" w:rsidRDefault="00B5660D" w:rsidP="00E36F5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91724" w14:paraId="31663FC5" w14:textId="77777777" w:rsidTr="0CEF4457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91724" w:rsidRDefault="00275E2A" w:rsidP="00430F21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91724" w14:paraId="66715B57" w14:textId="77777777" w:rsidTr="0CEF4457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91724" w:rsidRDefault="00C70F1B" w:rsidP="00430F2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91724" w14:paraId="3010E605" w14:textId="77777777" w:rsidTr="0CEF4457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D91724" w14:paraId="30C2F8E8" w14:textId="77777777" w:rsidTr="700F9662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91724" w:rsidRDefault="00C70F1B" w:rsidP="00430F21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91724" w:rsidRDefault="00C70F1B" w:rsidP="00430F21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91724" w:rsidRDefault="00C70F1B" w:rsidP="00430F21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91724" w14:paraId="2B15C487" w14:textId="77777777" w:rsidTr="700F9662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C70F1B" w:rsidRPr="00D91724" w:rsidRDefault="00C70F1B" w:rsidP="00430F21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D91724" w:rsidRDefault="00C70F1B" w:rsidP="00430F21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D91724" w:rsidRDefault="00C70F1B" w:rsidP="00430F21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C70F1B" w:rsidRPr="00D91724" w:rsidRDefault="00C70F1B" w:rsidP="00430F21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36F55" w:rsidRPr="00D91724" w14:paraId="58D63CDF" w14:textId="77777777" w:rsidTr="700F966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4CEA584C" w14:textId="060A0AC0" w:rsidR="00E36F55" w:rsidRPr="00D91724" w:rsidRDefault="00E36F55" w:rsidP="00E36F55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5498" w:type="dxa"/>
                  <w:gridSpan w:val="3"/>
                </w:tcPr>
                <w:p w14:paraId="7ECB5058" w14:textId="77777777" w:rsidR="00E36F55" w:rsidRPr="00D91724" w:rsidRDefault="00E36F55" w:rsidP="00E36F55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36F55" w:rsidRPr="00D91724" w14:paraId="1E77C85A" w14:textId="77777777" w:rsidTr="700F966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34DF82C9" w14:textId="61976E79" w:rsidR="00E36F55" w:rsidRPr="00D91724" w:rsidRDefault="00E36F55" w:rsidP="00E36F55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Дефинисање обрасца захтева и јавна доступност обрасца</w:t>
                  </w:r>
                </w:p>
              </w:tc>
              <w:tc>
                <w:tcPr>
                  <w:tcW w:w="1948" w:type="dxa"/>
                </w:tcPr>
                <w:p w14:paraId="7DA93255" w14:textId="5D62E470" w:rsidR="00E36F55" w:rsidRPr="00153C69" w:rsidRDefault="00153C69" w:rsidP="00E36F55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            </w:t>
                  </w:r>
                </w:p>
              </w:tc>
              <w:tc>
                <w:tcPr>
                  <w:tcW w:w="1952" w:type="dxa"/>
                </w:tcPr>
                <w:p w14:paraId="5CF28EA6" w14:textId="03573091" w:rsidR="00E36F55" w:rsidRPr="00D91724" w:rsidRDefault="700F9662" w:rsidP="700F9662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 xml:space="preserve">          </w:t>
                  </w:r>
                  <w:r w:rsidR="00770F9E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  <w:p w14:paraId="5EFCD47F" w14:textId="51A1FB73" w:rsidR="00E36F55" w:rsidRPr="00D91724" w:rsidRDefault="00E36F55" w:rsidP="700F9662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</w:tcPr>
                <w:p w14:paraId="24710273" w14:textId="35E288CF" w:rsidR="00E36F55" w:rsidRPr="00D91724" w:rsidRDefault="00153C69" w:rsidP="00E36F55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          </w:t>
                  </w:r>
                </w:p>
              </w:tc>
            </w:tr>
            <w:tr w:rsidR="00131DA6" w:rsidRPr="00D91724" w14:paraId="4499E22C" w14:textId="77777777" w:rsidTr="700F966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2AEC18B9" w14:textId="42812FB3" w:rsidR="00131DA6" w:rsidRPr="00D91724" w:rsidRDefault="00131DA6" w:rsidP="00E36F55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948" w:type="dxa"/>
                </w:tcPr>
                <w:p w14:paraId="30CBCF57" w14:textId="16493697" w:rsidR="00131DA6" w:rsidRPr="00D91724" w:rsidRDefault="009270C5" w:rsidP="00E36F55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  <w:r w:rsidR="00131DA6" w:rsidRPr="00D9172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    </w:t>
                  </w:r>
                </w:p>
              </w:tc>
              <w:tc>
                <w:tcPr>
                  <w:tcW w:w="1952" w:type="dxa"/>
                </w:tcPr>
                <w:p w14:paraId="62E3B79C" w14:textId="2857817D" w:rsidR="700F9662" w:rsidRPr="00D91724" w:rsidRDefault="700F9662" w:rsidP="700F966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15DE19D2" w14:textId="4E38413E" w:rsidR="00131DA6" w:rsidRPr="00D91724" w:rsidRDefault="00131DA6" w:rsidP="700F9662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</w:tcPr>
                <w:p w14:paraId="3E8D0F89" w14:textId="5DDFC11E" w:rsidR="00131DA6" w:rsidRPr="00D91724" w:rsidRDefault="009270C5" w:rsidP="00E36F55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1. </w:t>
                  </w:r>
                </w:p>
              </w:tc>
            </w:tr>
            <w:tr w:rsidR="00E36F55" w:rsidRPr="00D91724" w14:paraId="26599A56" w14:textId="77777777" w:rsidTr="700F966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130EFB44" w14:textId="77777777" w:rsidR="00E36F55" w:rsidRPr="00D91724" w:rsidRDefault="00E36F55" w:rsidP="00E36F55">
                  <w:pPr>
                    <w:framePr w:hSpace="180" w:wrap="around" w:vAnchor="page" w:hAnchor="margin" w:y="2566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</w:tcPr>
                <w:p w14:paraId="40CA277C" w14:textId="77777777" w:rsidR="00E36F55" w:rsidRPr="00D91724" w:rsidRDefault="00E36F55" w:rsidP="700F9662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36F55" w:rsidRPr="00D91724" w14:paraId="05C5D6FB" w14:textId="77777777" w:rsidTr="700F966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5CC4D591" w14:textId="5A459AB2" w:rsidR="00E36F55" w:rsidRPr="00D91724" w:rsidRDefault="00E36F55" w:rsidP="00E36F55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0641F572" w14:textId="77777777" w:rsidR="00E36F55" w:rsidRPr="00D91724" w:rsidRDefault="00E36F55" w:rsidP="00E36F55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81E7194" w14:textId="1AF04588" w:rsidR="700F9662" w:rsidRPr="00D91724" w:rsidRDefault="700F9662" w:rsidP="700F966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2B71BAC2" w14:textId="4FEC19E4" w:rsidR="00E36F55" w:rsidRPr="00D91724" w:rsidRDefault="700F9662" w:rsidP="700F9662">
                  <w:pPr>
                    <w:framePr w:hSpace="180" w:wrap="around" w:vAnchor="page" w:hAnchor="margin" w:y="2566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D91724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45165BA0" w14:textId="77777777" w:rsidR="00E36F55" w:rsidRPr="00D91724" w:rsidRDefault="00E36F55" w:rsidP="00E36F55">
                  <w:pPr>
                    <w:framePr w:hSpace="180" w:wrap="around" w:vAnchor="page" w:hAnchor="margin" w:y="2566"/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10BD087" w:rsidR="00CA1CE9" w:rsidRPr="00D91724" w:rsidRDefault="00CA1CE9" w:rsidP="00430F2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91724" w14:paraId="0B4EEBB8" w14:textId="77777777" w:rsidTr="0CEF445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91724" w:rsidRDefault="00CA1CE9" w:rsidP="00430F21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91724" w14:paraId="4C67EFD3" w14:textId="77777777" w:rsidTr="0CEF445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6A9C8A" w14:textId="77777777" w:rsidR="007C1BB9" w:rsidRPr="00D91724" w:rsidRDefault="007C1BB9" w:rsidP="007C1BB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3.1. Дефинисање обрасца захтева и јавна доступност обрасца </w:t>
            </w:r>
          </w:p>
          <w:p w14:paraId="788197EC" w14:textId="5E0FC6BF" w:rsidR="007C1BB9" w:rsidRPr="00D91724" w:rsidRDefault="007C1BB9" w:rsidP="007C1B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EAE436E" w14:textId="1B0F886B" w:rsidR="007C1BB9" w:rsidRPr="00D91724" w:rsidRDefault="007C1BB9" w:rsidP="007C1B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Елементи обрасца су тачно прописани Правилником о националним еталонима („Службени гласник РС“ 18/2018. Потребно је да се дефинише форма обрасца и јавно објави на веб страници Дирекције.</w:t>
            </w:r>
          </w:p>
          <w:p w14:paraId="063D39E1" w14:textId="3DF12399" w:rsidR="007C1BB9" w:rsidRPr="00D91724" w:rsidRDefault="007C1BB9" w:rsidP="007C1B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E21E90" w14:textId="0CA6A8D9" w:rsidR="007C1BB9" w:rsidRPr="00D91724" w:rsidRDefault="007C1BB9" w:rsidP="007C1BB9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7EBB727E" w14:textId="70A8574F" w:rsidR="007C1BB9" w:rsidRPr="00D91724" w:rsidRDefault="007C1BB9" w:rsidP="007C1BB9">
            <w:pPr>
              <w:pStyle w:val="ListParagraph"/>
              <w:ind w:left="10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8245976" w14:textId="015C88ED" w:rsidR="007C1BB9" w:rsidRDefault="007C1BB9" w:rsidP="007C1BB9">
            <w:pPr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Напомена</w:t>
            </w: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 </w:t>
            </w:r>
          </w:p>
          <w:p w14:paraId="55FDA0D9" w14:textId="77777777" w:rsidR="00E5001E" w:rsidRPr="00D91724" w:rsidRDefault="00E5001E" w:rsidP="007C1BB9">
            <w:pPr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74B08D4" w14:textId="77777777" w:rsidR="00D91724" w:rsidRDefault="00D91724" w:rsidP="00D91724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2652B97C" w14:textId="77777777" w:rsidR="00073AEF" w:rsidRPr="00D91724" w:rsidRDefault="00073AEF" w:rsidP="00D91724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D7071E" w14:textId="77777777" w:rsidR="00073AEF" w:rsidRPr="00073AEF" w:rsidRDefault="00073AEF" w:rsidP="00073AE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038DD98" w14:textId="77777777" w:rsidR="00073AEF" w:rsidRPr="00073AEF" w:rsidRDefault="00073AEF" w:rsidP="00073AE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73AE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099E5F0" w14:textId="77777777" w:rsidR="00073AEF" w:rsidRPr="00073AEF" w:rsidRDefault="00073AEF" w:rsidP="00073AE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B16FA3D" w14:textId="77777777" w:rsidR="00073AEF" w:rsidRPr="00073AEF" w:rsidRDefault="00073AEF" w:rsidP="00073AE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73AE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5B8AA5AA" w14:textId="77777777" w:rsidR="00073AEF" w:rsidRPr="00073AEF" w:rsidRDefault="00073AEF" w:rsidP="00073AEF">
            <w:pPr>
              <w:numPr>
                <w:ilvl w:val="1"/>
                <w:numId w:val="33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73AE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1024ABD" w14:textId="77777777" w:rsidR="00073AEF" w:rsidRPr="00073AEF" w:rsidRDefault="00073AEF" w:rsidP="00073AE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FFA28A5" w14:textId="77777777" w:rsidR="00073AEF" w:rsidRPr="00073AEF" w:rsidRDefault="00073AEF" w:rsidP="00073AEF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AF6490A" w14:textId="4EA29C05" w:rsidR="00073AEF" w:rsidRPr="00073AEF" w:rsidRDefault="00073AEF" w:rsidP="00073AEF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55CCB4B" w14:textId="77777777" w:rsidR="00073AEF" w:rsidRPr="00073AEF" w:rsidRDefault="00073AEF" w:rsidP="00073AEF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3EFBABD" w14:textId="77777777" w:rsidR="00073AEF" w:rsidRPr="00073AEF" w:rsidRDefault="00073AEF" w:rsidP="00073AEF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73AEF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73AEF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EDBAADE" w14:textId="77777777" w:rsidR="00073AEF" w:rsidRPr="00073AEF" w:rsidRDefault="00073AEF" w:rsidP="00073AEF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C36E80F" w14:textId="77777777" w:rsidR="00073AEF" w:rsidRPr="00073AEF" w:rsidRDefault="00073AEF" w:rsidP="00073AE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1714005" w14:textId="77777777" w:rsidR="00073AEF" w:rsidRPr="00073AEF" w:rsidRDefault="00073AEF" w:rsidP="00073AE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0B1DEF9" w14:textId="77777777" w:rsidR="00073AEF" w:rsidRPr="00073AEF" w:rsidRDefault="00073AEF" w:rsidP="00073AE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2C3EA86" w14:textId="77777777" w:rsidR="00073AEF" w:rsidRPr="00073AEF" w:rsidRDefault="00073AEF" w:rsidP="00073AEF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108D804" w14:textId="77777777" w:rsidR="00073AEF" w:rsidRPr="00073AEF" w:rsidRDefault="00073AEF" w:rsidP="00073AEF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B53FA47" w14:textId="77777777" w:rsidR="00073AEF" w:rsidRPr="00073AEF" w:rsidRDefault="00073AEF" w:rsidP="00073AEF">
            <w:pPr>
              <w:numPr>
                <w:ilvl w:val="1"/>
                <w:numId w:val="33"/>
              </w:numPr>
              <w:ind w:left="885"/>
              <w:rPr>
                <w:sz w:val="22"/>
                <w:szCs w:val="22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FB5540E" w14:textId="77777777" w:rsidR="00073AEF" w:rsidRPr="00073AEF" w:rsidRDefault="00073AEF" w:rsidP="00073AE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6663E5" w14:textId="77777777" w:rsidR="00073AEF" w:rsidRPr="00073AEF" w:rsidRDefault="00073AEF" w:rsidP="00073AE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513149F" w14:textId="77777777" w:rsidR="00073AEF" w:rsidRPr="00073AEF" w:rsidRDefault="00073AEF" w:rsidP="00073AE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80AD5BA" w14:textId="77777777" w:rsidR="00073AEF" w:rsidRPr="00073AEF" w:rsidRDefault="00073AEF" w:rsidP="00073AE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B622BB" w14:textId="77777777" w:rsidR="00073AEF" w:rsidRPr="00073AEF" w:rsidRDefault="00073AEF" w:rsidP="00073AEF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05F1175" w14:textId="77777777" w:rsidR="00073AEF" w:rsidRPr="00073AEF" w:rsidRDefault="00073AEF" w:rsidP="00073AEF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A2DB82F" w14:textId="77777777" w:rsidR="00073AEF" w:rsidRPr="00073AEF" w:rsidRDefault="00073AEF" w:rsidP="00073AEF">
            <w:pPr>
              <w:numPr>
                <w:ilvl w:val="0"/>
                <w:numId w:val="3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6FF8E29" w14:textId="77777777" w:rsidR="00073AEF" w:rsidRPr="00073AEF" w:rsidRDefault="00073AEF" w:rsidP="00073AEF">
            <w:pPr>
              <w:numPr>
                <w:ilvl w:val="0"/>
                <w:numId w:val="3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4FD7F61" w14:textId="77777777" w:rsidR="00073AEF" w:rsidRPr="00073AEF" w:rsidRDefault="00073AEF" w:rsidP="00073AEF">
            <w:pPr>
              <w:numPr>
                <w:ilvl w:val="0"/>
                <w:numId w:val="3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C0C86D3" w14:textId="77777777" w:rsidR="00073AEF" w:rsidRPr="00073AEF" w:rsidRDefault="00073AEF" w:rsidP="00073AEF">
            <w:pPr>
              <w:numPr>
                <w:ilvl w:val="0"/>
                <w:numId w:val="3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79D3DA5" w14:textId="77777777" w:rsidR="00073AEF" w:rsidRPr="00073AEF" w:rsidRDefault="00073AEF" w:rsidP="00073AEF">
            <w:pPr>
              <w:numPr>
                <w:ilvl w:val="0"/>
                <w:numId w:val="34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73A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2052FF0" w14:textId="77777777" w:rsidR="00B5660D" w:rsidRPr="00D91724" w:rsidRDefault="00B5660D" w:rsidP="00B5660D">
            <w:pPr>
              <w:pStyle w:val="ListParagraph"/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E4C277E" w14:textId="6748B028" w:rsidR="00F4322C" w:rsidRDefault="007C1BB9" w:rsidP="00B5660D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D91724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  <w:t xml:space="preserve">За примену ове препоруке </w:t>
            </w:r>
            <w:r w:rsidR="00770F9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ни</w:t>
            </w:r>
            <w:r w:rsidRPr="00D91724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је потребна измена</w:t>
            </w:r>
            <w:r w:rsidR="00770F9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  <w:r w:rsidRPr="00D91724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  <w:p w14:paraId="1F6A4F15" w14:textId="77777777" w:rsidR="00B5660D" w:rsidRPr="00D91724" w:rsidRDefault="00B5660D" w:rsidP="00B5660D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0D21CE41" w14:textId="34826ADA" w:rsidR="00142207" w:rsidRPr="00D91724" w:rsidRDefault="0019211F" w:rsidP="00430F21">
            <w:pPr>
              <w:rPr>
                <w:rFonts w:ascii="Times New Roman" w:eastAsia="Times New Roman" w:hAnsi="Times New Roman"/>
                <w:i/>
                <w:color w:val="FF0000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3.2.</w:t>
            </w:r>
            <w:r w:rsidR="00142207" w:rsidRPr="00D9172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Прибављање података по службеној дужности </w:t>
            </w:r>
          </w:p>
          <w:p w14:paraId="3E30A86F" w14:textId="77777777" w:rsidR="00142207" w:rsidRPr="00D91724" w:rsidRDefault="00142207" w:rsidP="00430F2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4B7423" w14:textId="6460BBBB" w:rsidR="0019211F" w:rsidRPr="00D91724" w:rsidRDefault="0CEF4457" w:rsidP="009818F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Потребно је омогућити примену одредбе члана 9. став 3. Закона о општем управном поступку (Службени гласник РС 18/2016</w:t>
            </w:r>
            <w:r w:rsidR="001B43E4"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којом је прописано да је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обрађује, све у вези са чланом 103. истог закона, у погледу </w:t>
            </w:r>
            <w:r w:rsidR="00E83240" w:rsidRPr="00D917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83240" w:rsidRPr="0052726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Акта о акредитацији по стандарду РПС ИСО/ИЕЦ 17025</w:t>
            </w:r>
            <w:r w:rsidR="00E83240" w:rsidRPr="00981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83240" w:rsidRPr="009818FD">
              <w:rPr>
                <w:rFonts w:ascii="Times New Roman" w:hAnsi="Times New Roman"/>
                <w:sz w:val="22"/>
                <w:szCs w:val="22"/>
                <w:lang w:val="sr-Cyrl-RS"/>
              </w:rPr>
              <w:t>који издаје Акредитационо тело Србије</w:t>
            </w:r>
            <w:r w:rsidR="009818FD" w:rsidRPr="009818F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18FD" w:rsidRPr="009818FD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52726E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9818FD" w:rsidRPr="009818FD">
              <w:rPr>
                <w:rFonts w:ascii="Times New Roman" w:hAnsi="Times New Roman"/>
                <w:sz w:val="22"/>
                <w:szCs w:val="22"/>
                <w:lang w:val="sr-Cyrl-RS"/>
              </w:rPr>
              <w:t>лектронским путем (увидом у регистар акредитација на интернет страници АТС-а) или упитом надлежном органу који води службену евиденцију http://www.registar.ats.rs/</w:t>
            </w:r>
            <w:r w:rsidR="00E83240" w:rsidRPr="009818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818FD" w:rsidRPr="009818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), </w:t>
            </w:r>
            <w:r w:rsidR="00E83240" w:rsidRPr="009818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односно </w:t>
            </w:r>
            <w:r w:rsidR="00E83240" w:rsidRPr="0052726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Доказа да не постоји претходно признат еталон за физичку величину за коју се тражи признавање националног еталона</w:t>
            </w:r>
            <w:r w:rsidR="009818FD" w:rsidRPr="009818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</w:t>
            </w:r>
            <w:r w:rsidR="009818FD" w:rsidRPr="009818FD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9818FD" w:rsidRPr="009818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питом организационој јединици која води службену евиденцију или физичким увидом у податке о којима се води службена евиденција)</w:t>
            </w:r>
            <w:r w:rsidR="00E83240" w:rsidRPr="009818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 који издаје сама Дирекција за мере и драгоцене метале.</w:t>
            </w:r>
            <w:r w:rsidR="00E83240"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E1BB12F" w14:textId="77777777" w:rsidR="0052726E" w:rsidRDefault="00F4322C" w:rsidP="00430F21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D91724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              </w:t>
            </w:r>
          </w:p>
          <w:p w14:paraId="6F36E173" w14:textId="6EF978D7" w:rsidR="00EA23B8" w:rsidRPr="00D91724" w:rsidRDefault="00EA23B8" w:rsidP="00430F2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је потребна измена</w:t>
            </w:r>
            <w:r w:rsidR="003030BF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  <w:r w:rsidR="003030BF" w:rsidRPr="00153C69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Правилник</w:t>
            </w:r>
            <w:r w:rsidR="003030BF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="003030BF" w:rsidRPr="00153C69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о националним еталонима: („Службени гласник РС”, бр. 18/2018</w:t>
            </w:r>
            <w:r w:rsidR="003030BF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)</w:t>
            </w:r>
            <w:r w:rsidRPr="00D91724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. </w:t>
            </w:r>
          </w:p>
          <w:p w14:paraId="4E230C0A" w14:textId="77777777" w:rsidR="0019211F" w:rsidRPr="00D91724" w:rsidRDefault="0019211F" w:rsidP="00430F2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7634FF" w14:textId="02462E56" w:rsidR="00647401" w:rsidRPr="00D91724" w:rsidRDefault="0019211F" w:rsidP="00430F21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D91724"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  <w:t>3.3.</w:t>
            </w:r>
            <w:r w:rsidR="00647401" w:rsidRPr="00D9172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51498F6F" w14:textId="77777777" w:rsidR="00647401" w:rsidRPr="00D91724" w:rsidRDefault="00647401" w:rsidP="00430F21">
            <w:pPr>
              <w:rPr>
                <w:rFonts w:ascii="Times New Roman" w:eastAsia="Times New Roman" w:hAnsi="Times New Roman"/>
                <w:sz w:val="22"/>
                <w:szCs w:val="22"/>
                <w:u w:val="single"/>
                <w:lang w:val="sr-Latn-RS"/>
              </w:rPr>
            </w:pPr>
          </w:p>
          <w:p w14:paraId="533A62F2" w14:textId="249CF883" w:rsidR="00153C69" w:rsidRPr="0008469F" w:rsidRDefault="00153C69" w:rsidP="00153C69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Pr="000846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01F2C325" w14:textId="77777777" w:rsidR="00153C69" w:rsidRPr="0008469F" w:rsidRDefault="00153C69" w:rsidP="00153C69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9352520" w14:textId="77777777" w:rsidR="00153C69" w:rsidRPr="0008469F" w:rsidRDefault="00153C69" w:rsidP="00153C69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46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66DE2FCA" w14:textId="77777777" w:rsidR="00153C69" w:rsidRPr="0008469F" w:rsidRDefault="00153C69" w:rsidP="00153C69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DC5031" w14:textId="77777777" w:rsidR="00153C69" w:rsidRPr="0008469F" w:rsidRDefault="00153C69" w:rsidP="00153C69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46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42FD52A6" w14:textId="77777777" w:rsidR="00153C69" w:rsidRPr="0008469F" w:rsidRDefault="00153C69" w:rsidP="00153C69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B58850C" w14:textId="77777777" w:rsidR="00153C69" w:rsidRPr="0008469F" w:rsidRDefault="00153C69" w:rsidP="00153C69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46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5DF4CF8F" w14:textId="77777777" w:rsidR="00153C69" w:rsidRPr="0008469F" w:rsidRDefault="00153C69" w:rsidP="00153C69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CB959E" w14:textId="77777777" w:rsidR="00153C69" w:rsidRPr="0008469F" w:rsidRDefault="00153C69" w:rsidP="00153C69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46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Омогућити систем електронског плаћања преко портала е-Управе.</w:t>
            </w:r>
          </w:p>
          <w:p w14:paraId="04377AC3" w14:textId="77777777" w:rsidR="00153C69" w:rsidRPr="0008469F" w:rsidRDefault="00153C69" w:rsidP="00153C69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6D2C55" w14:textId="77777777" w:rsidR="00153C69" w:rsidRPr="0008469F" w:rsidRDefault="00153C69" w:rsidP="00153C69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469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7B6E4610" w14:textId="77777777" w:rsidR="00F4322C" w:rsidRPr="00D91724" w:rsidRDefault="00F4322C" w:rsidP="00430F21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71AEF3AE" w14:textId="77777777" w:rsidR="00CA1CE9" w:rsidRDefault="0019211F" w:rsidP="00430F21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D91724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EA23B8" w:rsidRPr="00D91724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3EAB4AF8" w14:textId="603F2658" w:rsidR="00B67CF7" w:rsidRPr="00D91724" w:rsidRDefault="00B67CF7" w:rsidP="00430F21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  <w:tr w:rsidR="00CA1CE9" w:rsidRPr="00D91724" w14:paraId="52C990E5" w14:textId="77777777" w:rsidTr="0CEF445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91724" w:rsidRDefault="00CA1CE9" w:rsidP="00430F21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91724" w14:paraId="077D3505" w14:textId="77777777" w:rsidTr="0CEF445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56FB095" w14:textId="7BA8035D" w:rsidR="00153C69" w:rsidRPr="002F363E" w:rsidRDefault="00153C69" w:rsidP="00153C69">
            <w:pPr>
              <w:pStyle w:val="ListParagraph"/>
              <w:spacing w:line="0" w:lineRule="atLeast"/>
              <w:ind w:left="33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25071D7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</w:p>
          <w:p w14:paraId="48D61CD8" w14:textId="77777777" w:rsidR="00153C69" w:rsidRDefault="00153C69" w:rsidP="00153C69">
            <w:pPr>
              <w:pStyle w:val="ListParagraph"/>
              <w:spacing w:line="0" w:lineRule="atLeast"/>
              <w:ind w:left="331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25071D75">
              <w:rPr>
                <w:rFonts w:ascii="Times New Roman" w:hAnsi="Times New Roman"/>
                <w:b/>
                <w:bCs/>
                <w:sz w:val="22"/>
                <w:szCs w:val="22"/>
              </w:rPr>
              <w:t>НАЦРТ</w:t>
            </w:r>
          </w:p>
          <w:p w14:paraId="591D66B4" w14:textId="1707F964" w:rsidR="00153C69" w:rsidRPr="00EE28F7" w:rsidRDefault="00153C69" w:rsidP="00153C69">
            <w:pPr>
              <w:spacing w:line="0" w:lineRule="atLeast"/>
              <w:ind w:left="-29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EE28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 О </w:t>
            </w:r>
            <w:r w:rsidR="00F610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ИЗМЕНИ</w:t>
            </w:r>
          </w:p>
          <w:p w14:paraId="7B706F0D" w14:textId="7322F8B9" w:rsidR="00F610B2" w:rsidRPr="00F610B2" w:rsidRDefault="00F610B2" w:rsidP="00F610B2">
            <w:pPr>
              <w:spacing w:line="0" w:lineRule="atLeast"/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610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ПРАВИЛНИКА О НАЦИОНАЛНИМ ЕТАЛОНИМА </w:t>
            </w:r>
          </w:p>
          <w:p w14:paraId="2BB4DE67" w14:textId="77777777" w:rsidR="00153C69" w:rsidRDefault="00153C69" w:rsidP="00153C69">
            <w:pPr>
              <w:spacing w:line="0" w:lineRule="atLeast"/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4C4EFA1" w14:textId="77777777" w:rsidR="00153C69" w:rsidRDefault="00153C69" w:rsidP="00EF2FA3">
            <w:pPr>
              <w:spacing w:line="0" w:lineRule="atLeast"/>
              <w:ind w:left="-29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3CB63326" w14:textId="55311D90" w:rsidR="00153C69" w:rsidRDefault="00153C69" w:rsidP="00EF2FA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B64F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610B2" w:rsidRPr="00F610B2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="00F610B2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F610B2" w:rsidRPr="00F610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националним еталонима: („Службени гласник РС”, бр. 18/2018</w:t>
            </w:r>
            <w:r w:rsidR="00F610B2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610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члану 5.  став 3. мења се 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гласи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4D508E7" w14:textId="362B4C3C" w:rsidR="00153C69" w:rsidRDefault="00F610B2" w:rsidP="00153C69">
            <w:pPr>
              <w:spacing w:line="0" w:lineRule="atLeast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>
              <w:t xml:space="preserve"> </w:t>
            </w:r>
            <w:r w:rsidRPr="00F610B2">
              <w:rPr>
                <w:rFonts w:ascii="Times New Roman" w:hAnsi="Times New Roman"/>
                <w:sz w:val="22"/>
                <w:szCs w:val="22"/>
                <w:lang w:val="sr-Cyrl-RS"/>
              </w:rPr>
              <w:t>Уз Захтев, подносилац Захтева дужан је да поднесе доказе којима се доказује испуњеност захтева из чл. 3. и 4. овог правилника,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осим доказа из члана 4. став 1. тачка 6) правилника који орган прибавља по службеној дужности, </w:t>
            </w:r>
            <w:r w:rsidRPr="00F610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и доказ о плаћеној републичкој административној такси, у складу са законом.</w:t>
            </w:r>
          </w:p>
          <w:p w14:paraId="3E3E6C4E" w14:textId="77777777" w:rsidR="00153C69" w:rsidRDefault="00153C69" w:rsidP="00153C69">
            <w:pPr>
              <w:spacing w:line="0" w:lineRule="atLeast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BCDD3CF" w14:textId="77777777" w:rsidR="00153C69" w:rsidRDefault="00153C69" w:rsidP="00153C69">
            <w:pPr>
              <w:spacing w:line="0" w:lineRule="atLeast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1856A74F" w14:textId="77777777" w:rsidR="00153C69" w:rsidRPr="00AE10D6" w:rsidRDefault="00153C69" w:rsidP="00153C69">
            <w:pPr>
              <w:spacing w:line="0" w:lineRule="atLeast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 од дана објављивања у „Службеном гласнику Републике Србије“</w:t>
            </w:r>
          </w:p>
          <w:p w14:paraId="39763933" w14:textId="4F121936" w:rsidR="00153C69" w:rsidRPr="00D91724" w:rsidRDefault="00153C69" w:rsidP="00430F2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91724" w14:paraId="0489C5FC" w14:textId="77777777" w:rsidTr="0CEF445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91724" w:rsidRDefault="00CA1CE9" w:rsidP="00430F21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91724" w14:paraId="3C4DDA6A" w14:textId="77777777" w:rsidTr="0CEF445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F04D9E" w14:textId="77777777" w:rsidR="00F610B2" w:rsidRDefault="00F610B2" w:rsidP="00F610B2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A6AE16B" w14:textId="65BAFFB2" w:rsidR="00F610B2" w:rsidRPr="00F610B2" w:rsidRDefault="00F610B2" w:rsidP="00F610B2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610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ПРЕГЛЕД ОДРЕДБИ ПРАВИЛНИКА О НАЦИОНАЛНИМ ЕТАЛОНИМА КОЈЕ СЕ МЕЊАЈУ</w:t>
            </w:r>
          </w:p>
          <w:p w14:paraId="37002F7A" w14:textId="4BE8172C" w:rsidR="00F610B2" w:rsidRPr="00F610B2" w:rsidRDefault="00F610B2" w:rsidP="00EF2FA3">
            <w:pPr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5</w:t>
            </w:r>
          </w:p>
          <w:p w14:paraId="74243BA5" w14:textId="77777777" w:rsidR="00F610B2" w:rsidRPr="00F610B2" w:rsidRDefault="00F610B2" w:rsidP="00EF2FA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Проглашење националног еталона и именовање носиоца тог националног еталона врши се на основу писаног захтева (у даљем тексту: Захтев), у складу са законом којим се уређује метрологија.</w:t>
            </w:r>
          </w:p>
          <w:p w14:paraId="0627E4FC" w14:textId="77777777" w:rsidR="00F610B2" w:rsidRPr="00F610B2" w:rsidRDefault="00F610B2" w:rsidP="00F610B2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садржи нарочито податке о:</w:t>
            </w:r>
          </w:p>
          <w:p w14:paraId="5C7130D8" w14:textId="298E97DF" w:rsidR="00F610B2" w:rsidRPr="00F610B2" w:rsidRDefault="00F610B2" w:rsidP="00F610B2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пословном имену, односно називу и адреси седишта, организационој структури и претежној делатности подносиоца Захтева;</w:t>
            </w:r>
          </w:p>
          <w:p w14:paraId="297A69F7" w14:textId="77777777" w:rsidR="00F610B2" w:rsidRPr="00F610B2" w:rsidRDefault="00F610B2" w:rsidP="00F610B2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називу и метролошким карактеристикама еталона на који се Захтев односи;</w:t>
            </w:r>
          </w:p>
          <w:p w14:paraId="256E293D" w14:textId="77777777" w:rsidR="00F610B2" w:rsidRPr="00F610B2" w:rsidRDefault="00F610B2" w:rsidP="00F610B2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акредитацији подносиоца Захтева према стандарду СРПС ИСО/ИЕЦ 17025, укључујући обим акредитације, датум додељивања сертитификата о акредитацији и датум важења обима акредитације;</w:t>
            </w:r>
          </w:p>
          <w:p w14:paraId="0042B990" w14:textId="6716B04A" w:rsidR="00F610B2" w:rsidRPr="00F610B2" w:rsidRDefault="00F610B2" w:rsidP="00F610B2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4) стручној оспособљености и радном искуству запослених и ангажованих лица који обављају послове који се односе на чување, одржавање и унапређивање метролошких карактеристика еталона на који се Захтев односи;</w:t>
            </w:r>
          </w:p>
          <w:p w14:paraId="08CB3DF6" w14:textId="77777777" w:rsidR="00F610B2" w:rsidRPr="00F610B2" w:rsidRDefault="00F610B2" w:rsidP="00F610B2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5) техничким капацитетима, опреми, простору и локацији на којој ће се чувати, одржавати и унапређивати метролошке карактеристике еталона.</w:t>
            </w:r>
          </w:p>
          <w:p w14:paraId="7A32B0E0" w14:textId="77777777" w:rsidR="00CA1CE9" w:rsidRDefault="00F610B2" w:rsidP="00F610B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Захтев, подносилац Захтева дужан је да поднесе доказе којима се доказује испуњеност захтева из чл. 3. и 4. овог правилника,</w:t>
            </w:r>
            <w:r w:rsidRPr="00F610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ОСИМ ДОКАЗА ИЗ ЧЛАНА 4. СТАВ 1. ТАЧКА 6) ПРАВИЛНИКА КОЈИ ОРГАН ПРИБАВЉА ПО СЛУЖБЕНОЈ ДУЖНОСТИ,</w:t>
            </w:r>
            <w:r w:rsidRPr="00F610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као и доказ о плаћеној републичкој административној такси, у складу са законом.</w:t>
            </w:r>
          </w:p>
          <w:p w14:paraId="1506ADFF" w14:textId="5FC741C3" w:rsidR="00B67CF7" w:rsidRPr="00D91724" w:rsidRDefault="00B67CF7" w:rsidP="00F610B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91724" w14:paraId="429F5407" w14:textId="77777777" w:rsidTr="0CEF445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91724" w:rsidRDefault="00CA1CE9" w:rsidP="00430F21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91724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91724" w14:paraId="72BD2239" w14:textId="77777777" w:rsidTr="0CEF445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08C90E5" w14:textId="77777777" w:rsidR="00B67CF7" w:rsidRDefault="00B67CF7" w:rsidP="700F966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2AC5027" w14:textId="05B875D1" w:rsidR="00CA1CE9" w:rsidRPr="00D91724" w:rsidRDefault="00470CB1" w:rsidP="700F966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14.189,11 РСД. Усвајање и примена препорука ће донети привредним субјектима годишње директне уштеде од 263,64 РСД или 2,17 ЕУР. Ове уштеде износе 1,86% укупних директних трошкова привредних субјеката у поступку.</w:t>
            </w:r>
          </w:p>
          <w:p w14:paraId="078BD006" w14:textId="77777777" w:rsidR="000A498D" w:rsidRPr="00D91724" w:rsidRDefault="000A498D" w:rsidP="700F966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A37B68" w14:textId="77777777" w:rsidR="000A498D" w:rsidRDefault="7E86B2DC" w:rsidP="7E86B2D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172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субјекте. Препорукама се такође утиче на побољшање пословног амбијента.</w:t>
            </w:r>
          </w:p>
          <w:p w14:paraId="331CCBA4" w14:textId="3B4921D3" w:rsidR="00172F1E" w:rsidRPr="00D91724" w:rsidRDefault="00172F1E" w:rsidP="7E86B2D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5CCD2EC5" w14:textId="77777777" w:rsidR="005C7474" w:rsidRPr="00D91724" w:rsidRDefault="005C7474" w:rsidP="00430F21">
      <w:pPr>
        <w:rPr>
          <w:rFonts w:ascii="Times New Roman" w:eastAsia="Times New Roman" w:hAnsi="Times New Roman"/>
          <w:lang w:val="sr-Cyrl-RS"/>
        </w:rPr>
      </w:pPr>
    </w:p>
    <w:sectPr w:rsidR="005C7474" w:rsidRPr="00D91724" w:rsidSect="00C121E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C12C4" w14:textId="77777777" w:rsidR="00045DEB" w:rsidRDefault="00045DEB" w:rsidP="002A202F">
      <w:r>
        <w:separator/>
      </w:r>
    </w:p>
  </w:endnote>
  <w:endnote w:type="continuationSeparator" w:id="0">
    <w:p w14:paraId="0FDB8085" w14:textId="77777777" w:rsidR="00045DEB" w:rsidRDefault="00045DE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DF9A94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146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E5188" w14:textId="77777777" w:rsidR="00045DEB" w:rsidRDefault="00045DEB" w:rsidP="002A202F">
      <w:r>
        <w:separator/>
      </w:r>
    </w:p>
  </w:footnote>
  <w:footnote w:type="continuationSeparator" w:id="0">
    <w:p w14:paraId="27E1E829" w14:textId="77777777" w:rsidR="00045DEB" w:rsidRDefault="00045DEB" w:rsidP="002A2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6953A" w14:textId="40C03DAC" w:rsidR="002C0A41" w:rsidRDefault="005B11C4" w:rsidP="005B11C4">
    <w:pPr>
      <w:pStyle w:val="Header"/>
      <w:tabs>
        <w:tab w:val="clear" w:pos="4680"/>
        <w:tab w:val="clear" w:pos="9360"/>
        <w:tab w:val="left" w:pos="1575"/>
      </w:tabs>
    </w:pPr>
    <w:r>
      <w:tab/>
    </w:r>
  </w:p>
  <w:p w14:paraId="56A6960E" w14:textId="77777777" w:rsidR="002C0A41" w:rsidRPr="002C0A41" w:rsidRDefault="002C0A41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B0328"/>
    <w:multiLevelType w:val="hybridMultilevel"/>
    <w:tmpl w:val="98D6AE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42E93"/>
    <w:multiLevelType w:val="hybridMultilevel"/>
    <w:tmpl w:val="99EC7332"/>
    <w:lvl w:ilvl="0" w:tplc="B62C3F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E361910"/>
    <w:multiLevelType w:val="hybridMultilevel"/>
    <w:tmpl w:val="50809C1A"/>
    <w:lvl w:ilvl="0" w:tplc="079E72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D05C9"/>
    <w:multiLevelType w:val="hybridMultilevel"/>
    <w:tmpl w:val="522CB23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5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CA2818"/>
    <w:multiLevelType w:val="hybridMultilevel"/>
    <w:tmpl w:val="CFD0E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B34E5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65A93"/>
    <w:multiLevelType w:val="hybridMultilevel"/>
    <w:tmpl w:val="E968C69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F77444"/>
    <w:multiLevelType w:val="hybridMultilevel"/>
    <w:tmpl w:val="663C6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0"/>
  </w:num>
  <w:num w:numId="4">
    <w:abstractNumId w:val="6"/>
  </w:num>
  <w:num w:numId="5">
    <w:abstractNumId w:val="3"/>
  </w:num>
  <w:num w:numId="6">
    <w:abstractNumId w:val="18"/>
  </w:num>
  <w:num w:numId="7">
    <w:abstractNumId w:val="34"/>
  </w:num>
  <w:num w:numId="8">
    <w:abstractNumId w:val="16"/>
  </w:num>
  <w:num w:numId="9">
    <w:abstractNumId w:val="30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7"/>
  </w:num>
  <w:num w:numId="17">
    <w:abstractNumId w:val="13"/>
  </w:num>
  <w:num w:numId="18">
    <w:abstractNumId w:val="33"/>
  </w:num>
  <w:num w:numId="19">
    <w:abstractNumId w:val="7"/>
  </w:num>
  <w:num w:numId="20">
    <w:abstractNumId w:val="35"/>
  </w:num>
  <w:num w:numId="21">
    <w:abstractNumId w:val="10"/>
  </w:num>
  <w:num w:numId="22">
    <w:abstractNumId w:val="5"/>
  </w:num>
  <w:num w:numId="23">
    <w:abstractNumId w:val="23"/>
  </w:num>
  <w:num w:numId="24">
    <w:abstractNumId w:val="0"/>
  </w:num>
  <w:num w:numId="25">
    <w:abstractNumId w:val="31"/>
  </w:num>
  <w:num w:numId="26">
    <w:abstractNumId w:val="2"/>
  </w:num>
  <w:num w:numId="27">
    <w:abstractNumId w:val="29"/>
  </w:num>
  <w:num w:numId="28">
    <w:abstractNumId w:val="32"/>
  </w:num>
  <w:num w:numId="29">
    <w:abstractNumId w:val="12"/>
  </w:num>
  <w:num w:numId="30">
    <w:abstractNumId w:val="4"/>
  </w:num>
  <w:num w:numId="31">
    <w:abstractNumId w:val="14"/>
  </w:num>
  <w:num w:numId="32">
    <w:abstractNumId w:val="19"/>
  </w:num>
  <w:num w:numId="33">
    <w:abstractNumId w:val="21"/>
  </w:num>
  <w:num w:numId="34">
    <w:abstractNumId w:val="1"/>
  </w:num>
  <w:num w:numId="35">
    <w:abstractNumId w:val="8"/>
  </w:num>
  <w:num w:numId="36">
    <w:abstractNumId w:val="15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4BFB"/>
    <w:rsid w:val="00021DA1"/>
    <w:rsid w:val="00023EF9"/>
    <w:rsid w:val="00026C2F"/>
    <w:rsid w:val="00027945"/>
    <w:rsid w:val="00036812"/>
    <w:rsid w:val="00044F35"/>
    <w:rsid w:val="00044F63"/>
    <w:rsid w:val="00045DEB"/>
    <w:rsid w:val="00050616"/>
    <w:rsid w:val="00061070"/>
    <w:rsid w:val="00062BBC"/>
    <w:rsid w:val="000646A0"/>
    <w:rsid w:val="000702A3"/>
    <w:rsid w:val="00073AEF"/>
    <w:rsid w:val="0007426A"/>
    <w:rsid w:val="00083993"/>
    <w:rsid w:val="00087F18"/>
    <w:rsid w:val="00092B84"/>
    <w:rsid w:val="0009542A"/>
    <w:rsid w:val="000A498D"/>
    <w:rsid w:val="000A53F3"/>
    <w:rsid w:val="000A5CDC"/>
    <w:rsid w:val="000B54D7"/>
    <w:rsid w:val="000D5029"/>
    <w:rsid w:val="000E2036"/>
    <w:rsid w:val="000E51EF"/>
    <w:rsid w:val="000E718E"/>
    <w:rsid w:val="000F5E72"/>
    <w:rsid w:val="00105512"/>
    <w:rsid w:val="00107429"/>
    <w:rsid w:val="001156BA"/>
    <w:rsid w:val="00126058"/>
    <w:rsid w:val="00131DA6"/>
    <w:rsid w:val="00132645"/>
    <w:rsid w:val="00142207"/>
    <w:rsid w:val="0015182D"/>
    <w:rsid w:val="00153C69"/>
    <w:rsid w:val="00161847"/>
    <w:rsid w:val="001706E8"/>
    <w:rsid w:val="00170CA7"/>
    <w:rsid w:val="001711C5"/>
    <w:rsid w:val="00172F1E"/>
    <w:rsid w:val="00176ADF"/>
    <w:rsid w:val="0018494C"/>
    <w:rsid w:val="001852B2"/>
    <w:rsid w:val="0019211F"/>
    <w:rsid w:val="001922CC"/>
    <w:rsid w:val="0019793A"/>
    <w:rsid w:val="001A023F"/>
    <w:rsid w:val="001A3FAC"/>
    <w:rsid w:val="001A6472"/>
    <w:rsid w:val="001A6C9D"/>
    <w:rsid w:val="001B111E"/>
    <w:rsid w:val="001B43E4"/>
    <w:rsid w:val="001C5538"/>
    <w:rsid w:val="001D0EDE"/>
    <w:rsid w:val="001D20E2"/>
    <w:rsid w:val="001E38DE"/>
    <w:rsid w:val="001F739C"/>
    <w:rsid w:val="001F7B31"/>
    <w:rsid w:val="002002A0"/>
    <w:rsid w:val="0020601F"/>
    <w:rsid w:val="00212DA5"/>
    <w:rsid w:val="0021347C"/>
    <w:rsid w:val="00223007"/>
    <w:rsid w:val="002323AC"/>
    <w:rsid w:val="00261404"/>
    <w:rsid w:val="002741A2"/>
    <w:rsid w:val="00275E2A"/>
    <w:rsid w:val="00276BA3"/>
    <w:rsid w:val="00285731"/>
    <w:rsid w:val="00296938"/>
    <w:rsid w:val="002A202F"/>
    <w:rsid w:val="002B19B4"/>
    <w:rsid w:val="002C0A41"/>
    <w:rsid w:val="002D5B2E"/>
    <w:rsid w:val="002F1BEC"/>
    <w:rsid w:val="002F4757"/>
    <w:rsid w:val="003030BF"/>
    <w:rsid w:val="00322199"/>
    <w:rsid w:val="003223C7"/>
    <w:rsid w:val="00326555"/>
    <w:rsid w:val="00334EE6"/>
    <w:rsid w:val="003410E0"/>
    <w:rsid w:val="00350EAD"/>
    <w:rsid w:val="00351D7C"/>
    <w:rsid w:val="003651DB"/>
    <w:rsid w:val="00366054"/>
    <w:rsid w:val="003715A0"/>
    <w:rsid w:val="0037171F"/>
    <w:rsid w:val="00376FD1"/>
    <w:rsid w:val="0039002C"/>
    <w:rsid w:val="003B330B"/>
    <w:rsid w:val="003B44DB"/>
    <w:rsid w:val="003B4BC9"/>
    <w:rsid w:val="003B6298"/>
    <w:rsid w:val="003D0F3F"/>
    <w:rsid w:val="003D2111"/>
    <w:rsid w:val="003E2EB1"/>
    <w:rsid w:val="003E3C16"/>
    <w:rsid w:val="00407D96"/>
    <w:rsid w:val="00427080"/>
    <w:rsid w:val="00430F21"/>
    <w:rsid w:val="00432495"/>
    <w:rsid w:val="00441D33"/>
    <w:rsid w:val="00444DA7"/>
    <w:rsid w:val="00457882"/>
    <w:rsid w:val="00463CC7"/>
    <w:rsid w:val="00470CB1"/>
    <w:rsid w:val="00476B9D"/>
    <w:rsid w:val="004809C4"/>
    <w:rsid w:val="0048433C"/>
    <w:rsid w:val="004847B1"/>
    <w:rsid w:val="00487D7C"/>
    <w:rsid w:val="0049545B"/>
    <w:rsid w:val="004A2D78"/>
    <w:rsid w:val="004B7BB2"/>
    <w:rsid w:val="004D3BD0"/>
    <w:rsid w:val="004D45B1"/>
    <w:rsid w:val="004D68A7"/>
    <w:rsid w:val="004E29D1"/>
    <w:rsid w:val="00500566"/>
    <w:rsid w:val="005073A3"/>
    <w:rsid w:val="00523608"/>
    <w:rsid w:val="00525C0A"/>
    <w:rsid w:val="0052726E"/>
    <w:rsid w:val="00535608"/>
    <w:rsid w:val="00556688"/>
    <w:rsid w:val="0056162B"/>
    <w:rsid w:val="0056707B"/>
    <w:rsid w:val="00581A9D"/>
    <w:rsid w:val="005A2503"/>
    <w:rsid w:val="005B11C4"/>
    <w:rsid w:val="005B4F04"/>
    <w:rsid w:val="005B7CB9"/>
    <w:rsid w:val="005C7474"/>
    <w:rsid w:val="005D0023"/>
    <w:rsid w:val="005D3BD8"/>
    <w:rsid w:val="005E21C4"/>
    <w:rsid w:val="005F4D59"/>
    <w:rsid w:val="0060001C"/>
    <w:rsid w:val="00600D31"/>
    <w:rsid w:val="0060786A"/>
    <w:rsid w:val="00614299"/>
    <w:rsid w:val="006237FE"/>
    <w:rsid w:val="00626765"/>
    <w:rsid w:val="00627AF7"/>
    <w:rsid w:val="00632540"/>
    <w:rsid w:val="00633F73"/>
    <w:rsid w:val="00635674"/>
    <w:rsid w:val="00645199"/>
    <w:rsid w:val="00645850"/>
    <w:rsid w:val="00647401"/>
    <w:rsid w:val="0066008B"/>
    <w:rsid w:val="00661ECF"/>
    <w:rsid w:val="0068660D"/>
    <w:rsid w:val="00692071"/>
    <w:rsid w:val="00694B28"/>
    <w:rsid w:val="006C5349"/>
    <w:rsid w:val="006C5F2A"/>
    <w:rsid w:val="006C662C"/>
    <w:rsid w:val="006F4A5C"/>
    <w:rsid w:val="00710A05"/>
    <w:rsid w:val="00715F5C"/>
    <w:rsid w:val="007278C1"/>
    <w:rsid w:val="007319FA"/>
    <w:rsid w:val="00733493"/>
    <w:rsid w:val="00737F1D"/>
    <w:rsid w:val="00757653"/>
    <w:rsid w:val="00766FA8"/>
    <w:rsid w:val="00770F9E"/>
    <w:rsid w:val="0077588A"/>
    <w:rsid w:val="00782816"/>
    <w:rsid w:val="00785A46"/>
    <w:rsid w:val="007861E3"/>
    <w:rsid w:val="007940D6"/>
    <w:rsid w:val="007A253F"/>
    <w:rsid w:val="007B00F0"/>
    <w:rsid w:val="007B1740"/>
    <w:rsid w:val="007B3BBA"/>
    <w:rsid w:val="007C1BB9"/>
    <w:rsid w:val="007C61B5"/>
    <w:rsid w:val="007D3889"/>
    <w:rsid w:val="007D39E4"/>
    <w:rsid w:val="007D43A7"/>
    <w:rsid w:val="007E12E0"/>
    <w:rsid w:val="007E1695"/>
    <w:rsid w:val="007F204C"/>
    <w:rsid w:val="00804060"/>
    <w:rsid w:val="0080485D"/>
    <w:rsid w:val="008166C9"/>
    <w:rsid w:val="00824E43"/>
    <w:rsid w:val="00825101"/>
    <w:rsid w:val="00827656"/>
    <w:rsid w:val="008314EC"/>
    <w:rsid w:val="00833D8C"/>
    <w:rsid w:val="00834C9A"/>
    <w:rsid w:val="0084708C"/>
    <w:rsid w:val="00850AD5"/>
    <w:rsid w:val="00852739"/>
    <w:rsid w:val="008629CC"/>
    <w:rsid w:val="00862BF3"/>
    <w:rsid w:val="00863D9A"/>
    <w:rsid w:val="00865EBB"/>
    <w:rsid w:val="00886C36"/>
    <w:rsid w:val="008A6AC8"/>
    <w:rsid w:val="008B635D"/>
    <w:rsid w:val="008C5591"/>
    <w:rsid w:val="008D04A6"/>
    <w:rsid w:val="008D4C1A"/>
    <w:rsid w:val="008D5428"/>
    <w:rsid w:val="008F0867"/>
    <w:rsid w:val="008F172F"/>
    <w:rsid w:val="008F2044"/>
    <w:rsid w:val="008F2BE1"/>
    <w:rsid w:val="008F4DD1"/>
    <w:rsid w:val="009056DB"/>
    <w:rsid w:val="00913BE2"/>
    <w:rsid w:val="009270C5"/>
    <w:rsid w:val="00931D7F"/>
    <w:rsid w:val="00945E04"/>
    <w:rsid w:val="00947592"/>
    <w:rsid w:val="00950280"/>
    <w:rsid w:val="00961D7C"/>
    <w:rsid w:val="009818FD"/>
    <w:rsid w:val="00991A18"/>
    <w:rsid w:val="00994A16"/>
    <w:rsid w:val="009A096A"/>
    <w:rsid w:val="009A30D3"/>
    <w:rsid w:val="009D03A7"/>
    <w:rsid w:val="009E0479"/>
    <w:rsid w:val="009E569B"/>
    <w:rsid w:val="00A00C49"/>
    <w:rsid w:val="00A0102E"/>
    <w:rsid w:val="00A059CB"/>
    <w:rsid w:val="00A12960"/>
    <w:rsid w:val="00A1570D"/>
    <w:rsid w:val="00A20DE7"/>
    <w:rsid w:val="00A22386"/>
    <w:rsid w:val="00A33A2C"/>
    <w:rsid w:val="00A37D19"/>
    <w:rsid w:val="00A46AA6"/>
    <w:rsid w:val="00A50645"/>
    <w:rsid w:val="00A53936"/>
    <w:rsid w:val="00A56B75"/>
    <w:rsid w:val="00A61F6E"/>
    <w:rsid w:val="00A71C04"/>
    <w:rsid w:val="00A7610A"/>
    <w:rsid w:val="00A91259"/>
    <w:rsid w:val="00AA0017"/>
    <w:rsid w:val="00AA4BC5"/>
    <w:rsid w:val="00AA5F8A"/>
    <w:rsid w:val="00AB09B3"/>
    <w:rsid w:val="00AC02D1"/>
    <w:rsid w:val="00AF1B40"/>
    <w:rsid w:val="00B06019"/>
    <w:rsid w:val="00B07409"/>
    <w:rsid w:val="00B1006E"/>
    <w:rsid w:val="00B10A70"/>
    <w:rsid w:val="00B1679E"/>
    <w:rsid w:val="00B178FB"/>
    <w:rsid w:val="00B236BF"/>
    <w:rsid w:val="00B277E3"/>
    <w:rsid w:val="00B5252A"/>
    <w:rsid w:val="00B548DA"/>
    <w:rsid w:val="00B5660D"/>
    <w:rsid w:val="00B63DB1"/>
    <w:rsid w:val="00B67138"/>
    <w:rsid w:val="00B6715C"/>
    <w:rsid w:val="00B67CF7"/>
    <w:rsid w:val="00B766FF"/>
    <w:rsid w:val="00B81CFE"/>
    <w:rsid w:val="00B903AE"/>
    <w:rsid w:val="00B9157F"/>
    <w:rsid w:val="00B95225"/>
    <w:rsid w:val="00BA2072"/>
    <w:rsid w:val="00BA5252"/>
    <w:rsid w:val="00BA55D3"/>
    <w:rsid w:val="00BA6759"/>
    <w:rsid w:val="00BA7204"/>
    <w:rsid w:val="00BC6354"/>
    <w:rsid w:val="00BC6826"/>
    <w:rsid w:val="00BD17C1"/>
    <w:rsid w:val="00BE59AE"/>
    <w:rsid w:val="00BF0BCD"/>
    <w:rsid w:val="00BF3E76"/>
    <w:rsid w:val="00C0295C"/>
    <w:rsid w:val="00C03C06"/>
    <w:rsid w:val="00C121EC"/>
    <w:rsid w:val="00C12C65"/>
    <w:rsid w:val="00C231DD"/>
    <w:rsid w:val="00C33B46"/>
    <w:rsid w:val="00C4081A"/>
    <w:rsid w:val="00C445E2"/>
    <w:rsid w:val="00C6088B"/>
    <w:rsid w:val="00C70F1B"/>
    <w:rsid w:val="00C7129D"/>
    <w:rsid w:val="00C748D1"/>
    <w:rsid w:val="00C82A2B"/>
    <w:rsid w:val="00C91014"/>
    <w:rsid w:val="00C95FE0"/>
    <w:rsid w:val="00CA1CE9"/>
    <w:rsid w:val="00CA2B81"/>
    <w:rsid w:val="00CB0A0B"/>
    <w:rsid w:val="00CB0C39"/>
    <w:rsid w:val="00CB1040"/>
    <w:rsid w:val="00CB1A4E"/>
    <w:rsid w:val="00CC29F6"/>
    <w:rsid w:val="00CC77AD"/>
    <w:rsid w:val="00CD2287"/>
    <w:rsid w:val="00CD5BBB"/>
    <w:rsid w:val="00CE0685"/>
    <w:rsid w:val="00D22990"/>
    <w:rsid w:val="00D310E4"/>
    <w:rsid w:val="00D37EA5"/>
    <w:rsid w:val="00D73628"/>
    <w:rsid w:val="00D73918"/>
    <w:rsid w:val="00D86B06"/>
    <w:rsid w:val="00D91724"/>
    <w:rsid w:val="00D967D7"/>
    <w:rsid w:val="00DA125D"/>
    <w:rsid w:val="00DB11D0"/>
    <w:rsid w:val="00DB19B9"/>
    <w:rsid w:val="00DB5431"/>
    <w:rsid w:val="00DB77C2"/>
    <w:rsid w:val="00DC4BC2"/>
    <w:rsid w:val="00DE057D"/>
    <w:rsid w:val="00E0020F"/>
    <w:rsid w:val="00E118C7"/>
    <w:rsid w:val="00E1427B"/>
    <w:rsid w:val="00E14E0D"/>
    <w:rsid w:val="00E22B8B"/>
    <w:rsid w:val="00E317D1"/>
    <w:rsid w:val="00E36F55"/>
    <w:rsid w:val="00E40DF0"/>
    <w:rsid w:val="00E4267B"/>
    <w:rsid w:val="00E47DAC"/>
    <w:rsid w:val="00E5001E"/>
    <w:rsid w:val="00E55332"/>
    <w:rsid w:val="00E61460"/>
    <w:rsid w:val="00E63C8A"/>
    <w:rsid w:val="00E70BF6"/>
    <w:rsid w:val="00E83240"/>
    <w:rsid w:val="00E841BF"/>
    <w:rsid w:val="00EA23B8"/>
    <w:rsid w:val="00EB4B8D"/>
    <w:rsid w:val="00EC2982"/>
    <w:rsid w:val="00EF2FA3"/>
    <w:rsid w:val="00F11C98"/>
    <w:rsid w:val="00F1200F"/>
    <w:rsid w:val="00F12E47"/>
    <w:rsid w:val="00F223B2"/>
    <w:rsid w:val="00F4322C"/>
    <w:rsid w:val="00F52699"/>
    <w:rsid w:val="00F53241"/>
    <w:rsid w:val="00F610B2"/>
    <w:rsid w:val="00F61C47"/>
    <w:rsid w:val="00F67790"/>
    <w:rsid w:val="00F67CAA"/>
    <w:rsid w:val="00F77E93"/>
    <w:rsid w:val="00FA2449"/>
    <w:rsid w:val="00FA6BB7"/>
    <w:rsid w:val="00FB1A1B"/>
    <w:rsid w:val="00FB645B"/>
    <w:rsid w:val="00FC03EC"/>
    <w:rsid w:val="00FC09D6"/>
    <w:rsid w:val="00FC34EC"/>
    <w:rsid w:val="00FC3F69"/>
    <w:rsid w:val="00FC5312"/>
    <w:rsid w:val="00FD31FE"/>
    <w:rsid w:val="00FD3964"/>
    <w:rsid w:val="00FD553F"/>
    <w:rsid w:val="00FE0B04"/>
    <w:rsid w:val="00FF4DB4"/>
    <w:rsid w:val="00FF5ABE"/>
    <w:rsid w:val="00FF78E5"/>
    <w:rsid w:val="00FF7CF5"/>
    <w:rsid w:val="0CEF4457"/>
    <w:rsid w:val="39A83FE5"/>
    <w:rsid w:val="459E87FC"/>
    <w:rsid w:val="5FD30A27"/>
    <w:rsid w:val="64E8A666"/>
    <w:rsid w:val="700F9662"/>
    <w:rsid w:val="7E86B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1337D"/>
  <w15:docId w15:val="{4B4308F3-0ABD-4A01-AF2D-1B44A442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3vff3xh4yd">
    <w:name w:val="_3vff3xh4yd"/>
    <w:basedOn w:val="Normal"/>
    <w:rsid w:val="00430F2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84F16-67CC-4D56-BA07-510D9DB3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3</cp:revision>
  <cp:lastPrinted>2018-09-05T12:48:00Z</cp:lastPrinted>
  <dcterms:created xsi:type="dcterms:W3CDTF">2019-05-30T06:32:00Z</dcterms:created>
  <dcterms:modified xsi:type="dcterms:W3CDTF">2019-07-16T12:57:00Z</dcterms:modified>
</cp:coreProperties>
</file>