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9395FC" w14:textId="5A27623F" w:rsidR="00B1006E" w:rsidRDefault="00C104CA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4B5A18">
        <w:rPr>
          <w:b/>
          <w:sz w:val="22"/>
          <w:szCs w:val="22"/>
          <w:lang w:val="sr-Cyrl-RS"/>
        </w:rPr>
        <w:t>ПОЈЕДНОСТАВЉЕЊЕ ПОСТУПКА ИЗДАВАЊА ОВЛАШЋЕЊА ЗА ОБАВЉАЊЕ ПОСЛОВА ОВЕРАВАЊА МЕРИЛА</w:t>
      </w:r>
    </w:p>
    <w:p w14:paraId="384854D3" w14:textId="77777777" w:rsidR="00960A4A" w:rsidRPr="004B5A18" w:rsidRDefault="00960A4A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0"/>
          <w:szCs w:val="22"/>
          <w:lang w:val="sr-Cyrl-RS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50F0E1D3" w:rsidR="000E2036" w:rsidRPr="005247FC" w:rsidRDefault="00F83F30" w:rsidP="005247F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5247FC">
              <w:rPr>
                <w:b/>
                <w:sz w:val="22"/>
                <w:szCs w:val="22"/>
                <w:lang w:val="sr-Cyrl-RS"/>
              </w:rPr>
              <w:t>Овлашћ</w:t>
            </w:r>
            <w:r w:rsidRPr="005247FC">
              <w:rPr>
                <w:b/>
                <w:sz w:val="22"/>
                <w:szCs w:val="22"/>
                <w:lang w:val="sr-Cyrl-CS"/>
              </w:rPr>
              <w:t>ење</w:t>
            </w:r>
            <w:r w:rsidRPr="005247FC">
              <w:rPr>
                <w:b/>
                <w:sz w:val="22"/>
                <w:szCs w:val="22"/>
                <w:lang w:val="sr-Cyrl-RS"/>
              </w:rPr>
              <w:t xml:space="preserve"> за обављање послова оверавања мерила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525A2EF" w:rsidR="000E2036" w:rsidRPr="005247FC" w:rsidRDefault="00F83F30" w:rsidP="005247F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5247FC">
              <w:rPr>
                <w:b/>
                <w:sz w:val="22"/>
                <w:szCs w:val="22"/>
                <w:lang w:val="sr-Cyrl-RS"/>
              </w:rPr>
              <w:t>10.01.0022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73D391A" w14:textId="2A4D6BE7" w:rsidR="000360D5" w:rsidRPr="005247FC" w:rsidRDefault="000360D5" w:rsidP="005247F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5247FC">
              <w:rPr>
                <w:sz w:val="22"/>
                <w:szCs w:val="22"/>
                <w:lang w:val="sr-Cyrl-RS"/>
              </w:rPr>
              <w:t>Министарство привреде</w:t>
            </w:r>
          </w:p>
          <w:p w14:paraId="5795E7E6" w14:textId="754A8780" w:rsidR="00092B84" w:rsidRPr="005247FC" w:rsidRDefault="00F83F30" w:rsidP="005247F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5247FC">
              <w:rPr>
                <w:sz w:val="22"/>
                <w:szCs w:val="22"/>
                <w:lang w:val="sr-Cyrl-RS"/>
              </w:rPr>
              <w:t>Дирекција за мере и драгоцене метале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5DAF8DEE" w14:textId="0D77AF20" w:rsidR="00645199" w:rsidRPr="005247FC" w:rsidRDefault="00EF2C59" w:rsidP="005247FC">
            <w:pPr>
              <w:pStyle w:val="ListParagraph"/>
              <w:numPr>
                <w:ilvl w:val="0"/>
                <w:numId w:val="29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247FC">
              <w:rPr>
                <w:rFonts w:ascii="Times New Roman" w:hAnsi="Times New Roman"/>
                <w:sz w:val="22"/>
                <w:szCs w:val="22"/>
                <w:lang w:val="sr-Cyrl-RS"/>
              </w:rPr>
              <w:t>Закон о метрологији:</w:t>
            </w:r>
            <w:r w:rsidR="00F71E7E" w:rsidRPr="005247F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„Сл. Гласник РС“ бр.</w:t>
            </w:r>
            <w:r w:rsidRPr="005247F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15/2016-11</w:t>
            </w:r>
          </w:p>
          <w:p w14:paraId="2CCB5DCC" w14:textId="346A458D" w:rsidR="00EF2C59" w:rsidRPr="005247FC" w:rsidRDefault="00EF2C59" w:rsidP="005247FC">
            <w:pPr>
              <w:pStyle w:val="ListParagraph"/>
              <w:numPr>
                <w:ilvl w:val="0"/>
                <w:numId w:val="29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247FC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условима за обављање послова оверавања мерила, начину овлашћивања и вођењу регистра овлашћених тела:</w:t>
            </w:r>
            <w:r w:rsidR="00F71E7E" w:rsidRPr="005247F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„Сл. Гласник РС“ бр.</w:t>
            </w:r>
            <w:r w:rsidRPr="005247F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2/2017-26</w:t>
            </w:r>
          </w:p>
        </w:tc>
      </w:tr>
      <w:tr w:rsidR="005247FC" w:rsidRPr="00DB19B9" w14:paraId="724CF23D" w14:textId="77777777" w:rsidTr="0089746A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5247FC" w:rsidRPr="00DB19B9" w:rsidRDefault="005247FC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</w:tcPr>
          <w:p w14:paraId="55CB4618" w14:textId="3313BBE5" w:rsidR="005247FC" w:rsidRPr="005247FC" w:rsidRDefault="005247FC" w:rsidP="005247F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1. У</w:t>
            </w:r>
            <w:r w:rsidRPr="005247FC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свајање новог Закона о метрологији </w:t>
            </w:r>
          </w:p>
        </w:tc>
      </w:tr>
      <w:tr w:rsidR="005247FC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5247FC" w:rsidRPr="00DB19B9" w:rsidRDefault="005247FC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5923044E" w:rsidR="005247FC" w:rsidRPr="005247FC" w:rsidRDefault="005247FC" w:rsidP="005247F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5247FC">
              <w:rPr>
                <w:sz w:val="22"/>
                <w:szCs w:val="22"/>
                <w:lang w:val="sr-Cyrl-RS"/>
              </w:rPr>
              <w:t>Четврти квартал 2019. године</w:t>
            </w:r>
          </w:p>
        </w:tc>
      </w:tr>
      <w:tr w:rsidR="005247FC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5247FC" w:rsidRPr="00DB19B9" w:rsidRDefault="005247FC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5247FC" w:rsidRPr="00DB19B9" w14:paraId="4635A4BE" w14:textId="77777777" w:rsidTr="00CA1CE9">
        <w:tc>
          <w:tcPr>
            <w:tcW w:w="9060" w:type="dxa"/>
            <w:gridSpan w:val="2"/>
          </w:tcPr>
          <w:p w14:paraId="3D02A434" w14:textId="77777777" w:rsidR="005247FC" w:rsidRPr="00720EB7" w:rsidRDefault="005247FC" w:rsidP="00720EB7">
            <w:pPr>
              <w:rPr>
                <w:rFonts w:ascii="Times New Roman" w:hAnsi="Times New Roman"/>
                <w:sz w:val="22"/>
                <w:lang w:val="sr-Cyrl-RS"/>
              </w:rPr>
            </w:pPr>
          </w:p>
          <w:p w14:paraId="77393B18" w14:textId="7B8E809A" w:rsidR="005247FC" w:rsidRDefault="005247FC" w:rsidP="00720EB7">
            <w:pPr>
              <w:rPr>
                <w:rFonts w:ascii="Times New Roman" w:hAnsi="Times New Roman"/>
                <w:sz w:val="22"/>
                <w:lang w:val="sr-Cyrl-RS"/>
              </w:rPr>
            </w:pPr>
            <w:r w:rsidRPr="00720EB7">
              <w:rPr>
                <w:rFonts w:ascii="Times New Roman" w:hAnsi="Times New Roman"/>
                <w:sz w:val="22"/>
                <w:lang w:val="sr-Cyrl-RS"/>
              </w:rPr>
              <w:t>У члану 9. и члану 103. Закона о општем управном поступку прописана је обавеза органа да по службеној дужности прибавља податке о чињеницама о којима се води службена евиденција а који су неопходни за одлучивање у поступку и да се поступак води без одуговлачења и са што мање трошкова по странку. Достављање ових података од стране подносиоца захтева њима ствара непотребно административно оптерећење.</w:t>
            </w:r>
            <w:r w:rsidR="00C85CBA">
              <w:rPr>
                <w:rFonts w:ascii="Times New Roman" w:hAnsi="Times New Roman"/>
                <w:sz w:val="22"/>
                <w:lang w:val="sr-Latn-RS"/>
              </w:rPr>
              <w:t xml:space="preserve"> </w:t>
            </w:r>
            <w:r w:rsidRPr="00720EB7">
              <w:rPr>
                <w:rFonts w:ascii="Times New Roman" w:hAnsi="Times New Roman"/>
                <w:sz w:val="22"/>
                <w:lang w:val="sr-Cyrl-RS"/>
              </w:rPr>
              <w:t xml:space="preserve">Поступак подразумева подношење захтева лично/поштом. Још увек није успостављена пуна електронска управа , нити поједини сегменти електронске комуникације. </w:t>
            </w:r>
          </w:p>
          <w:p w14:paraId="08FD2666" w14:textId="77777777" w:rsidR="00C85CBA" w:rsidRPr="00720EB7" w:rsidRDefault="00C85CBA" w:rsidP="00720EB7">
            <w:pPr>
              <w:rPr>
                <w:rFonts w:ascii="Times New Roman" w:hAnsi="Times New Roman"/>
                <w:sz w:val="22"/>
                <w:lang w:val="sr-Cyrl-RS"/>
              </w:rPr>
            </w:pPr>
          </w:p>
          <w:p w14:paraId="6B5F5A4E" w14:textId="72B6D29F" w:rsidR="005247FC" w:rsidRDefault="005247FC" w:rsidP="00720EB7">
            <w:pPr>
              <w:rPr>
                <w:rFonts w:ascii="Times New Roman" w:hAnsi="Times New Roman"/>
                <w:sz w:val="22"/>
                <w:lang w:val="sr-Cyrl-RS"/>
              </w:rPr>
            </w:pPr>
            <w:r w:rsidRPr="00720EB7">
              <w:rPr>
                <w:rFonts w:ascii="Times New Roman" w:hAnsi="Times New Roman"/>
                <w:sz w:val="22"/>
                <w:lang w:val="sr-Cyrl-RS"/>
              </w:rPr>
              <w:t>Овлашћење има временско важење од три године које је предвиђено  Законом о метрологији који ће се ставити ван снаге и биће донет нови Закон о метрологији у току 2019. године.</w:t>
            </w:r>
          </w:p>
          <w:p w14:paraId="6ABB071C" w14:textId="77777777" w:rsidR="00C85CBA" w:rsidRPr="00720EB7" w:rsidRDefault="00C85CBA" w:rsidP="00720EB7">
            <w:pPr>
              <w:rPr>
                <w:rFonts w:ascii="Times New Roman" w:hAnsi="Times New Roman"/>
                <w:sz w:val="22"/>
                <w:lang w:val="sr-Cyrl-RS"/>
              </w:rPr>
            </w:pPr>
          </w:p>
          <w:p w14:paraId="19DE1D40" w14:textId="77777777" w:rsidR="005247FC" w:rsidRDefault="005247FC" w:rsidP="00720EB7">
            <w:pPr>
              <w:rPr>
                <w:rFonts w:ascii="Times New Roman" w:hAnsi="Times New Roman"/>
                <w:sz w:val="22"/>
                <w:lang w:val="sr-Cyrl-RS"/>
              </w:rPr>
            </w:pPr>
            <w:r w:rsidRPr="00720EB7">
              <w:rPr>
                <w:rFonts w:ascii="Times New Roman" w:hAnsi="Times New Roman"/>
                <w:sz w:val="22"/>
                <w:lang w:val="sr-Cyrl-R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4BCB02C2" w14:textId="352CFC76" w:rsidR="00825AEB" w:rsidRPr="00720EB7" w:rsidRDefault="00825AEB" w:rsidP="00720EB7">
            <w:pPr>
              <w:rPr>
                <w:rFonts w:ascii="Times New Roman" w:hAnsi="Times New Roman"/>
                <w:sz w:val="22"/>
                <w:lang w:val="sr-Cyrl-RS"/>
              </w:rPr>
            </w:pPr>
          </w:p>
        </w:tc>
      </w:tr>
      <w:tr w:rsidR="005247FC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5247FC" w:rsidRPr="00DB19B9" w:rsidRDefault="005247FC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5247FC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5247FC" w:rsidRPr="00DB19B9" w:rsidRDefault="005247FC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5247FC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65"/>
              <w:gridCol w:w="1800"/>
              <w:gridCol w:w="1890"/>
              <w:gridCol w:w="1579"/>
            </w:tblGrid>
            <w:tr w:rsidR="005247FC" w:rsidRPr="00DB19B9" w14:paraId="30C2F8E8" w14:textId="77777777" w:rsidTr="003D4B0C">
              <w:trPr>
                <w:trHeight w:val="749"/>
              </w:trPr>
              <w:tc>
                <w:tcPr>
                  <w:tcW w:w="3565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5247FC" w:rsidRPr="00DB19B9" w:rsidRDefault="005247FC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69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5247FC" w:rsidRPr="00DB19B9" w:rsidRDefault="005247FC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79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5247FC" w:rsidRPr="00DB19B9" w:rsidRDefault="005247FC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5247FC" w:rsidRPr="00DB19B9" w14:paraId="2B15C487" w14:textId="77777777" w:rsidTr="003D4B0C">
              <w:trPr>
                <w:trHeight w:val="260"/>
              </w:trPr>
              <w:tc>
                <w:tcPr>
                  <w:tcW w:w="3565" w:type="dxa"/>
                  <w:vMerge/>
                </w:tcPr>
                <w:p w14:paraId="42D3BC1D" w14:textId="77777777" w:rsidR="005247FC" w:rsidRPr="00DB19B9" w:rsidRDefault="005247F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800" w:type="dxa"/>
                  <w:shd w:val="clear" w:color="auto" w:fill="F2F2F2" w:themeFill="background1" w:themeFillShade="F2"/>
                </w:tcPr>
                <w:p w14:paraId="4FE48A96" w14:textId="77777777" w:rsidR="005247FC" w:rsidRPr="00DB19B9" w:rsidRDefault="005247FC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890" w:type="dxa"/>
                  <w:shd w:val="clear" w:color="auto" w:fill="F2F2F2" w:themeFill="background1" w:themeFillShade="F2"/>
                </w:tcPr>
                <w:p w14:paraId="0DA58578" w14:textId="77777777" w:rsidR="005247FC" w:rsidRPr="00DB19B9" w:rsidRDefault="005247FC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79" w:type="dxa"/>
                  <w:vMerge/>
                </w:tcPr>
                <w:p w14:paraId="21FE126E" w14:textId="77777777" w:rsidR="005247FC" w:rsidRPr="00DB19B9" w:rsidRDefault="005247F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247FC" w:rsidRPr="00DB19B9" w14:paraId="1228D87D" w14:textId="77777777" w:rsidTr="003D4B0C">
              <w:trPr>
                <w:trHeight w:val="489"/>
              </w:trPr>
              <w:tc>
                <w:tcPr>
                  <w:tcW w:w="3565" w:type="dxa"/>
                  <w:vAlign w:val="center"/>
                </w:tcPr>
                <w:p w14:paraId="406288B1" w14:textId="6782E6BD" w:rsidR="005247FC" w:rsidRPr="00004360" w:rsidRDefault="005247FC" w:rsidP="000360D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04360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 по службеној дужности</w:t>
                  </w:r>
                </w:p>
              </w:tc>
              <w:tc>
                <w:tcPr>
                  <w:tcW w:w="1800" w:type="dxa"/>
                </w:tcPr>
                <w:p w14:paraId="32D90DC8" w14:textId="123F7680" w:rsidR="005247FC" w:rsidRPr="00DB19B9" w:rsidRDefault="005247FC" w:rsidP="000360D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890" w:type="dxa"/>
                </w:tcPr>
                <w:p w14:paraId="4BF2735E" w14:textId="27B1C393" w:rsidR="005247FC" w:rsidRPr="00DB19B9" w:rsidRDefault="005247FC" w:rsidP="000360D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</w:tcPr>
                <w:p w14:paraId="1F22B93B" w14:textId="132867C6" w:rsidR="005247FC" w:rsidRPr="000360D5" w:rsidRDefault="005247FC" w:rsidP="000360D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247FC" w:rsidRPr="00DB19B9" w14:paraId="4D421A8D" w14:textId="77777777" w:rsidTr="003D4B0C">
              <w:trPr>
                <w:trHeight w:val="489"/>
              </w:trPr>
              <w:tc>
                <w:tcPr>
                  <w:tcW w:w="3565" w:type="dxa"/>
                  <w:vAlign w:val="center"/>
                </w:tcPr>
                <w:p w14:paraId="753D198A" w14:textId="2ABBC592" w:rsidR="005247FC" w:rsidRPr="00004360" w:rsidRDefault="005247FC" w:rsidP="000360D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269" w:type="dxa"/>
                  <w:gridSpan w:val="3"/>
                </w:tcPr>
                <w:p w14:paraId="3102A35E" w14:textId="77777777" w:rsidR="005247FC" w:rsidRPr="00DB19B9" w:rsidRDefault="005247FC" w:rsidP="000360D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247FC" w:rsidRPr="00DB19B9" w14:paraId="29FFB197" w14:textId="77777777" w:rsidTr="003D4B0C">
              <w:trPr>
                <w:trHeight w:val="489"/>
              </w:trPr>
              <w:tc>
                <w:tcPr>
                  <w:tcW w:w="3565" w:type="dxa"/>
                  <w:vAlign w:val="center"/>
                </w:tcPr>
                <w:p w14:paraId="153F5F18" w14:textId="4888F6E1" w:rsidR="005247FC" w:rsidRPr="00DB19B9" w:rsidRDefault="005247FC" w:rsidP="000360D5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lastRenderedPageBreak/>
                    <w:t>Електронско подношење захтева</w:t>
                  </w:r>
                </w:p>
              </w:tc>
              <w:tc>
                <w:tcPr>
                  <w:tcW w:w="1800" w:type="dxa"/>
                </w:tcPr>
                <w:p w14:paraId="3B2FEA8B" w14:textId="77777777" w:rsidR="005247FC" w:rsidRPr="00DB19B9" w:rsidRDefault="005247FC" w:rsidP="000360D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890" w:type="dxa"/>
                </w:tcPr>
                <w:p w14:paraId="3845B3A2" w14:textId="4973EBFB" w:rsidR="005247FC" w:rsidRDefault="005247FC" w:rsidP="003F793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</w:tcPr>
                <w:p w14:paraId="65091F39" w14:textId="77777777" w:rsidR="005247FC" w:rsidRPr="00DB19B9" w:rsidRDefault="005247FC" w:rsidP="000360D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247FC" w:rsidRPr="00DB19B9" w14:paraId="60F2AACA" w14:textId="77777777" w:rsidTr="003D4B0C">
              <w:trPr>
                <w:trHeight w:val="489"/>
              </w:trPr>
              <w:tc>
                <w:tcPr>
                  <w:tcW w:w="3565" w:type="dxa"/>
                  <w:vAlign w:val="center"/>
                </w:tcPr>
                <w:p w14:paraId="5614F3D1" w14:textId="588F02CA" w:rsidR="005247FC" w:rsidRDefault="005247FC" w:rsidP="000360D5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Време важења и издати акт/исправа</w:t>
                  </w:r>
                </w:p>
              </w:tc>
              <w:tc>
                <w:tcPr>
                  <w:tcW w:w="5269" w:type="dxa"/>
                  <w:gridSpan w:val="3"/>
                </w:tcPr>
                <w:p w14:paraId="3B26F786" w14:textId="77777777" w:rsidR="005247FC" w:rsidRPr="00DB19B9" w:rsidRDefault="005247FC" w:rsidP="000360D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247FC" w:rsidRPr="00DB19B9" w14:paraId="73936B58" w14:textId="77777777" w:rsidTr="003D4B0C">
              <w:trPr>
                <w:trHeight w:val="489"/>
              </w:trPr>
              <w:tc>
                <w:tcPr>
                  <w:tcW w:w="3565" w:type="dxa"/>
                  <w:vAlign w:val="center"/>
                </w:tcPr>
                <w:p w14:paraId="4A001ADC" w14:textId="7C88B314" w:rsidR="005247FC" w:rsidRPr="00004360" w:rsidRDefault="005247FC" w:rsidP="000360D5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Укидање времена важења</w:t>
                  </w:r>
                </w:p>
              </w:tc>
              <w:tc>
                <w:tcPr>
                  <w:tcW w:w="1800" w:type="dxa"/>
                </w:tcPr>
                <w:p w14:paraId="01133587" w14:textId="35E9078C" w:rsidR="005247FC" w:rsidRPr="00DB19B9" w:rsidRDefault="005247FC" w:rsidP="000360D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890" w:type="dxa"/>
                </w:tcPr>
                <w:p w14:paraId="58F93A15" w14:textId="479839AA" w:rsidR="005247FC" w:rsidRDefault="005247FC" w:rsidP="003F793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579" w:type="dxa"/>
                </w:tcPr>
                <w:p w14:paraId="6C3620C1" w14:textId="47D36910" w:rsidR="005247FC" w:rsidRPr="00DB19B9" w:rsidRDefault="005247FC" w:rsidP="005247F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1.</w:t>
                  </w:r>
                </w:p>
              </w:tc>
            </w:tr>
            <w:tr w:rsidR="005247FC" w:rsidRPr="00DB19B9" w14:paraId="79522DD3" w14:textId="77777777" w:rsidTr="003D4B0C">
              <w:trPr>
                <w:trHeight w:val="489"/>
              </w:trPr>
              <w:tc>
                <w:tcPr>
                  <w:tcW w:w="3565" w:type="dxa"/>
                  <w:vAlign w:val="center"/>
                </w:tcPr>
                <w:p w14:paraId="3F8E3608" w14:textId="56E2C48C" w:rsidR="005247FC" w:rsidRDefault="005247FC" w:rsidP="000360D5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Престанак употребе печата (</w:t>
                  </w: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образац</w:t>
                  </w: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)</w:t>
                  </w:r>
                </w:p>
              </w:tc>
              <w:tc>
                <w:tcPr>
                  <w:tcW w:w="1800" w:type="dxa"/>
                </w:tcPr>
                <w:p w14:paraId="4DBBB83B" w14:textId="77777777" w:rsidR="005247FC" w:rsidRPr="00DB19B9" w:rsidRDefault="005247FC" w:rsidP="000360D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890" w:type="dxa"/>
                </w:tcPr>
                <w:p w14:paraId="35979BC8" w14:textId="562F2F2E" w:rsidR="005247FC" w:rsidRDefault="005247FC" w:rsidP="003F793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</w:tcPr>
                <w:p w14:paraId="14401429" w14:textId="77777777" w:rsidR="005247FC" w:rsidRPr="00DB19B9" w:rsidRDefault="005247FC" w:rsidP="000360D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247FC" w:rsidRPr="00DB19B9" w14:paraId="5CA535B4" w14:textId="77777777" w:rsidTr="003D4B0C">
              <w:trPr>
                <w:trHeight w:val="489"/>
              </w:trPr>
              <w:tc>
                <w:tcPr>
                  <w:tcW w:w="3565" w:type="dxa"/>
                  <w:vAlign w:val="center"/>
                </w:tcPr>
                <w:p w14:paraId="66D068E3" w14:textId="3AF14993" w:rsidR="005247FC" w:rsidRPr="00DB19B9" w:rsidRDefault="005247FC" w:rsidP="003D4B0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A48B0">
                    <w:rPr>
                      <w:rFonts w:ascii="Times New Roman" w:eastAsia="Times New Roman" w:hAnsi="Times New Roman"/>
                      <w:b/>
                      <w:lang w:val="sr-Cyrl-CS"/>
                    </w:rPr>
                    <w:t>Прихватање доказа о електронском плаћању без печата банке</w:t>
                  </w:r>
                </w:p>
              </w:tc>
              <w:tc>
                <w:tcPr>
                  <w:tcW w:w="1800" w:type="dxa"/>
                </w:tcPr>
                <w:p w14:paraId="6454B609" w14:textId="77777777" w:rsidR="005247FC" w:rsidRPr="00DB19B9" w:rsidRDefault="005247FC" w:rsidP="003D4B0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890" w:type="dxa"/>
                </w:tcPr>
                <w:p w14:paraId="20D874DA" w14:textId="42147E20" w:rsidR="005247FC" w:rsidRDefault="005247FC" w:rsidP="003D4B0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</w:tcPr>
                <w:p w14:paraId="2B079328" w14:textId="77777777" w:rsidR="005247FC" w:rsidRPr="00DB19B9" w:rsidRDefault="005247FC" w:rsidP="003D4B0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41BCA9BD" w14:textId="77777777" w:rsidR="005247FC" w:rsidRDefault="005247FC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E28D8C5" w14:textId="5CC30C53" w:rsidR="005247FC" w:rsidRPr="00DB19B9" w:rsidRDefault="005247FC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5247FC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5247FC" w:rsidRPr="00DB19B9" w:rsidRDefault="005247FC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5247FC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A2FC032" w14:textId="77777777" w:rsidR="005247FC" w:rsidRDefault="005247FC" w:rsidP="00AF4F9D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</w:pPr>
          </w:p>
          <w:p w14:paraId="3A31201C" w14:textId="21A47F45" w:rsidR="005247FC" w:rsidRDefault="005247FC" w:rsidP="00AF4F9D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 xml:space="preserve">3.1. </w:t>
            </w:r>
            <w:r w:rsidRPr="00EF2C59"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>Документа која се прибављају по службеној дужности</w:t>
            </w:r>
          </w:p>
          <w:p w14:paraId="12E4A85E" w14:textId="77777777" w:rsidR="00AF4F9D" w:rsidRPr="00AF4F9D" w:rsidRDefault="00AF4F9D" w:rsidP="00AF4F9D">
            <w:pPr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5C5B6042" w14:textId="6625CCAC" w:rsidR="005247FC" w:rsidRPr="00EF2C59" w:rsidRDefault="005247FC" w:rsidP="00AF4F9D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09A9AD5D" w14:textId="77777777" w:rsidR="005247FC" w:rsidRPr="00EF2C59" w:rsidRDefault="005247FC" w:rsidP="00AF4F9D">
            <w:pPr>
              <w:numPr>
                <w:ilvl w:val="0"/>
                <w:numId w:val="25"/>
              </w:num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  <w:r w:rsidRPr="00004360"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>Извод из АПР-а</w:t>
            </w:r>
            <w:r w:rsidRPr="00EF2C59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 xml:space="preserve"> – потребно је да извод прибавља орган по службеној дужности једноставним увидом у регистар АПР-а.</w:t>
            </w:r>
          </w:p>
          <w:p w14:paraId="4D6C7E6F" w14:textId="22828B7A" w:rsidR="005247FC" w:rsidRDefault="005247FC" w:rsidP="00AF4F9D">
            <w:pPr>
              <w:numPr>
                <w:ilvl w:val="0"/>
                <w:numId w:val="25"/>
              </w:num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  <w:r w:rsidRPr="00004360"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>МА образац</w:t>
            </w:r>
            <w:r w:rsidRPr="00EF2C59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 xml:space="preserve"> – потребно је да орган по службеној дужности увидом у јавни регистар ЦРОСО добије податке који су му потребни везано за радноправни статус, с обзиром да подносилац захтева већ доставља уговор о раду са запосленим.</w:t>
            </w:r>
          </w:p>
          <w:p w14:paraId="052D867D" w14:textId="6CB34E5A" w:rsidR="005247FC" w:rsidRPr="003765D4" w:rsidRDefault="005247FC" w:rsidP="00AF4F9D">
            <w:pPr>
              <w:numPr>
                <w:ilvl w:val="0"/>
                <w:numId w:val="25"/>
              </w:num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</w:pPr>
            <w:r w:rsidRPr="00004360"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 xml:space="preserve">Акт о акредитацији и решења о утврђивању обима акредитације, </w:t>
            </w:r>
            <w:r w:rsidR="00CE7407"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 xml:space="preserve">са детаљним обимом акредитације – </w:t>
            </w:r>
            <w:r w:rsidR="00CE7407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 xml:space="preserve">која се прибављају по службеној дужности од Акредитационог тела Србије. </w:t>
            </w:r>
          </w:p>
          <w:p w14:paraId="35D1B30E" w14:textId="77777777" w:rsidR="003765D4" w:rsidRPr="00C104CA" w:rsidRDefault="003765D4" w:rsidP="003765D4">
            <w:pPr>
              <w:ind w:left="720"/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</w:pPr>
          </w:p>
          <w:p w14:paraId="3F86EFE7" w14:textId="2E219271" w:rsidR="00C104CA" w:rsidRPr="00004360" w:rsidRDefault="00C104CA" w:rsidP="00AF4F9D">
            <w:pPr>
              <w:numPr>
                <w:ilvl w:val="0"/>
                <w:numId w:val="25"/>
              </w:num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>Доказ о положеном стручном испиту запослених и ангажованих лица (ово ДМДМ издаје)</w:t>
            </w:r>
          </w:p>
          <w:p w14:paraId="321D3D8D" w14:textId="788B61B3" w:rsidR="005247FC" w:rsidRDefault="005247FC" w:rsidP="00AF4F9D">
            <w:pPr>
              <w:contextualSpacing/>
              <w:jc w:val="left"/>
              <w:rPr>
                <w:rFonts w:ascii="Times New Roman" w:eastAsia="Times New Roman" w:hAnsi="Times New Roman"/>
                <w:color w:val="FF0000"/>
                <w:sz w:val="22"/>
                <w:szCs w:val="22"/>
                <w:lang w:val="sr-Cyrl-RS"/>
              </w:rPr>
            </w:pPr>
          </w:p>
          <w:p w14:paraId="4E7A0ABF" w14:textId="66FDA43B" w:rsidR="005247FC" w:rsidRDefault="005247FC" w:rsidP="00AF4F9D">
            <w:pPr>
              <w:contextualSpacing/>
              <w:jc w:val="left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</w:p>
          <w:p w14:paraId="2B924F64" w14:textId="26FC6EA5" w:rsidR="005247FC" w:rsidRDefault="005247FC" w:rsidP="00AF4F9D">
            <w:pPr>
              <w:contextualSpacing/>
              <w:jc w:val="left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2826C72E" w14:textId="59506023" w:rsidR="005247FC" w:rsidRDefault="005247FC" w:rsidP="00AF4F9D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3F793F"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>3.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>2</w:t>
            </w:r>
            <w:r w:rsidRPr="003F793F"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>.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>Електронско подношење захтева</w:t>
            </w:r>
          </w:p>
          <w:p w14:paraId="691BC782" w14:textId="77777777" w:rsidR="00AF4F9D" w:rsidRPr="00AF4F9D" w:rsidRDefault="00AF4F9D" w:rsidP="00AF4F9D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7E94A6C3" w14:textId="0AE2B8CC" w:rsidR="005247FC" w:rsidRDefault="005247FC" w:rsidP="00AF4F9D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763A93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</w:t>
            </w:r>
            <w:r>
              <w:rPr>
                <w:sz w:val="22"/>
                <w:szCs w:val="22"/>
                <w:lang w:val="sr-Cyrl-RS"/>
              </w:rPr>
              <w:t>. Предлаже се примена ове препоруке чим се за то остваре технички услови.</w:t>
            </w:r>
          </w:p>
          <w:p w14:paraId="36D81784" w14:textId="77777777" w:rsidR="005247FC" w:rsidRPr="005247FC" w:rsidRDefault="005247FC" w:rsidP="00AF4F9D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</w:p>
          <w:p w14:paraId="07785F17" w14:textId="0562DFB0" w:rsidR="005247FC" w:rsidRDefault="005247FC" w:rsidP="00AF4F9D">
            <w:pPr>
              <w:contextualSpacing/>
              <w:jc w:val="left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</w:p>
          <w:p w14:paraId="3D2C15E4" w14:textId="77777777" w:rsidR="005247FC" w:rsidRDefault="005247FC" w:rsidP="00AF4F9D">
            <w:pPr>
              <w:contextualSpacing/>
              <w:jc w:val="left"/>
              <w:rPr>
                <w:rFonts w:ascii="Times New Roman" w:eastAsia="Times New Roman" w:hAnsi="Times New Roman"/>
                <w:color w:val="FF0000"/>
                <w:sz w:val="22"/>
                <w:szCs w:val="22"/>
                <w:lang w:val="sr-Cyrl-RS"/>
              </w:rPr>
            </w:pPr>
          </w:p>
          <w:p w14:paraId="6C0ACEAB" w14:textId="05DFAD58" w:rsidR="005247FC" w:rsidRPr="00C83504" w:rsidRDefault="005247FC" w:rsidP="00AF4F9D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>3.3. Укидање временског ограничења овлашћења</w:t>
            </w:r>
          </w:p>
          <w:p w14:paraId="69E5F32D" w14:textId="2E53288A" w:rsidR="005247FC" w:rsidRPr="003F793F" w:rsidRDefault="005247FC" w:rsidP="00AF4F9D">
            <w:pPr>
              <w:contextualSpacing/>
              <w:jc w:val="left"/>
              <w:rPr>
                <w:rFonts w:ascii="Times New Roman" w:eastAsia="Times New Roman" w:hAnsi="Times New Roman"/>
                <w:color w:val="00B050"/>
                <w:szCs w:val="22"/>
                <w:lang w:val="sr-Cyrl-CS"/>
              </w:rPr>
            </w:pPr>
          </w:p>
          <w:p w14:paraId="37B5C30D" w14:textId="1B0AFFA4" w:rsidR="005247FC" w:rsidRPr="003F793F" w:rsidRDefault="005247FC" w:rsidP="00AF4F9D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lastRenderedPageBreak/>
              <w:t xml:space="preserve">У складу са Нацртом новог закона о метрологији, временско важење овлашћења (које ће се по Нацрту звати именовање) неће се примењивати јер именовање није орочено.  Примена ове препоруке захтева промену актуелног закона о метрологији али како је Нацрт закона о метрологији на прагу уласка у скупштинску процедуру, сматрамо беспредметним да дајемо препоруку која ће бити донета новим законом у најскоријем периоду. Такође, период примене препоруке је четврти квартал 2019. године, и до тада би нови закон требало да буде донет. </w:t>
            </w:r>
          </w:p>
          <w:p w14:paraId="3F575F89" w14:textId="4123FABE" w:rsidR="005247FC" w:rsidRPr="00F96DE1" w:rsidRDefault="005247FC" w:rsidP="00AF4F9D">
            <w:pPr>
              <w:contextualSpacing/>
              <w:rPr>
                <w:rFonts w:ascii="Times New Roman" w:eastAsia="Times New Roman" w:hAnsi="Times New Roman"/>
                <w:color w:val="FF0000"/>
                <w:sz w:val="22"/>
                <w:szCs w:val="22"/>
                <w:lang w:val="sr-Cyrl-RS"/>
              </w:rPr>
            </w:pPr>
          </w:p>
          <w:p w14:paraId="73D165F1" w14:textId="0FFE0482" w:rsidR="005247FC" w:rsidRDefault="005247FC" w:rsidP="00AF4F9D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је потребно усвајање новог Закона о метрологији које је планирано за 2019. годину</w:t>
            </w:r>
          </w:p>
          <w:p w14:paraId="7B724F0A" w14:textId="6B4F1FBA" w:rsidR="005247FC" w:rsidRDefault="005247FC" w:rsidP="00AF4F9D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</w:pPr>
          </w:p>
          <w:p w14:paraId="55810E64" w14:textId="77777777" w:rsidR="005247FC" w:rsidRDefault="005247FC" w:rsidP="00AF4F9D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</w:pPr>
          </w:p>
          <w:p w14:paraId="4F236DDC" w14:textId="550B2823" w:rsidR="005247FC" w:rsidRDefault="005247FC" w:rsidP="00AF4F9D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>3.4. Елиминација печата</w:t>
            </w:r>
          </w:p>
          <w:p w14:paraId="6EFD9805" w14:textId="1D011758" w:rsidR="005247FC" w:rsidRDefault="005247FC" w:rsidP="00AF4F9D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</w:pPr>
          </w:p>
          <w:p w14:paraId="27A2FCBE" w14:textId="77777777" w:rsidR="005247FC" w:rsidRDefault="005247FC" w:rsidP="00AF4F9D">
            <w:pPr>
              <w:contextualSpacing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D3420B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Предлаже се измена обрасца за покретање предметног поступка, у делу који се односи на место за печат, тако што ће се уклонити. Наиме, чланом 25. Закона о привредним друштвима је прописано да друштво није у обавези да у пословању користи печат. Наведеним чланом изричито је прописано да посебним прописом не може се друштву увести обавеза употребе печата у пословним и другим документима друштва. </w:t>
            </w:r>
          </w:p>
          <w:p w14:paraId="10D84C6C" w14:textId="77777777" w:rsidR="005247FC" w:rsidRDefault="005247FC" w:rsidP="00AF4F9D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</w:p>
          <w:p w14:paraId="54F88501" w14:textId="16921C9F" w:rsidR="005247FC" w:rsidRDefault="005247FC" w:rsidP="00AF4F9D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 xml:space="preserve">Препорука је да се укине место за печат на обрасцу.  </w:t>
            </w:r>
          </w:p>
          <w:p w14:paraId="0456CF98" w14:textId="6724C800" w:rsidR="005247FC" w:rsidRPr="00420637" w:rsidRDefault="005247FC" w:rsidP="00AF4F9D">
            <w:pPr>
              <w:contextualSpacing/>
              <w:rPr>
                <w:rFonts w:ascii="Times New Roman" w:eastAsia="Times New Roman" w:hAnsi="Times New Roman"/>
                <w:color w:val="00B050"/>
                <w:sz w:val="22"/>
                <w:szCs w:val="22"/>
                <w:lang w:val="sr-Cyrl-CS"/>
              </w:rPr>
            </w:pPr>
          </w:p>
          <w:p w14:paraId="2EFD9EF3" w14:textId="6946CE47" w:rsidR="005247FC" w:rsidRDefault="005247FC" w:rsidP="00AF4F9D">
            <w:pPr>
              <w:contextualSpacing/>
              <w:jc w:val="left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</w:p>
          <w:p w14:paraId="40484779" w14:textId="2737785B" w:rsidR="005247FC" w:rsidRDefault="005247FC" w:rsidP="00AF4F9D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</w:p>
          <w:p w14:paraId="586122DC" w14:textId="77777777" w:rsidR="005247FC" w:rsidRPr="00246A6C" w:rsidRDefault="005247FC" w:rsidP="00AF4F9D">
            <w:pPr>
              <w:contextualSpacing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 xml:space="preserve">3.5. </w:t>
            </w:r>
            <w:r w:rsidRPr="00246A6C"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Прихватање доказа о електронској уплати таксе без печата банке </w:t>
            </w:r>
          </w:p>
          <w:p w14:paraId="21833FB2" w14:textId="77777777" w:rsidR="005247FC" w:rsidRDefault="005247FC" w:rsidP="00AF4F9D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</w:p>
          <w:p w14:paraId="432F471C" w14:textId="77777777" w:rsidR="005247FC" w:rsidRPr="00246A6C" w:rsidRDefault="005247FC" w:rsidP="00AF4F9D">
            <w:pPr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246A6C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Препорука је да се као доказ о уплати републичке административне таксе, прихвати извод са пословног рачуна странке без печата банке, имајући у виду да је такав начин плаћања већ прихваћен као валидан на основу Мишљења Министарства  финансија бр. 434-01-7/07-04 од 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 </w:t>
            </w:r>
          </w:p>
          <w:p w14:paraId="07C7E6E6" w14:textId="77777777" w:rsidR="005247FC" w:rsidRPr="00246A6C" w:rsidRDefault="005247FC" w:rsidP="00AF4F9D">
            <w:pPr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44922FCD" w14:textId="5C647978" w:rsidR="005247FC" w:rsidRDefault="005247FC" w:rsidP="00AF4F9D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  <w:r w:rsidRPr="00246A6C">
              <w:rPr>
                <w:rFonts w:ascii="Times New Roman" w:eastAsia="Times New Roman" w:hAnsi="Times New Roman"/>
                <w:b/>
                <w:i/>
                <w:sz w:val="22"/>
                <w:lang w:val="sr-Cyrl-RS"/>
              </w:rPr>
              <w:t>За примену ове препоруке нису потребне измене прописа.</w:t>
            </w:r>
          </w:p>
          <w:p w14:paraId="3EAB4AF8" w14:textId="77777777" w:rsidR="005247FC" w:rsidRPr="00DB19B9" w:rsidRDefault="005247FC" w:rsidP="00AF4F9D">
            <w:pPr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5247FC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5247FC" w:rsidRPr="00DB19B9" w:rsidRDefault="005247FC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5247FC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160E69F" w14:textId="77777777" w:rsidR="004D0CF8" w:rsidRDefault="004D0CF8" w:rsidP="005247FC">
            <w:pPr>
              <w:jc w:val="left"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0A0B2C06" w14:textId="49C0B808" w:rsidR="005247FC" w:rsidRDefault="005247FC" w:rsidP="005247FC">
            <w:pPr>
              <w:jc w:val="left"/>
              <w:rPr>
                <w:rFonts w:ascii="Times New Roman" w:eastAsia="Times New Roman" w:hAnsi="Times New Roman"/>
                <w:sz w:val="22"/>
                <w:szCs w:val="24"/>
              </w:rPr>
            </w:pPr>
            <w:r w:rsidRPr="005247FC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За примену препоруке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3.3.</w:t>
            </w:r>
            <w:r w:rsidR="00B53B99">
              <w:t xml:space="preserve"> </w:t>
            </w:r>
            <w:r w:rsidR="00B53B99" w:rsidRPr="00B53B99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Укидање временског ограничења овлашћења</w:t>
            </w:r>
            <w:r w:rsidR="00B53B99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,</w:t>
            </w:r>
            <w:r w:rsidRPr="005247FC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је потребно усва</w:t>
            </w:r>
            <w:r w:rsidR="00AF4F9D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јање новог Закона о метрологији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.</w:t>
            </w:r>
          </w:p>
          <w:p w14:paraId="39763933" w14:textId="291F085A" w:rsidR="00AF4F9D" w:rsidRPr="00AF4F9D" w:rsidRDefault="00AF4F9D" w:rsidP="005247FC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247FC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5247FC" w:rsidRPr="00DB19B9" w:rsidRDefault="005247FC" w:rsidP="00E002A1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5247FC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5B26545" w14:textId="77777777" w:rsidR="00FD498B" w:rsidRDefault="00FD498B" w:rsidP="00E002A1">
            <w:pPr>
              <w:jc w:val="left"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69C1AA41" w14:textId="0E4D473B" w:rsidR="005247FC" w:rsidRDefault="005247FC" w:rsidP="00E002A1">
            <w:pPr>
              <w:jc w:val="left"/>
              <w:rPr>
                <w:rFonts w:ascii="Times New Roman" w:eastAsia="Times New Roman" w:hAnsi="Times New Roman"/>
                <w:sz w:val="22"/>
                <w:szCs w:val="24"/>
              </w:rPr>
            </w:pPr>
            <w:r w:rsidRPr="005247FC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За примену препоруке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3.3.</w:t>
            </w:r>
            <w:r w:rsidRPr="005247FC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</w:t>
            </w:r>
            <w:r w:rsidR="00B53B99" w:rsidRPr="00B53B99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Укидање временског ограничења овлашћења</w:t>
            </w:r>
            <w:r w:rsidR="00B53B99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,</w:t>
            </w:r>
            <w:r w:rsidR="00B53B99" w:rsidRPr="00B53B99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</w:t>
            </w:r>
            <w:r w:rsidRPr="005247FC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је потребно усва</w:t>
            </w:r>
            <w:r w:rsidR="00AF4F9D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јање новог Закона о метрологији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.</w:t>
            </w:r>
          </w:p>
          <w:p w14:paraId="1506ADFF" w14:textId="62837C5C" w:rsidR="00AF4F9D" w:rsidRPr="00AF4F9D" w:rsidRDefault="00AF4F9D" w:rsidP="00E002A1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247FC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5247FC" w:rsidRPr="00DB19B9" w:rsidRDefault="005247FC" w:rsidP="00E002A1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5247FC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9FB7A76" w14:textId="77777777" w:rsidR="005247FC" w:rsidRDefault="005247FC" w:rsidP="00DB1682">
            <w:pPr>
              <w:jc w:val="left"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0C5D5DCC" w14:textId="77777777" w:rsidR="005247FC" w:rsidRDefault="00AF4F9D" w:rsidP="00AF4F9D">
            <w:p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AF4F9D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197.513,85 РСД. Усвајање и примена препорука ће донети привредним субјектима годишње директне уштеде од 20.100,37 РСД или 165,27 ЕУР. Ове уштеде износе 10,18% </w:t>
            </w:r>
            <w:r w:rsidRPr="00AF4F9D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lastRenderedPageBreak/>
              <w:t>укупних директних трошкова привредних субјеката у поступку.</w:t>
            </w:r>
          </w:p>
          <w:p w14:paraId="74E41BB2" w14:textId="77777777" w:rsidR="00AF4F9D" w:rsidRDefault="00AF4F9D" w:rsidP="00AF4F9D">
            <w:pPr>
              <w:rPr>
                <w:rFonts w:ascii="Times New Roman" w:eastAsia="Times New Roman" w:hAnsi="Times New Roman"/>
                <w:sz w:val="22"/>
                <w:szCs w:val="24"/>
              </w:rPr>
            </w:pPr>
          </w:p>
          <w:p w14:paraId="18D667F6" w14:textId="1619005B" w:rsidR="00AF4F9D" w:rsidRDefault="00AF4F9D" w:rsidP="00AF4F9D">
            <w:pPr>
              <w:contextualSpacing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Препоруке ће допринети истоветности поступања, транспарентности поступка, правној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сигурности привредних субјеката, поједностављењу поступка за привредне субјекте, </w:t>
            </w:r>
            <w:r w:rsidR="00B53B99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смањењу документације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. Препорукама се такође утиче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на побољшање пословног амбијента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.</w:t>
            </w:r>
          </w:p>
          <w:p w14:paraId="331CCBA4" w14:textId="0BF335A3" w:rsidR="00AF4F9D" w:rsidRPr="00AF4F9D" w:rsidRDefault="00AF4F9D" w:rsidP="00AF4F9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F0CE4B" w14:textId="77777777" w:rsidR="009A6BBA" w:rsidRDefault="009A6BBA" w:rsidP="002A202F">
      <w:r>
        <w:separator/>
      </w:r>
    </w:p>
  </w:endnote>
  <w:endnote w:type="continuationSeparator" w:id="0">
    <w:p w14:paraId="0AAF50B9" w14:textId="77777777" w:rsidR="009A6BBA" w:rsidRDefault="009A6BBA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7777777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0A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D05AE7" w14:textId="77777777" w:rsidR="009A6BBA" w:rsidRDefault="009A6BBA" w:rsidP="002A202F">
      <w:r>
        <w:separator/>
      </w:r>
    </w:p>
  </w:footnote>
  <w:footnote w:type="continuationSeparator" w:id="0">
    <w:p w14:paraId="19FC0420" w14:textId="77777777" w:rsidR="009A6BBA" w:rsidRDefault="009A6BBA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80BBF"/>
    <w:multiLevelType w:val="hybridMultilevel"/>
    <w:tmpl w:val="C6ECC5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12DCF"/>
    <w:multiLevelType w:val="hybridMultilevel"/>
    <w:tmpl w:val="C41CF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95727"/>
    <w:multiLevelType w:val="hybridMultilevel"/>
    <w:tmpl w:val="79FAD84C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498B2324"/>
    <w:multiLevelType w:val="hybridMultilevel"/>
    <w:tmpl w:val="23025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D637F"/>
    <w:multiLevelType w:val="hybridMultilevel"/>
    <w:tmpl w:val="06BC9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6"/>
  </w:num>
  <w:num w:numId="4">
    <w:abstractNumId w:val="6"/>
  </w:num>
  <w:num w:numId="5">
    <w:abstractNumId w:val="2"/>
  </w:num>
  <w:num w:numId="6">
    <w:abstractNumId w:val="14"/>
  </w:num>
  <w:num w:numId="7">
    <w:abstractNumId w:val="26"/>
  </w:num>
  <w:num w:numId="8">
    <w:abstractNumId w:val="11"/>
  </w:num>
  <w:num w:numId="9">
    <w:abstractNumId w:val="24"/>
  </w:num>
  <w:num w:numId="10">
    <w:abstractNumId w:val="22"/>
  </w:num>
  <w:num w:numId="11">
    <w:abstractNumId w:val="21"/>
  </w:num>
  <w:num w:numId="12">
    <w:abstractNumId w:val="20"/>
  </w:num>
  <w:num w:numId="13">
    <w:abstractNumId w:val="17"/>
  </w:num>
  <w:num w:numId="14">
    <w:abstractNumId w:val="23"/>
  </w:num>
  <w:num w:numId="15">
    <w:abstractNumId w:val="19"/>
  </w:num>
  <w:num w:numId="16">
    <w:abstractNumId w:val="12"/>
  </w:num>
  <w:num w:numId="17">
    <w:abstractNumId w:val="10"/>
  </w:num>
  <w:num w:numId="18">
    <w:abstractNumId w:val="25"/>
  </w:num>
  <w:num w:numId="19">
    <w:abstractNumId w:val="7"/>
  </w:num>
  <w:num w:numId="20">
    <w:abstractNumId w:val="27"/>
  </w:num>
  <w:num w:numId="21">
    <w:abstractNumId w:val="8"/>
  </w:num>
  <w:num w:numId="22">
    <w:abstractNumId w:val="4"/>
  </w:num>
  <w:num w:numId="23">
    <w:abstractNumId w:val="18"/>
  </w:num>
  <w:num w:numId="24">
    <w:abstractNumId w:val="0"/>
  </w:num>
  <w:num w:numId="25">
    <w:abstractNumId w:val="3"/>
  </w:num>
  <w:num w:numId="26">
    <w:abstractNumId w:val="1"/>
  </w:num>
  <w:num w:numId="27">
    <w:abstractNumId w:val="13"/>
  </w:num>
  <w:num w:numId="28">
    <w:abstractNumId w:val="15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4360"/>
    <w:rsid w:val="000050B3"/>
    <w:rsid w:val="0001445B"/>
    <w:rsid w:val="000145DB"/>
    <w:rsid w:val="00023EF9"/>
    <w:rsid w:val="00026C2F"/>
    <w:rsid w:val="00027945"/>
    <w:rsid w:val="000360D5"/>
    <w:rsid w:val="00036812"/>
    <w:rsid w:val="00044F35"/>
    <w:rsid w:val="00044F63"/>
    <w:rsid w:val="00050616"/>
    <w:rsid w:val="00061070"/>
    <w:rsid w:val="00083993"/>
    <w:rsid w:val="00092B84"/>
    <w:rsid w:val="00093481"/>
    <w:rsid w:val="0009542A"/>
    <w:rsid w:val="000A17E9"/>
    <w:rsid w:val="000A53F3"/>
    <w:rsid w:val="000A5CDC"/>
    <w:rsid w:val="000B54D7"/>
    <w:rsid w:val="000D5029"/>
    <w:rsid w:val="000E2036"/>
    <w:rsid w:val="000F5E72"/>
    <w:rsid w:val="00101CBE"/>
    <w:rsid w:val="001156BA"/>
    <w:rsid w:val="001358F5"/>
    <w:rsid w:val="0015182D"/>
    <w:rsid w:val="00161847"/>
    <w:rsid w:val="00170CA7"/>
    <w:rsid w:val="001711C5"/>
    <w:rsid w:val="001936CA"/>
    <w:rsid w:val="001A023F"/>
    <w:rsid w:val="001A3FAC"/>
    <w:rsid w:val="001A6472"/>
    <w:rsid w:val="001C5538"/>
    <w:rsid w:val="001D0EDE"/>
    <w:rsid w:val="001D20E2"/>
    <w:rsid w:val="001D3800"/>
    <w:rsid w:val="001E084B"/>
    <w:rsid w:val="001E38DE"/>
    <w:rsid w:val="001F7B31"/>
    <w:rsid w:val="00200671"/>
    <w:rsid w:val="0020601F"/>
    <w:rsid w:val="00212DA5"/>
    <w:rsid w:val="0021347C"/>
    <w:rsid w:val="002323AC"/>
    <w:rsid w:val="00246487"/>
    <w:rsid w:val="00261404"/>
    <w:rsid w:val="002673B0"/>
    <w:rsid w:val="00275E2A"/>
    <w:rsid w:val="00296938"/>
    <w:rsid w:val="002A202F"/>
    <w:rsid w:val="002B19B4"/>
    <w:rsid w:val="002D7B76"/>
    <w:rsid w:val="002F1BEC"/>
    <w:rsid w:val="002F4757"/>
    <w:rsid w:val="00322199"/>
    <w:rsid w:val="003223C7"/>
    <w:rsid w:val="00326555"/>
    <w:rsid w:val="00340CA7"/>
    <w:rsid w:val="003410E0"/>
    <w:rsid w:val="00350EAD"/>
    <w:rsid w:val="003651DB"/>
    <w:rsid w:val="003715A0"/>
    <w:rsid w:val="0037171F"/>
    <w:rsid w:val="003765D4"/>
    <w:rsid w:val="00376FD1"/>
    <w:rsid w:val="00386D53"/>
    <w:rsid w:val="0039002C"/>
    <w:rsid w:val="003A73D1"/>
    <w:rsid w:val="003B031B"/>
    <w:rsid w:val="003B44DB"/>
    <w:rsid w:val="003B4BC9"/>
    <w:rsid w:val="003B6298"/>
    <w:rsid w:val="003D4B0C"/>
    <w:rsid w:val="003E2EB1"/>
    <w:rsid w:val="003E3C16"/>
    <w:rsid w:val="003F793F"/>
    <w:rsid w:val="00407D96"/>
    <w:rsid w:val="00420637"/>
    <w:rsid w:val="00432495"/>
    <w:rsid w:val="00444DA7"/>
    <w:rsid w:val="00457882"/>
    <w:rsid w:val="00463CC7"/>
    <w:rsid w:val="00467CB0"/>
    <w:rsid w:val="00474233"/>
    <w:rsid w:val="004809C4"/>
    <w:rsid w:val="0048433C"/>
    <w:rsid w:val="004847B1"/>
    <w:rsid w:val="004850CF"/>
    <w:rsid w:val="0049545B"/>
    <w:rsid w:val="004B5A18"/>
    <w:rsid w:val="004D0CF8"/>
    <w:rsid w:val="004D3BD0"/>
    <w:rsid w:val="004D45B1"/>
    <w:rsid w:val="004D68A7"/>
    <w:rsid w:val="004E29D1"/>
    <w:rsid w:val="00500566"/>
    <w:rsid w:val="005073A3"/>
    <w:rsid w:val="00523608"/>
    <w:rsid w:val="005247FC"/>
    <w:rsid w:val="00525C0A"/>
    <w:rsid w:val="00535608"/>
    <w:rsid w:val="00537395"/>
    <w:rsid w:val="00556688"/>
    <w:rsid w:val="00560181"/>
    <w:rsid w:val="0056080A"/>
    <w:rsid w:val="0056162B"/>
    <w:rsid w:val="0056707B"/>
    <w:rsid w:val="00581A9D"/>
    <w:rsid w:val="005A2503"/>
    <w:rsid w:val="005B4F04"/>
    <w:rsid w:val="005B7CB9"/>
    <w:rsid w:val="005D0023"/>
    <w:rsid w:val="005D6B1B"/>
    <w:rsid w:val="005E21C4"/>
    <w:rsid w:val="005F4CF5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77525"/>
    <w:rsid w:val="00692071"/>
    <w:rsid w:val="006948D9"/>
    <w:rsid w:val="00694B28"/>
    <w:rsid w:val="006C5349"/>
    <w:rsid w:val="006C5F2A"/>
    <w:rsid w:val="006C662C"/>
    <w:rsid w:val="006F4A5C"/>
    <w:rsid w:val="00715F5C"/>
    <w:rsid w:val="00717F38"/>
    <w:rsid w:val="00720EB7"/>
    <w:rsid w:val="007278C1"/>
    <w:rsid w:val="00733493"/>
    <w:rsid w:val="00737F1D"/>
    <w:rsid w:val="00781AD8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25AEB"/>
    <w:rsid w:val="008310A0"/>
    <w:rsid w:val="00833D8C"/>
    <w:rsid w:val="00834C9A"/>
    <w:rsid w:val="0084708C"/>
    <w:rsid w:val="00850AD5"/>
    <w:rsid w:val="00852739"/>
    <w:rsid w:val="008629CC"/>
    <w:rsid w:val="00863E5C"/>
    <w:rsid w:val="00865EBB"/>
    <w:rsid w:val="00886C36"/>
    <w:rsid w:val="008A2273"/>
    <w:rsid w:val="008A6AC8"/>
    <w:rsid w:val="008C5591"/>
    <w:rsid w:val="008D04A6"/>
    <w:rsid w:val="008D4C1A"/>
    <w:rsid w:val="008E1070"/>
    <w:rsid w:val="008F0867"/>
    <w:rsid w:val="008F172F"/>
    <w:rsid w:val="008F2044"/>
    <w:rsid w:val="008F2BE1"/>
    <w:rsid w:val="008F4DD1"/>
    <w:rsid w:val="009056DB"/>
    <w:rsid w:val="00932699"/>
    <w:rsid w:val="00947592"/>
    <w:rsid w:val="00950280"/>
    <w:rsid w:val="00960A4A"/>
    <w:rsid w:val="009831C8"/>
    <w:rsid w:val="00991A18"/>
    <w:rsid w:val="00994A16"/>
    <w:rsid w:val="009A30D3"/>
    <w:rsid w:val="009A6BBA"/>
    <w:rsid w:val="009A75B7"/>
    <w:rsid w:val="009D03A7"/>
    <w:rsid w:val="009E0479"/>
    <w:rsid w:val="00A0102E"/>
    <w:rsid w:val="00A12960"/>
    <w:rsid w:val="00A1570D"/>
    <w:rsid w:val="00A22386"/>
    <w:rsid w:val="00A534D4"/>
    <w:rsid w:val="00A56B75"/>
    <w:rsid w:val="00A66A89"/>
    <w:rsid w:val="00A71C04"/>
    <w:rsid w:val="00AA0017"/>
    <w:rsid w:val="00AA28E0"/>
    <w:rsid w:val="00AA33B3"/>
    <w:rsid w:val="00AA4BC5"/>
    <w:rsid w:val="00AB09B3"/>
    <w:rsid w:val="00AC02D1"/>
    <w:rsid w:val="00AC061C"/>
    <w:rsid w:val="00AF4F9D"/>
    <w:rsid w:val="00B06019"/>
    <w:rsid w:val="00B07409"/>
    <w:rsid w:val="00B1006E"/>
    <w:rsid w:val="00B178FB"/>
    <w:rsid w:val="00B25CEC"/>
    <w:rsid w:val="00B5252A"/>
    <w:rsid w:val="00B53B99"/>
    <w:rsid w:val="00B63DB1"/>
    <w:rsid w:val="00B67138"/>
    <w:rsid w:val="00B6715C"/>
    <w:rsid w:val="00B81CFE"/>
    <w:rsid w:val="00B903AE"/>
    <w:rsid w:val="00B9157F"/>
    <w:rsid w:val="00B92705"/>
    <w:rsid w:val="00B95225"/>
    <w:rsid w:val="00B96947"/>
    <w:rsid w:val="00BA55D3"/>
    <w:rsid w:val="00BA6759"/>
    <w:rsid w:val="00BA7204"/>
    <w:rsid w:val="00BB0B80"/>
    <w:rsid w:val="00BB2C8C"/>
    <w:rsid w:val="00BC040A"/>
    <w:rsid w:val="00BC6083"/>
    <w:rsid w:val="00BC6826"/>
    <w:rsid w:val="00BF4925"/>
    <w:rsid w:val="00C0295C"/>
    <w:rsid w:val="00C03C06"/>
    <w:rsid w:val="00C104CA"/>
    <w:rsid w:val="00C121EC"/>
    <w:rsid w:val="00C12C65"/>
    <w:rsid w:val="00C445E2"/>
    <w:rsid w:val="00C50606"/>
    <w:rsid w:val="00C70F1B"/>
    <w:rsid w:val="00C7129D"/>
    <w:rsid w:val="00C748D1"/>
    <w:rsid w:val="00C83504"/>
    <w:rsid w:val="00C85CBA"/>
    <w:rsid w:val="00C900F4"/>
    <w:rsid w:val="00C91014"/>
    <w:rsid w:val="00CA1CE9"/>
    <w:rsid w:val="00CB1A4E"/>
    <w:rsid w:val="00CB7E6E"/>
    <w:rsid w:val="00CC29F6"/>
    <w:rsid w:val="00CD2287"/>
    <w:rsid w:val="00CD5BBB"/>
    <w:rsid w:val="00CE0685"/>
    <w:rsid w:val="00CE371F"/>
    <w:rsid w:val="00CE7407"/>
    <w:rsid w:val="00D21F16"/>
    <w:rsid w:val="00D37EA5"/>
    <w:rsid w:val="00D7131E"/>
    <w:rsid w:val="00D73628"/>
    <w:rsid w:val="00D73918"/>
    <w:rsid w:val="00D967D7"/>
    <w:rsid w:val="00DA125D"/>
    <w:rsid w:val="00DB1682"/>
    <w:rsid w:val="00DB19B9"/>
    <w:rsid w:val="00DC4BC2"/>
    <w:rsid w:val="00DE057D"/>
    <w:rsid w:val="00E0020F"/>
    <w:rsid w:val="00E002A1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55F8C"/>
    <w:rsid w:val="00E63C8A"/>
    <w:rsid w:val="00E70BF6"/>
    <w:rsid w:val="00E715DE"/>
    <w:rsid w:val="00E7199B"/>
    <w:rsid w:val="00ED6D8D"/>
    <w:rsid w:val="00EE42F7"/>
    <w:rsid w:val="00EF2C59"/>
    <w:rsid w:val="00F11C98"/>
    <w:rsid w:val="00F12E47"/>
    <w:rsid w:val="00F223B2"/>
    <w:rsid w:val="00F436E8"/>
    <w:rsid w:val="00F53241"/>
    <w:rsid w:val="00F6171A"/>
    <w:rsid w:val="00F67790"/>
    <w:rsid w:val="00F71E7E"/>
    <w:rsid w:val="00F83F30"/>
    <w:rsid w:val="00FA01FC"/>
    <w:rsid w:val="00FA2913"/>
    <w:rsid w:val="00FB1A1B"/>
    <w:rsid w:val="00FB645B"/>
    <w:rsid w:val="00FC09D6"/>
    <w:rsid w:val="00FC34EC"/>
    <w:rsid w:val="00FC3F69"/>
    <w:rsid w:val="00FC40E6"/>
    <w:rsid w:val="00FC5312"/>
    <w:rsid w:val="00FD3964"/>
    <w:rsid w:val="00FD498B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20841A17-121B-4ACC-AD2E-FBC8E92A7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781AD8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7C20D-398A-4306-BBE6-103410446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1049</Words>
  <Characters>5982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Milana Aleksic</cp:lastModifiedBy>
  <cp:revision>9</cp:revision>
  <cp:lastPrinted>2018-09-05T12:48:00Z</cp:lastPrinted>
  <dcterms:created xsi:type="dcterms:W3CDTF">2019-04-08T14:33:00Z</dcterms:created>
  <dcterms:modified xsi:type="dcterms:W3CDTF">2019-04-09T14:40:00Z</dcterms:modified>
</cp:coreProperties>
</file>