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E5AF0" w14:textId="7320035C" w:rsidR="000E2036" w:rsidRPr="00DB19B9" w:rsidRDefault="00400628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Cs w:val="22"/>
          <w:lang w:val="sr-Cyrl-RS"/>
        </w:rPr>
      </w:pPr>
      <w:r>
        <w:rPr>
          <w:b/>
          <w:szCs w:val="22"/>
          <w:lang w:val="sr-Cyrl-RS"/>
        </w:rPr>
        <w:t>Поједностављење административног поступка за рефундацију накнаде</w:t>
      </w:r>
      <w:r w:rsidRPr="00400628">
        <w:rPr>
          <w:rFonts w:ascii="Calibri" w:eastAsia="Calibri" w:hAnsi="Calibri"/>
          <w:b/>
          <w:sz w:val="22"/>
          <w:szCs w:val="22"/>
        </w:rPr>
        <w:t xml:space="preserve"> </w:t>
      </w:r>
      <w:proofErr w:type="spellStart"/>
      <w:r w:rsidRPr="00400628">
        <w:rPr>
          <w:b/>
          <w:szCs w:val="22"/>
        </w:rPr>
        <w:t>коју</w:t>
      </w:r>
      <w:proofErr w:type="spellEnd"/>
      <w:r w:rsidRPr="00400628">
        <w:rPr>
          <w:b/>
          <w:szCs w:val="22"/>
        </w:rPr>
        <w:t xml:space="preserve"> </w:t>
      </w:r>
      <w:proofErr w:type="spellStart"/>
      <w:r w:rsidRPr="00400628">
        <w:rPr>
          <w:b/>
          <w:szCs w:val="22"/>
        </w:rPr>
        <w:t>послодавци</w:t>
      </w:r>
      <w:proofErr w:type="spellEnd"/>
      <w:r w:rsidRPr="00400628">
        <w:rPr>
          <w:b/>
          <w:szCs w:val="22"/>
        </w:rPr>
        <w:t xml:space="preserve"> </w:t>
      </w:r>
      <w:proofErr w:type="spellStart"/>
      <w:r w:rsidRPr="00400628">
        <w:rPr>
          <w:b/>
          <w:szCs w:val="22"/>
        </w:rPr>
        <w:t>исплаћују</w:t>
      </w:r>
      <w:proofErr w:type="spellEnd"/>
      <w:r w:rsidRPr="00400628">
        <w:rPr>
          <w:b/>
          <w:szCs w:val="22"/>
        </w:rPr>
        <w:t xml:space="preserve"> </w:t>
      </w:r>
      <w:proofErr w:type="spellStart"/>
      <w:r w:rsidRPr="00400628">
        <w:rPr>
          <w:b/>
          <w:szCs w:val="22"/>
        </w:rPr>
        <w:t>инвалидима</w:t>
      </w:r>
      <w:proofErr w:type="spellEnd"/>
      <w:r w:rsidRPr="00400628">
        <w:rPr>
          <w:b/>
          <w:szCs w:val="22"/>
        </w:rPr>
        <w:t xml:space="preserve"> II и III </w:t>
      </w:r>
      <w:proofErr w:type="spellStart"/>
      <w:r w:rsidRPr="00400628">
        <w:rPr>
          <w:b/>
          <w:szCs w:val="22"/>
        </w:rPr>
        <w:t>категорије</w:t>
      </w:r>
      <w:proofErr w:type="spellEnd"/>
      <w:r>
        <w:rPr>
          <w:b/>
          <w:szCs w:val="22"/>
          <w:lang w:val="sr-Cyrl-RS"/>
        </w:rPr>
        <w:t xml:space="preserve"> </w:t>
      </w:r>
    </w:p>
    <w:p w14:paraId="299395FC" w14:textId="77777777" w:rsidR="00B1006E" w:rsidRPr="00DB19B9" w:rsidRDefault="00B1006E" w:rsidP="000E2036">
      <w:pPr>
        <w:pStyle w:val="NormalWeb"/>
        <w:spacing w:before="0" w:beforeAutospacing="0" w:after="0" w:afterAutospacing="0" w:line="336" w:lineRule="atLeast"/>
        <w:jc w:val="center"/>
        <w:rPr>
          <w:b/>
          <w:sz w:val="22"/>
          <w:szCs w:val="22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850AD5" w:rsidRPr="00DB19B9" w14:paraId="1976FB87" w14:textId="77777777" w:rsidTr="00850AD5">
        <w:trPr>
          <w:trHeight w:val="88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DB19B9" w:rsidRDefault="000E2036" w:rsidP="00850AD5">
            <w:pPr>
              <w:jc w:val="left"/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  <w:r w:rsidRPr="00DB19B9">
              <w:rPr>
                <w:rFonts w:ascii="Times New Roman" w:hAnsi="Times New Roman"/>
                <w:b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1CE361D6" w:rsidR="000E2036" w:rsidRPr="00DB19B9" w:rsidRDefault="00CE47F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CE47F5">
              <w:rPr>
                <w:b/>
                <w:sz w:val="22"/>
                <w:szCs w:val="22"/>
              </w:rPr>
              <w:t>Рефундација</w:t>
            </w:r>
            <w:proofErr w:type="spellEnd"/>
            <w:r w:rsidRPr="00CE47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47F5">
              <w:rPr>
                <w:b/>
                <w:sz w:val="22"/>
                <w:szCs w:val="22"/>
              </w:rPr>
              <w:t>накнаде</w:t>
            </w:r>
            <w:proofErr w:type="spellEnd"/>
            <w:r w:rsidRPr="00CE47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47F5">
              <w:rPr>
                <w:b/>
                <w:sz w:val="22"/>
                <w:szCs w:val="22"/>
              </w:rPr>
              <w:t>коју</w:t>
            </w:r>
            <w:proofErr w:type="spellEnd"/>
            <w:r w:rsidRPr="00CE47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47F5">
              <w:rPr>
                <w:b/>
                <w:sz w:val="22"/>
                <w:szCs w:val="22"/>
              </w:rPr>
              <w:t>послодавци</w:t>
            </w:r>
            <w:proofErr w:type="spellEnd"/>
            <w:r w:rsidRPr="00CE47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47F5">
              <w:rPr>
                <w:b/>
                <w:sz w:val="22"/>
                <w:szCs w:val="22"/>
              </w:rPr>
              <w:t>исплаћују</w:t>
            </w:r>
            <w:proofErr w:type="spellEnd"/>
            <w:r w:rsidRPr="00CE47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E47F5">
              <w:rPr>
                <w:b/>
                <w:sz w:val="22"/>
                <w:szCs w:val="22"/>
              </w:rPr>
              <w:t>инвалидима</w:t>
            </w:r>
            <w:proofErr w:type="spellEnd"/>
            <w:r w:rsidRPr="00CE47F5">
              <w:rPr>
                <w:b/>
                <w:sz w:val="22"/>
                <w:szCs w:val="22"/>
              </w:rPr>
              <w:t xml:space="preserve"> II и III </w:t>
            </w:r>
            <w:proofErr w:type="spellStart"/>
            <w:r w:rsidRPr="00CE47F5">
              <w:rPr>
                <w:b/>
                <w:sz w:val="22"/>
                <w:szCs w:val="22"/>
              </w:rPr>
              <w:t>категорије</w:t>
            </w:r>
            <w:proofErr w:type="spellEnd"/>
          </w:p>
        </w:tc>
      </w:tr>
      <w:tr w:rsidR="00850AD5" w:rsidRPr="00DB19B9" w14:paraId="7A6AA442" w14:textId="77777777" w:rsidTr="00850AD5">
        <w:trPr>
          <w:trHeight w:val="418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DB19B9" w:rsidRDefault="000E2036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0F1564E6" w:rsidR="000E2036" w:rsidRPr="00DB19B9" w:rsidRDefault="00CE47F5" w:rsidP="00850AD5">
            <w:pPr>
              <w:pStyle w:val="NormalWeb"/>
              <w:spacing w:before="120" w:beforeAutospacing="0" w:after="120" w:afterAutospacing="0"/>
              <w:rPr>
                <w:b/>
                <w:sz w:val="22"/>
                <w:szCs w:val="22"/>
                <w:lang w:val="sr-Cyrl-RS"/>
              </w:rPr>
            </w:pPr>
            <w:r w:rsidRPr="00CE47F5">
              <w:rPr>
                <w:b/>
                <w:sz w:val="22"/>
                <w:szCs w:val="22"/>
              </w:rPr>
              <w:t>13.06.0001</w:t>
            </w:r>
          </w:p>
        </w:tc>
      </w:tr>
      <w:tr w:rsidR="00850AD5" w:rsidRPr="00DB19B9" w14:paraId="2CEE52A6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2763E625" w:rsidR="00092B84" w:rsidRPr="00CE47F5" w:rsidRDefault="00CE47F5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Министарство за рад, запошљавање, борачка и социјална питања - </w:t>
            </w:r>
            <w:r w:rsidRPr="00CE47F5">
              <w:rPr>
                <w:sz w:val="22"/>
                <w:szCs w:val="22"/>
                <w:lang w:val="sr-Cyrl-RS"/>
              </w:rPr>
              <w:t>Републички фонд за пензијско и инвалидско осигурање</w:t>
            </w:r>
          </w:p>
        </w:tc>
      </w:tr>
      <w:tr w:rsidR="00850AD5" w:rsidRPr="00DB19B9" w14:paraId="10DA1CD3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Правни о</w:t>
            </w:r>
            <w:r w:rsidR="00B903AE" w:rsidRPr="00DB19B9">
              <w:rPr>
                <w:b/>
                <w:sz w:val="22"/>
                <w:szCs w:val="22"/>
                <w:lang w:val="sr-Cyrl-RS"/>
              </w:rPr>
              <w:t>квир</w:t>
            </w:r>
            <w:r w:rsidR="00DC4BC2" w:rsidRPr="00DB19B9">
              <w:rPr>
                <w:b/>
                <w:sz w:val="22"/>
                <w:szCs w:val="22"/>
                <w:lang w:val="sr-Cyrl-RS"/>
              </w:rPr>
              <w:t xml:space="preserve">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2CCB5DCC" w14:textId="6E487AEE" w:rsidR="00645199" w:rsidRPr="00172FE2" w:rsidRDefault="002C14F3" w:rsidP="00F71112">
            <w:pPr>
              <w:pStyle w:val="ListParagraph"/>
              <w:numPr>
                <w:ilvl w:val="0"/>
                <w:numId w:val="26"/>
              </w:numPr>
              <w:spacing w:before="120" w:after="120"/>
              <w:jc w:val="left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172FE2">
              <w:rPr>
                <w:rFonts w:ascii="Times New Roman" w:hAnsi="Times New Roman"/>
                <w:sz w:val="22"/>
                <w:szCs w:val="22"/>
                <w:lang w:val="sr-Cyrl-RS"/>
              </w:rPr>
              <w:t>Закон о пензијском и инвалидском осигурању</w:t>
            </w:r>
            <w:r w:rsid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>("</w:t>
            </w:r>
            <w:r w:rsidR="00A25C8D">
              <w:rPr>
                <w:rFonts w:ascii="Times New Roman" w:hAnsi="Times New Roman"/>
                <w:sz w:val="22"/>
                <w:szCs w:val="22"/>
                <w:lang w:val="sr-Cyrl-RS"/>
              </w:rPr>
              <w:t>Сл. Гласник РС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", </w:t>
            </w:r>
            <w:r w:rsid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бр. 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34/2003, 64/2004 - </w:t>
            </w:r>
            <w:r w:rsidR="00A25C8D">
              <w:rPr>
                <w:rFonts w:ascii="Times New Roman" w:hAnsi="Times New Roman"/>
                <w:sz w:val="22"/>
                <w:szCs w:val="22"/>
                <w:lang w:val="sr-Cyrl-RS"/>
              </w:rPr>
              <w:t>одлука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25C8D">
              <w:rPr>
                <w:rFonts w:ascii="Times New Roman" w:hAnsi="Times New Roman"/>
                <w:sz w:val="22"/>
                <w:szCs w:val="22"/>
                <w:lang w:val="sr-Cyrl-RS"/>
              </w:rPr>
              <w:t>УСРС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84/2004 </w:t>
            </w:r>
            <w:r w:rsidR="00A25C8D">
              <w:rPr>
                <w:rFonts w:ascii="Times New Roman" w:hAnsi="Times New Roman"/>
                <w:sz w:val="22"/>
                <w:szCs w:val="22"/>
                <w:lang w:val="sr-Cyrl-RS"/>
              </w:rPr>
              <w:t>–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25C8D">
              <w:rPr>
                <w:rFonts w:ascii="Times New Roman" w:hAnsi="Times New Roman"/>
                <w:sz w:val="22"/>
                <w:szCs w:val="22"/>
                <w:lang w:val="sr-Cyrl-RS"/>
              </w:rPr>
              <w:t>др. закон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, 85/2005, 101/2005 - dr. zakon, 63/2006 - odluka USRS, 5/2009, 107/2009, 101/2010, 93/2012, 62/2013, 108/2013, 75/2014, 142/2014 </w:t>
            </w:r>
            <w:r w:rsidR="00F71112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A25C8D" w:rsidRPr="00A25C8D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73/2018)</w:t>
            </w:r>
          </w:p>
        </w:tc>
      </w:tr>
      <w:tr w:rsidR="00850AD5" w:rsidRPr="00DB19B9" w14:paraId="724CF23D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D73918" w:rsidRPr="00DB19B9" w:rsidRDefault="00D73918" w:rsidP="00850AD5">
            <w:pPr>
              <w:pStyle w:val="NormalWeb"/>
              <w:spacing w:before="0" w:beforeAutospacing="0" w:after="0" w:afterAutospacing="0"/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="00804060"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DB19B9">
              <w:rPr>
                <w:rFonts w:eastAsiaTheme="minorHAnsi"/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4B38E048" w:rsidR="00D73918" w:rsidRPr="002C14F3" w:rsidRDefault="00CB52FA" w:rsidP="002C14F3">
            <w:pPr>
              <w:spacing w:before="120" w:after="120"/>
              <w:jc w:val="left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/</w:t>
            </w:r>
          </w:p>
        </w:tc>
      </w:tr>
      <w:tr w:rsidR="00850AD5" w:rsidRPr="00DB19B9" w14:paraId="58812BCA" w14:textId="77777777" w:rsidTr="00850AD5"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275E2A" w:rsidRPr="00DB19B9" w:rsidRDefault="00275E2A" w:rsidP="00850AD5">
            <w:pPr>
              <w:pStyle w:val="NormalWeb"/>
              <w:spacing w:before="0" w:beforeAutospacing="0" w:after="0" w:afterAutospacing="0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Рок за спровођење препорук</w:t>
            </w:r>
            <w:r w:rsidR="00D73918" w:rsidRPr="00DB19B9">
              <w:rPr>
                <w:b/>
                <w:sz w:val="22"/>
                <w:szCs w:val="22"/>
                <w:lang w:val="sr-Cyrl-RS"/>
              </w:rPr>
              <w:t>а</w:t>
            </w:r>
          </w:p>
        </w:tc>
        <w:tc>
          <w:tcPr>
            <w:tcW w:w="6371" w:type="dxa"/>
            <w:vAlign w:val="center"/>
          </w:tcPr>
          <w:p w14:paraId="19A48B50" w14:textId="16B24039" w:rsidR="00804060" w:rsidRPr="00DB19B9" w:rsidRDefault="00656A47" w:rsidP="00850AD5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656A47">
              <w:rPr>
                <w:sz w:val="22"/>
                <w:szCs w:val="22"/>
                <w:lang w:val="sr-Cyrl-RS"/>
              </w:rPr>
              <w:t xml:space="preserve">Трећи </w:t>
            </w:r>
            <w:bookmarkStart w:id="0" w:name="_GoBack"/>
            <w:bookmarkEnd w:id="0"/>
            <w:r w:rsidR="00F40AF7">
              <w:rPr>
                <w:sz w:val="22"/>
                <w:szCs w:val="22"/>
                <w:lang w:val="sr-Cyrl-RS"/>
              </w:rPr>
              <w:t>квартал</w:t>
            </w:r>
            <w:r w:rsidR="00CE47F5">
              <w:rPr>
                <w:sz w:val="22"/>
                <w:szCs w:val="22"/>
                <w:lang w:val="sr-Cyrl-RS"/>
              </w:rPr>
              <w:t xml:space="preserve"> 2019. године</w:t>
            </w:r>
          </w:p>
        </w:tc>
      </w:tr>
      <w:tr w:rsidR="00275E2A" w:rsidRPr="00DB19B9" w14:paraId="539113B1" w14:textId="77777777" w:rsidTr="00CA1CE9">
        <w:trPr>
          <w:trHeight w:val="409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275E2A" w:rsidRPr="00DB19B9" w14:paraId="4635A4BE" w14:textId="77777777" w:rsidTr="00CA1CE9">
        <w:tc>
          <w:tcPr>
            <w:tcW w:w="9060" w:type="dxa"/>
            <w:gridSpan w:val="2"/>
          </w:tcPr>
          <w:p w14:paraId="5298259C" w14:textId="18111B89" w:rsidR="00CE47F5" w:rsidRDefault="00CE47F5" w:rsidP="00CE47F5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За административни поступак: „Рефундација накнаде коју послодавац исплаћује инвалидима </w:t>
            </w:r>
            <w:r w:rsidRPr="00CE47F5">
              <w:rPr>
                <w:rFonts w:ascii="Times New Roman" w:hAnsi="Times New Roman"/>
                <w:sz w:val="22"/>
                <w:szCs w:val="22"/>
                <w:lang w:val="sr-Cyrl-RS"/>
              </w:rPr>
              <w:t>II и III категорије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“ </w:t>
            </w:r>
            <w:r w:rsidR="00B64A73">
              <w:rPr>
                <w:rFonts w:ascii="Times New Roman" w:hAnsi="Times New Roman"/>
                <w:sz w:val="22"/>
                <w:szCs w:val="22"/>
                <w:lang w:val="sr-Cyrl-RS"/>
              </w:rPr>
              <w:t>правни основ је утврђен у прелазним и завршним одредбама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="00623AD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B64A73">
              <w:rPr>
                <w:rFonts w:ascii="Times New Roman" w:hAnsi="Times New Roman"/>
                <w:sz w:val="22"/>
                <w:szCs w:val="22"/>
                <w:lang w:val="sr-Cyrl-RS"/>
              </w:rPr>
              <w:t>јер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постоји стечено право послодаваца по ранијој регулативи на повраћај износа накнаде коју је исплатио запосленима који рад</w:t>
            </w:r>
            <w:r w:rsidR="00DC7F85">
              <w:rPr>
                <w:rFonts w:ascii="Times New Roman" w:hAnsi="Times New Roman"/>
                <w:sz w:val="22"/>
                <w:szCs w:val="22"/>
                <w:lang w:val="sr-Cyrl-RS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CE47F5">
              <w:rPr>
                <w:rFonts w:ascii="Times New Roman" w:hAnsi="Times New Roman"/>
                <w:sz w:val="22"/>
                <w:szCs w:val="22"/>
                <w:lang w:val="sr-Cyrl-RS"/>
              </w:rPr>
              <w:t>са скраћеним радним временом (II категорија инвалидности), односно које има</w:t>
            </w:r>
            <w:r w:rsidR="00DC7F85">
              <w:rPr>
                <w:rFonts w:ascii="Times New Roman" w:hAnsi="Times New Roman"/>
                <w:sz w:val="22"/>
                <w:szCs w:val="22"/>
                <w:lang w:val="sr-Cyrl-RS"/>
              </w:rPr>
              <w:t>ју</w:t>
            </w:r>
            <w:r w:rsidRPr="00CE47F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мању зараду на другом одговарајућем послу (III категорија инвалидности</w:t>
            </w:r>
            <w:r w:rsidR="00B64A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).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Оваква обавеза не постоји у важећем закону те се број ових поступака из године у годину смањују.</w:t>
            </w:r>
          </w:p>
          <w:p w14:paraId="47E1EA4D" w14:textId="5FC9662B" w:rsidR="00CE47F5" w:rsidRDefault="00CE47F5" w:rsidP="00DE4E6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Непотребно се од послодавца захтева </w:t>
            </w:r>
            <w:r w:rsidR="002C14F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тражи 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Потврда </w:t>
            </w:r>
            <w:r w:rsidRPr="00CE47F5">
              <w:rPr>
                <w:rFonts w:ascii="Times New Roman" w:hAnsi="Times New Roman"/>
                <w:sz w:val="22"/>
                <w:szCs w:val="22"/>
                <w:lang w:val="sr-Cyrl-RS"/>
              </w:rPr>
              <w:t>да запослени инвалид рада не испуњава услове за одлазак у старосну или превремену пензију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јер тим подацима располаже Републички фонд за пензијско и инвалидско осигурање</w:t>
            </w:r>
            <w:r w:rsidR="00DE4E67">
              <w:rPr>
                <w:rFonts w:ascii="Times New Roman" w:hAnsi="Times New Roman"/>
                <w:sz w:val="22"/>
                <w:szCs w:val="22"/>
                <w:lang w:val="sr-Cyrl-RS"/>
              </w:rPr>
              <w:t>, као и П</w:t>
            </w:r>
            <w:r w:rsidR="00DE4E67" w:rsidRPr="00DE4E67">
              <w:rPr>
                <w:rFonts w:ascii="Times New Roman" w:hAnsi="Times New Roman"/>
                <w:sz w:val="22"/>
                <w:szCs w:val="22"/>
                <w:lang w:val="sr-Cyrl-RS"/>
              </w:rPr>
              <w:t>ореска пријава ППП ПД</w:t>
            </w:r>
            <w:r w:rsidR="00DE4E67">
              <w:rPr>
                <w:rFonts w:ascii="Times New Roman" w:hAnsi="Times New Roman"/>
                <w:sz w:val="22"/>
                <w:szCs w:val="22"/>
                <w:lang w:val="sr-Cyrl-RS"/>
              </w:rPr>
              <w:t>, јер се потребни подаци о износу плаћеног пореза по одбитку могу прибавити по службеној дужности од Пореске управе.</w:t>
            </w:r>
          </w:p>
          <w:p w14:paraId="52BEA133" w14:textId="06D0F494" w:rsidR="00A04073" w:rsidRDefault="00A04073" w:rsidP="00DE4E6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Рок за поступање од 5 дана није прописан</w:t>
            </w:r>
            <w:r w:rsidR="00B64A73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важећим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Законом о пензијском и инвалидском осигурању</w:t>
            </w:r>
            <w:r w:rsidR="00B64A73">
              <w:rPr>
                <w:rFonts w:ascii="Times New Roman" w:hAnsi="Times New Roman"/>
                <w:sz w:val="22"/>
                <w:szCs w:val="22"/>
                <w:lang w:val="sr-Cyrl-RS"/>
              </w:rPr>
              <w:t>, али РФПИО поступа у складу са раније прописаном процедуром на основу прелазних и завршних одредаба</w:t>
            </w: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4BCB02C2" w14:textId="2779218A" w:rsidR="00A04073" w:rsidRPr="00DB19B9" w:rsidRDefault="00A04073" w:rsidP="00DE4E67">
            <w:p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>
              <w:rPr>
                <w:rFonts w:ascii="Times New Roman" w:hAnsi="Times New Roman"/>
                <w:sz w:val="22"/>
                <w:szCs w:val="22"/>
                <w:lang w:val="sr-Cyrl-RS"/>
              </w:rPr>
              <w:t>Образац захтева је застарео и треба омогућити његово електронско преузимање и попуњавање.</w:t>
            </w:r>
          </w:p>
        </w:tc>
      </w:tr>
      <w:tr w:rsidR="00275E2A" w:rsidRPr="00DB19B9" w14:paraId="31663FC5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single" w:sz="4" w:space="0" w:color="000000"/>
            </w:tcBorders>
            <w:shd w:val="clear" w:color="auto" w:fill="DBE5F1" w:themeFill="accent1" w:themeFillTint="33"/>
            <w:vAlign w:val="center"/>
          </w:tcPr>
          <w:p w14:paraId="12FDE5D1" w14:textId="77777777" w:rsidR="00275E2A" w:rsidRPr="00DB19B9" w:rsidRDefault="00275E2A" w:rsidP="006F4A5C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C70F1B" w:rsidRPr="00DB19B9" w14:paraId="66715B57" w14:textId="77777777" w:rsidTr="00C70F1B">
        <w:trPr>
          <w:trHeight w:val="454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C70F1B" w:rsidRPr="00DB19B9" w:rsidRDefault="00C70F1B" w:rsidP="00C70F1B">
            <w:pPr>
              <w:pStyle w:val="NormalWeb"/>
              <w:spacing w:before="120" w:beforeAutospacing="0" w:after="120" w:afterAutospacing="0"/>
              <w:rPr>
                <w:b/>
                <w:sz w:val="2"/>
                <w:szCs w:val="22"/>
                <w:lang w:val="sr-Cyrl-RS"/>
              </w:rPr>
            </w:pPr>
          </w:p>
        </w:tc>
      </w:tr>
      <w:tr w:rsidR="00CA1CE9" w:rsidRPr="00DB19B9" w14:paraId="3010E605" w14:textId="77777777" w:rsidTr="00C70F1B">
        <w:trPr>
          <w:trHeight w:val="454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632"/>
              <w:gridCol w:w="1784"/>
              <w:gridCol w:w="1781"/>
              <w:gridCol w:w="1630"/>
              <w:gridCol w:w="7"/>
            </w:tblGrid>
            <w:tr w:rsidR="00C70F1B" w:rsidRPr="00DB19B9" w14:paraId="30C2F8E8" w14:textId="77777777" w:rsidTr="00DB19B9">
              <w:trPr>
                <w:trHeight w:val="749"/>
              </w:trPr>
              <w:tc>
                <w:tcPr>
                  <w:tcW w:w="3632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szCs w:val="24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565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637" w:type="dxa"/>
                  <w:gridSpan w:val="2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C70F1B" w:rsidRPr="00DB19B9" w14:paraId="2B15C487" w14:textId="77777777" w:rsidTr="00DB19B9">
              <w:trPr>
                <w:trHeight w:val="260"/>
              </w:trPr>
              <w:tc>
                <w:tcPr>
                  <w:tcW w:w="3632" w:type="dxa"/>
                  <w:vMerge/>
                </w:tcPr>
                <w:p w14:paraId="42D3BC1D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4" w:type="dxa"/>
                  <w:shd w:val="clear" w:color="auto" w:fill="F2F2F2" w:themeFill="background1" w:themeFillShade="F2"/>
                </w:tcPr>
                <w:p w14:paraId="4FE48A96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Да</w:t>
                  </w:r>
                </w:p>
              </w:tc>
              <w:tc>
                <w:tcPr>
                  <w:tcW w:w="1781" w:type="dxa"/>
                  <w:shd w:val="clear" w:color="auto" w:fill="F2F2F2" w:themeFill="background1" w:themeFillShade="F2"/>
                </w:tcPr>
                <w:p w14:paraId="0DA58578" w14:textId="77777777" w:rsidR="00C70F1B" w:rsidRPr="00DB19B9" w:rsidRDefault="00C70F1B" w:rsidP="00C70F1B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Не</w:t>
                  </w:r>
                </w:p>
              </w:tc>
              <w:tc>
                <w:tcPr>
                  <w:tcW w:w="1637" w:type="dxa"/>
                  <w:gridSpan w:val="2"/>
                  <w:vMerge/>
                </w:tcPr>
                <w:p w14:paraId="21FE126E" w14:textId="77777777" w:rsidR="00C70F1B" w:rsidRPr="00DB19B9" w:rsidRDefault="00C70F1B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57E988BC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269B4895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 xml:space="preserve">Образац административног захтева </w:t>
                  </w:r>
                </w:p>
              </w:tc>
              <w:tc>
                <w:tcPr>
                  <w:tcW w:w="5202" w:type="dxa"/>
                  <w:gridSpan w:val="4"/>
                </w:tcPr>
                <w:p w14:paraId="2E3C3C7E" w14:textId="77777777" w:rsidR="00CA1CE9" w:rsidRPr="00610C2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CA1CE9" w:rsidRPr="00DB19B9" w14:paraId="07DC98D3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352F81C5" w14:textId="77777777" w:rsidR="00CA1CE9" w:rsidRPr="00DB19B9" w:rsidRDefault="00CA1CE9" w:rsidP="00C70F1B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lastRenderedPageBreak/>
                    <w:t>Унапређење постојећег обрасца</w:t>
                  </w:r>
                </w:p>
              </w:tc>
              <w:tc>
                <w:tcPr>
                  <w:tcW w:w="1784" w:type="dxa"/>
                </w:tcPr>
                <w:p w14:paraId="731C75C8" w14:textId="77777777" w:rsidR="00610C27" w:rsidRDefault="00610C27" w:rsidP="00A040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78363D8A" w14:textId="6686FFE2" w:rsidR="00610C27" w:rsidRDefault="00610C27" w:rsidP="00B64A73">
                  <w:pPr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7A922480" w14:textId="17E29344" w:rsidR="00CA1CE9" w:rsidRPr="00DB19B9" w:rsidRDefault="00CA1CE9" w:rsidP="00A040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538F3CB5" w14:textId="31FFDCFC" w:rsidR="00CA1CE9" w:rsidRPr="00DB19B9" w:rsidRDefault="00B64A73" w:rsidP="00B64A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4A73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3918CF7C" w14:textId="7C8A1FB0" w:rsidR="00CA1CE9" w:rsidRPr="00610C2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DB19B9" w:rsidRPr="00DB19B9" w14:paraId="1228D87D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31CDD49E" w14:textId="77777777" w:rsidR="00DB19B9" w:rsidRPr="00DB19B9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Прибављање података по службеној дужности и документација која се прибавља од странке</w:t>
                  </w:r>
                </w:p>
                <w:p w14:paraId="406288B1" w14:textId="77777777" w:rsidR="00DB19B9" w:rsidRPr="00DB19B9" w:rsidRDefault="00DB19B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****</w:t>
                  </w: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Образац прати и Анекс у коме ће бити детаљно разрађене препоруке</w:t>
                  </w:r>
                </w:p>
              </w:tc>
              <w:tc>
                <w:tcPr>
                  <w:tcW w:w="1784" w:type="dxa"/>
                </w:tcPr>
                <w:p w14:paraId="574DB6AC" w14:textId="77777777" w:rsidR="00610C27" w:rsidRDefault="00610C27" w:rsidP="00610C2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4F9AB8E9" w14:textId="77777777" w:rsidR="00610C27" w:rsidRDefault="00610C27" w:rsidP="00610C2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32D90DC8" w14:textId="5346A2F0" w:rsidR="00DB19B9" w:rsidRPr="00DB19B9" w:rsidRDefault="00DB19B9" w:rsidP="00610C2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4BF2735E" w14:textId="48B23162" w:rsidR="00DB19B9" w:rsidRPr="00DB19B9" w:rsidRDefault="00B64A73" w:rsidP="00B64A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4A7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1F22B93B" w14:textId="126B99CA" w:rsidR="00610C27" w:rsidRPr="00610C27" w:rsidRDefault="00610C27" w:rsidP="00CA1CE9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  <w:tr w:rsidR="002673B0" w:rsidRPr="00DB19B9" w14:paraId="1E312F06" w14:textId="77777777" w:rsidTr="00B47AD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5867A489" w14:textId="4D351A52" w:rsidR="002673B0" w:rsidRPr="00DB19B9" w:rsidRDefault="002673B0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val="sr-Cyrl-RS"/>
                    </w:rPr>
                    <w:t>Документација</w:t>
                  </w:r>
                </w:p>
              </w:tc>
              <w:tc>
                <w:tcPr>
                  <w:tcW w:w="5195" w:type="dxa"/>
                  <w:gridSpan w:val="3"/>
                </w:tcPr>
                <w:p w14:paraId="267629E0" w14:textId="77777777" w:rsidR="002673B0" w:rsidRPr="00DB19B9" w:rsidRDefault="002673B0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BB2C8C" w:rsidRPr="00DB19B9" w14:paraId="7156D9DA" w14:textId="77777777" w:rsidTr="00DB19B9">
              <w:trPr>
                <w:gridAfter w:val="1"/>
                <w:wAfter w:w="7" w:type="dxa"/>
                <w:trHeight w:val="489"/>
              </w:trPr>
              <w:tc>
                <w:tcPr>
                  <w:tcW w:w="3632" w:type="dxa"/>
                  <w:vAlign w:val="center"/>
                </w:tcPr>
                <w:p w14:paraId="6A698D49" w14:textId="1144B2D3" w:rsidR="00BB2C8C" w:rsidRPr="00BB2C8C" w:rsidRDefault="00BB2C8C" w:rsidP="00BB2C8C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BB2C8C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Елиминација непотребне документације</w:t>
                  </w:r>
                </w:p>
              </w:tc>
              <w:tc>
                <w:tcPr>
                  <w:tcW w:w="1784" w:type="dxa"/>
                </w:tcPr>
                <w:p w14:paraId="5AC6BC1A" w14:textId="77777777" w:rsidR="00610C27" w:rsidRDefault="00610C27" w:rsidP="00610C2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1BD75E53" w14:textId="77777777" w:rsidR="00610C27" w:rsidRDefault="00610C27" w:rsidP="00610C2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Latn-RS"/>
                    </w:rPr>
                  </w:pPr>
                </w:p>
                <w:p w14:paraId="6E5E1FFB" w14:textId="330A9158" w:rsidR="00BB2C8C" w:rsidRPr="00DB19B9" w:rsidRDefault="00BB2C8C" w:rsidP="00B64A73">
                  <w:pPr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2BFDC0B1" w14:textId="170C3993" w:rsidR="00BB2C8C" w:rsidRPr="00DB19B9" w:rsidRDefault="00B64A73" w:rsidP="00B64A73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B64A73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0" w:type="dxa"/>
                </w:tcPr>
                <w:p w14:paraId="40D61E58" w14:textId="09568F6A" w:rsidR="00BB2C8C" w:rsidRPr="00DB19B9" w:rsidRDefault="00BB2C8C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7FD15786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5B6E7301" w14:textId="77777777" w:rsidR="00CA1CE9" w:rsidRPr="00DB19B9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b/>
                      <w:lang w:val="sr-Cyrl-RS"/>
                    </w:rPr>
                    <w:t>Транспарентност административног поступка</w:t>
                  </w:r>
                </w:p>
              </w:tc>
              <w:tc>
                <w:tcPr>
                  <w:tcW w:w="5202" w:type="dxa"/>
                  <w:gridSpan w:val="4"/>
                </w:tcPr>
                <w:p w14:paraId="373ED07F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</w:tr>
            <w:tr w:rsidR="00CA1CE9" w:rsidRPr="00DB19B9" w14:paraId="222C1FAE" w14:textId="77777777" w:rsidTr="00DB19B9">
              <w:trPr>
                <w:trHeight w:val="489"/>
              </w:trPr>
              <w:tc>
                <w:tcPr>
                  <w:tcW w:w="3632" w:type="dxa"/>
                  <w:vAlign w:val="center"/>
                </w:tcPr>
                <w:p w14:paraId="1D17A326" w14:textId="77777777" w:rsidR="00CA1CE9" w:rsidRPr="00DB19B9" w:rsidRDefault="00CA1CE9" w:rsidP="00DB19B9">
                  <w:pPr>
                    <w:jc w:val="left"/>
                    <w:rPr>
                      <w:rFonts w:ascii="Times New Roman" w:eastAsia="Times New Roman" w:hAnsi="Times New Roman"/>
                      <w:i/>
                      <w:lang w:val="sr-Cyrl-RS"/>
                    </w:rPr>
                  </w:pPr>
                  <w:r w:rsidRPr="00DB19B9">
                    <w:rPr>
                      <w:rFonts w:ascii="Times New Roman" w:eastAsia="Times New Roman" w:hAnsi="Times New Roman"/>
                      <w:i/>
                      <w:lang w:val="sr-Cyrl-RS"/>
                    </w:rPr>
                    <w:t>Да ли су елементи административног поступка јавно доступни****</w:t>
                  </w:r>
                </w:p>
              </w:tc>
              <w:tc>
                <w:tcPr>
                  <w:tcW w:w="1784" w:type="dxa"/>
                </w:tcPr>
                <w:p w14:paraId="2EDA98D6" w14:textId="77777777" w:rsidR="00CA1CE9" w:rsidRPr="00DB19B9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</w:p>
              </w:tc>
              <w:tc>
                <w:tcPr>
                  <w:tcW w:w="1781" w:type="dxa"/>
                </w:tcPr>
                <w:p w14:paraId="13260DC8" w14:textId="5DF823D5" w:rsidR="00CA1CE9" w:rsidRPr="00DB19B9" w:rsidRDefault="00610C27" w:rsidP="00610C27">
                  <w:pPr>
                    <w:jc w:val="center"/>
                    <w:rPr>
                      <w:rFonts w:ascii="Times New Roman" w:eastAsia="Times New Roman" w:hAnsi="Times New Roman"/>
                      <w:b/>
                      <w:lang w:val="sr-Cyrl-RS"/>
                    </w:rPr>
                  </w:pPr>
                  <w:r w:rsidRPr="00610C27">
                    <w:rPr>
                      <w:rFonts w:ascii="Times New Roman" w:eastAsia="Times New Roman" w:hAnsi="Times New Roman"/>
                      <w:b/>
                      <w:lang w:val="sr-Latn-RS"/>
                    </w:rPr>
                    <w:t>x</w:t>
                  </w:r>
                </w:p>
              </w:tc>
              <w:tc>
                <w:tcPr>
                  <w:tcW w:w="1637" w:type="dxa"/>
                  <w:gridSpan w:val="2"/>
                </w:tcPr>
                <w:p w14:paraId="35EB626F" w14:textId="775923B3" w:rsidR="00CA1CE9" w:rsidRPr="00610C27" w:rsidRDefault="00CA1CE9" w:rsidP="00CA1CE9">
                  <w:pPr>
                    <w:jc w:val="left"/>
                    <w:rPr>
                      <w:rFonts w:ascii="Times New Roman" w:eastAsia="Times New Roman" w:hAnsi="Times New Roman"/>
                      <w:lang w:val="sr-Cyrl-RS"/>
                    </w:rPr>
                  </w:pPr>
                </w:p>
              </w:tc>
            </w:tr>
          </w:tbl>
          <w:p w14:paraId="6E28D8C5" w14:textId="31C4DDC1" w:rsidR="00CA1CE9" w:rsidRPr="00DB19B9" w:rsidRDefault="00CA1CE9" w:rsidP="00BB2C8C">
            <w:pPr>
              <w:pStyle w:val="NormalWeb"/>
              <w:spacing w:before="120" w:beforeAutospacing="0" w:after="120" w:afterAutospacing="0"/>
              <w:jc w:val="both"/>
              <w:rPr>
                <w:b/>
                <w:sz w:val="22"/>
                <w:szCs w:val="22"/>
                <w:lang w:val="sr-Cyrl-RS"/>
              </w:rPr>
            </w:pPr>
          </w:p>
        </w:tc>
      </w:tr>
      <w:tr w:rsidR="00CA1CE9" w:rsidRPr="00DB19B9" w14:paraId="0B4EEBB8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CA1CE9" w:rsidRPr="00DB19B9" w14:paraId="4C67EFD3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888334B" w14:textId="77777777" w:rsidR="000B5C96" w:rsidRPr="000B5C96" w:rsidRDefault="000B5C96" w:rsidP="00610C27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B5C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>Елиминација непотребне документације</w:t>
            </w:r>
          </w:p>
          <w:p w14:paraId="7A1F29FF" w14:textId="4FC9952E" w:rsidR="000B5C96" w:rsidRPr="00DE6EE9" w:rsidRDefault="00610C27" w:rsidP="00DE6EE9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>Непотребно се од послодавца захтева Потврда да запослени инвалид рада не испуњава услове за одлазак у старосну или превремену пензију јер тим подацима располаже Републички фонд за пензијско и инвалидско осигурање, као и Пореск</w:t>
            </w:r>
            <w:r w:rsidR="000B5C96"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пријав</w:t>
            </w:r>
            <w:r w:rsidR="000B5C96"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ППП ПД, јер се потребни подаци о износу плаћеног пореза по одбитку могу прибавити по службеној дужности од Пореске управе.</w:t>
            </w:r>
            <w:r w:rsidR="00B64A73" w:rsidRPr="00DE6EE9">
              <w:t xml:space="preserve"> </w:t>
            </w:r>
            <w:r w:rsidR="00B64A73"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На овај начин ће се омогућити потпуно усклађивање </w:t>
            </w:r>
            <w:r w:rsidR="00DE6EE9"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>са чл. 9. и 103. ЗОУП-а ("Службени гласник РС", број 18 од 1. марта 2016.), Законом о електронском документу, електронској идентификацији и услугама од поверења у електронском</w:t>
            </w:r>
            <w:r w:rsidR="00DE6EE9" w:rsidRPr="00DE6EE9"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="00DE6EE9"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>пословању ("Службени гласник РС", број 94 од 19. октобра 2017.) и Уредбом о прибављању и уступању података о чињеницама о којима се води службена евиденција ("Службени гласник РС", број 56 од 7. јуна 2017)</w:t>
            </w:r>
            <w:r w:rsidR="00B64A73"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14:paraId="1DF9EF77" w14:textId="0C19BC08" w:rsidR="00DE6EE9" w:rsidRPr="00DE6EE9" w:rsidRDefault="00DE6EE9" w:rsidP="00DE6EE9">
            <w:p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hAnsi="Times New Roman"/>
                <w:sz w:val="24"/>
                <w:szCs w:val="24"/>
                <w:lang w:val="sr-Cyrl-RS"/>
              </w:rPr>
              <w:t>У складу са наведеним елеминишу се:</w:t>
            </w:r>
          </w:p>
          <w:p w14:paraId="1864799B" w14:textId="0396160B" w:rsidR="00DE6EE9" w:rsidRPr="00DE6EE9" w:rsidRDefault="00DE6EE9" w:rsidP="00DE6EE9">
            <w:pPr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Документ 1: Потврда послодавца да запослени инвалид рада не испуњава услове за одлазак у старосну или превремену пензију тако што ће овај податак Републички фонд за пензијско и инвалидско осигурање прибављати из сопствених евиденција и</w:t>
            </w:r>
          </w:p>
          <w:p w14:paraId="5E70647B" w14:textId="3416B26A" w:rsidR="00DE6EE9" w:rsidRPr="00DE6EE9" w:rsidRDefault="00DE6EE9" w:rsidP="00DE6EE9">
            <w:pPr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Документ 4: Пореска пријава ППП ПД, као непотребан документ који се захтева од подносиоца захтева и који Републички фонд за пензијско и инвалидско осигурање може да прибави од Пореске управе која располаже овим подацима;</w:t>
            </w:r>
          </w:p>
          <w:p w14:paraId="6199ECD3" w14:textId="3A265045" w:rsidR="00DE6EE9" w:rsidRPr="00DE6EE9" w:rsidRDefault="00DE6EE9" w:rsidP="00DE6EE9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Подаци потребни за овај поступак се могу прибавити по службеној дужности од Пореске управе. </w:t>
            </w:r>
          </w:p>
          <w:p w14:paraId="691F395C" w14:textId="77777777" w:rsidR="00DE6EE9" w:rsidRPr="00DE6EE9" w:rsidRDefault="00DE6EE9" w:rsidP="00DE6EE9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Прибављање података по службеној дужности могуће је спровести на један од следећих начина, зависно од тренутне доступности података о којима органи воде службене евиденције о претходно издатим дозволама, сагласностима или другим актима, потребним у овом поступку: </w:t>
            </w:r>
          </w:p>
          <w:p w14:paraId="6E65391F" w14:textId="77777777" w:rsidR="00DE6EE9" w:rsidRPr="00DE6EE9" w:rsidRDefault="00DE6EE9" w:rsidP="00DE6EE9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Преко дидректне везе која је успостављена са Пореском управом преко ЦРОСО</w:t>
            </w:r>
          </w:p>
          <w:p w14:paraId="6DE86F09" w14:textId="6E3B2772" w:rsidR="00DE6EE9" w:rsidRPr="00DE6EE9" w:rsidRDefault="00DE6EE9" w:rsidP="00DE6EE9">
            <w:pPr>
              <w:numPr>
                <w:ilvl w:val="0"/>
                <w:numId w:val="28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Путем информационог система еЗУП на порталу е-Управа: </w:t>
            </w:r>
          </w:p>
          <w:p w14:paraId="08F8ACB3" w14:textId="77777777" w:rsidR="00DE6EE9" w:rsidRPr="00DE6EE9" w:rsidRDefault="00DE6EE9" w:rsidP="00DE6EE9">
            <w:pPr>
              <w:numPr>
                <w:ilvl w:val="1"/>
                <w:numId w:val="28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Увидом у постојеће базе података различитих органа или</w:t>
            </w:r>
          </w:p>
          <w:p w14:paraId="47060F64" w14:textId="77777777" w:rsidR="00DE6EE9" w:rsidRPr="00DE6EE9" w:rsidRDefault="00DE6EE9" w:rsidP="00DE6EE9">
            <w:pPr>
              <w:numPr>
                <w:ilvl w:val="1"/>
                <w:numId w:val="28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Коришћењем тзв. сервиса 15 еЗУП-а (платформа за кореспонденцију између органа) за прибављање оних података чији увид још увек није обезбеђен постојећим базама података у еЗУП-у  или</w:t>
            </w:r>
          </w:p>
          <w:p w14:paraId="26F1BDB0" w14:textId="0588E6F4" w:rsidR="000B5C96" w:rsidRPr="00DE6EE9" w:rsidRDefault="00DE6EE9" w:rsidP="00DE6EE9">
            <w:pPr>
              <w:numPr>
                <w:ilvl w:val="0"/>
                <w:numId w:val="29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DE6EE9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>Путем имејл кореспонденције са органом који поседује потребне податке. Предуслов за ову активност је поседовање е-налога електронске поште и електронског квалификованог сертификата овлашћеног службеног лица</w:t>
            </w:r>
          </w:p>
          <w:p w14:paraId="26595C34" w14:textId="77777777" w:rsidR="000B5C96" w:rsidRPr="000B5C96" w:rsidRDefault="000B5C96" w:rsidP="000B5C96">
            <w:pPr>
              <w:pStyle w:val="ListParagraph"/>
              <w:spacing w:before="120" w:after="120"/>
              <w:rPr>
                <w:rFonts w:ascii="Times New Roman" w:hAnsi="Times New Roman"/>
                <w:color w:val="00B050"/>
                <w:sz w:val="24"/>
                <w:szCs w:val="24"/>
                <w:lang w:val="sr-Cyrl-RS"/>
              </w:rPr>
            </w:pPr>
          </w:p>
          <w:p w14:paraId="7827D3C2" w14:textId="77777777" w:rsidR="000B5C96" w:rsidRPr="000B5C96" w:rsidRDefault="000B5C96" w:rsidP="00C16C08">
            <w:pPr>
              <w:pStyle w:val="ListParagraph"/>
              <w:numPr>
                <w:ilvl w:val="1"/>
                <w:numId w:val="23"/>
              </w:numPr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  <w:t>Унапређење обрасца захтева и омогућавање електронског попуњавања</w:t>
            </w:r>
          </w:p>
          <w:p w14:paraId="4A38CE20" w14:textId="77777777" w:rsidR="000B5C96" w:rsidRDefault="000B5C96" w:rsidP="000B5C96">
            <w:pPr>
              <w:pStyle w:val="ListParagraph"/>
              <w:spacing w:before="120" w:after="120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</w:p>
          <w:p w14:paraId="4F9EE835" w14:textId="678D140F" w:rsidR="000D42DA" w:rsidRDefault="001A6A2E" w:rsidP="000B5C96">
            <w:pPr>
              <w:pStyle w:val="ListParagraph"/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>Уколико није могуће укидање овог поступка у кратком року, потребно је да се Образац захтева, који је</w:t>
            </w:r>
            <w:r w:rsidR="00610C27"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застарео и </w:t>
            </w:r>
            <w:r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који </w:t>
            </w:r>
            <w:r w:rsidR="00610C27"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треба </w:t>
            </w:r>
            <w:r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допунити подацима о плаћеним зарадама и порезу по одбитку и </w:t>
            </w:r>
            <w:r w:rsidR="00610C27"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>омогућити његово електронско преузимање и попуњавање</w:t>
            </w:r>
            <w:r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>, а самим тим и електронско слање документа којим се доказује исплата зараде и плаћање пореза по одбитку, како би се бар на тај начин смањили трошкови који су неправедно наметнути послодавцу</w:t>
            </w:r>
            <w:r w:rsidR="00610C27" w:rsidRPr="000D42DA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0B5C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Електронско достављање захтева ће се омогућити уз квалификовани сертификат за електронски потпис.</w:t>
            </w:r>
          </w:p>
          <w:p w14:paraId="2A477E8F" w14:textId="7570625D" w:rsidR="000B5C96" w:rsidRDefault="000B5C96" w:rsidP="000B5C96">
            <w:pPr>
              <w:pStyle w:val="ListParagraph"/>
              <w:spacing w:before="120" w:after="120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EAB4AF8" w14:textId="0958D6C4" w:rsidR="000D42DA" w:rsidRPr="00B64A73" w:rsidRDefault="000D42DA" w:rsidP="007C2D7D">
            <w:pPr>
              <w:pStyle w:val="ListParagraph"/>
              <w:spacing w:before="120" w:after="120"/>
              <w:rPr>
                <w:rFonts w:ascii="Times New Roman" w:hAnsi="Times New Roman"/>
                <w:lang w:val="sr-Cyrl-RS"/>
              </w:rPr>
            </w:pPr>
          </w:p>
        </w:tc>
      </w:tr>
      <w:tr w:rsidR="00CA1CE9" w:rsidRPr="00DB19B9" w14:paraId="52C990E5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CA1CE9" w:rsidRPr="00DB19B9" w14:paraId="077D3505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39763933" w14:textId="5665BFB0" w:rsidR="00CA1CE9" w:rsidRPr="00395685" w:rsidRDefault="00395685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/</w:t>
            </w:r>
          </w:p>
        </w:tc>
      </w:tr>
      <w:tr w:rsidR="00CA1CE9" w:rsidRPr="00DB19B9" w14:paraId="0489C5FC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ПРЕГЛЕД ОДРЕДБИ ПРОПИСА ЧИЈА СЕ ИЗМЕНА ПРЕДЛАЖЕ</w:t>
            </w:r>
          </w:p>
        </w:tc>
      </w:tr>
      <w:tr w:rsidR="00CA1CE9" w:rsidRPr="00DB19B9" w14:paraId="3C4DDA6A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1506ADFF" w14:textId="25461FE0" w:rsidR="00CA1CE9" w:rsidRPr="00395685" w:rsidRDefault="00395685" w:rsidP="00DB19B9">
            <w:pPr>
              <w:jc w:val="left"/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sr-Latn-RS"/>
              </w:rPr>
              <w:t>/</w:t>
            </w:r>
          </w:p>
        </w:tc>
      </w:tr>
      <w:tr w:rsidR="00CA1CE9" w:rsidRPr="00DB19B9" w14:paraId="429F5407" w14:textId="77777777" w:rsidTr="00C70F1B">
        <w:trPr>
          <w:trHeight w:val="454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CA1CE9" w:rsidRPr="00DB19B9" w:rsidRDefault="00CA1CE9" w:rsidP="00C70F1B">
            <w:pPr>
              <w:pStyle w:val="NormalWeb"/>
              <w:numPr>
                <w:ilvl w:val="0"/>
                <w:numId w:val="23"/>
              </w:numPr>
              <w:spacing w:before="120" w:beforeAutospacing="0" w:after="120" w:afterAutospacing="0"/>
              <w:jc w:val="center"/>
              <w:rPr>
                <w:b/>
                <w:sz w:val="22"/>
                <w:szCs w:val="22"/>
                <w:lang w:val="sr-Cyrl-RS"/>
              </w:rPr>
            </w:pPr>
            <w:r w:rsidRPr="00DB19B9">
              <w:rPr>
                <w:b/>
                <w:sz w:val="22"/>
                <w:szCs w:val="22"/>
                <w:lang w:val="sr-Cyrl-RS"/>
              </w:rPr>
              <w:t>АНАЛИЗА ЕФЕКАТА ПРЕПОРУКЕ (АЕП)</w:t>
            </w:r>
          </w:p>
        </w:tc>
      </w:tr>
      <w:tr w:rsidR="00CA1CE9" w:rsidRPr="00DB19B9" w14:paraId="72BD2239" w14:textId="77777777" w:rsidTr="00DB19B9">
        <w:trPr>
          <w:trHeight w:val="454"/>
        </w:trPr>
        <w:tc>
          <w:tcPr>
            <w:tcW w:w="9060" w:type="dxa"/>
            <w:gridSpan w:val="2"/>
            <w:shd w:val="clear" w:color="auto" w:fill="auto"/>
          </w:tcPr>
          <w:p w14:paraId="0D0A25A4" w14:textId="12F211E7" w:rsidR="00CA1CE9" w:rsidRDefault="00395685" w:rsidP="00395685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Елиминацијом докумената који се тренутно траже од послодавца као подносиоца захтева у поступку </w:t>
            </w:r>
            <w:proofErr w:type="spellStart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>Рефундација</w:t>
            </w:r>
            <w:proofErr w:type="spellEnd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>накнаде</w:t>
            </w:r>
            <w:proofErr w:type="spellEnd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>коју</w:t>
            </w:r>
            <w:proofErr w:type="spellEnd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>послодавци</w:t>
            </w:r>
            <w:proofErr w:type="spellEnd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>исплаћују</w:t>
            </w:r>
            <w:proofErr w:type="spellEnd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>инвалидима</w:t>
            </w:r>
            <w:proofErr w:type="spellEnd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 xml:space="preserve"> II и III </w:t>
            </w:r>
            <w:proofErr w:type="spellStart"/>
            <w:r w:rsidRPr="00395685">
              <w:rPr>
                <w:rFonts w:ascii="Times New Roman" w:eastAsia="Times New Roman" w:hAnsi="Times New Roman"/>
                <w:sz w:val="24"/>
                <w:szCs w:val="24"/>
              </w:rPr>
              <w:t>категорије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који садрже потребне податке за спровођење овог поступка, а које Републички фонд за пензијско и инвалидско осигурање може да прибави по службеној дужности, односно на основу података којим располаже</w:t>
            </w:r>
            <w:r w:rsidR="00172FE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постићиће се одговарајуће уштеде за подносиоце ових захтева.</w:t>
            </w:r>
          </w:p>
          <w:p w14:paraId="681F362C" w14:textId="1B971CD0" w:rsidR="00975445" w:rsidRDefault="00395685" w:rsidP="006557FC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У поступку се од послод</w:t>
            </w:r>
            <w:r w:rsidR="00932BE8"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ваца, односно подносиоца захтева непотребно тражи </w:t>
            </w:r>
            <w:r w:rsidR="006557FC" w:rsidRP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Потврда да запослени инвалид рада не испуњава услове за одлазак у старосну или превремену пензију</w:t>
            </w:r>
            <w:r w:rsid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, којим Републички фонд за пензијско и инвалидско осигурање располаже готово у свим случајевима и који неће више бити потребан као посебан документ већ ће Републички фонд за пензијско и инвалидско осигурање сам проверавати овај податак у сопственим евиденцијама и овакву потврду захтевати само у случајеви</w:t>
            </w:r>
            <w:r w:rsidR="00172F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ма да такав податак не поседује.</w:t>
            </w:r>
            <w:r w:rsid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Овакви случајеви би требало да више не постоје. Такође, у наведеном поступку се од подносиоца захтева непотребно тражи податак </w:t>
            </w:r>
            <w:r w:rsidR="006557FC" w:rsidRP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о износу плаћеног пореза по одбитку </w:t>
            </w:r>
            <w:r w:rsidR="00172FE2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и т</w:t>
            </w:r>
            <w:r w:rsid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о на начин што се од подносиоца захтева тражи да приложи </w:t>
            </w:r>
            <w:r w:rsidR="006557FC" w:rsidRP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Пореску пријаву ППП ПД</w:t>
            </w:r>
            <w:r w:rsid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 Овај документ више неће бити захтеван од подносиоца захтева</w:t>
            </w:r>
            <w:r w:rsidR="00172FE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6557FC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већ ће се тражани података прибављати директно од Пореске управе као органа у саставу Министарства финансија који располаже одговарајућим податком и то кроз директну размену података преко ЦРОСО или путем еЗОУП магистрале. </w:t>
            </w:r>
          </w:p>
          <w:p w14:paraId="67A0E7BF" w14:textId="33ECAB31" w:rsidR="00975445" w:rsidRDefault="00975445" w:rsidP="00975445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Директни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трошкови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спровођења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овог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поступка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за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привредне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субјекте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годишњем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нивоу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>износе</w:t>
            </w:r>
            <w:proofErr w:type="spellEnd"/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3.174.732,57</w:t>
            </w:r>
            <w:r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РСД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односно 26.103,30 ЕУР према просечном</w:t>
            </w:r>
            <w:r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средњем курсу Народне банке Србије износи  за 2017. годину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.</w:t>
            </w:r>
          </w:p>
          <w:p w14:paraId="197042EE" w14:textId="77777777" w:rsidR="00975445" w:rsidRPr="00975445" w:rsidRDefault="00975445" w:rsidP="0097544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AEAF0A9" w14:textId="46B51BBD" w:rsidR="006557FC" w:rsidRPr="00172FE2" w:rsidRDefault="006557FC" w:rsidP="006557F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lastRenderedPageBreak/>
              <w:t xml:space="preserve">Укупне уштеде усвајањем свих препорука насталих кроз спровођење реформског пројекта еПАПИР у овом поступку износе </w:t>
            </w:r>
            <w:r w:rsidR="00FB547F"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1.351.199,90</w:t>
            </w:r>
            <w:r w:rsidR="00224EE9"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РСД, </w:t>
            </w:r>
            <w:r w:rsidR="00FB547F" w:rsidRPr="00975445">
              <w:rPr>
                <w:rFonts w:ascii="Times New Roman" w:eastAsia="Times New Roman" w:hAnsi="Times New Roman"/>
                <w:sz w:val="24"/>
                <w:szCs w:val="24"/>
                <w:lang w:val="sr-Cyrl-BA"/>
              </w:rPr>
              <w:t>односно 11.109,84 ЕУР</w:t>
            </w:r>
            <w:r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975445"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просечном </w:t>
            </w:r>
            <w:r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средњем курсу Народне банке Србије износи </w:t>
            </w:r>
            <w:r w:rsidR="00FB547F" w:rsidRPr="00975445"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 xml:space="preserve"> за 2017. годину, што представља уштеду од 42,56</w:t>
            </w:r>
            <w:r w:rsidR="00FB547F" w:rsidRPr="00975445">
              <w:rPr>
                <w:rFonts w:ascii="Times New Roman" w:eastAsia="Times New Roman" w:hAnsi="Times New Roman"/>
                <w:sz w:val="24"/>
                <w:szCs w:val="24"/>
              </w:rPr>
              <w:t xml:space="preserve">% </w:t>
            </w:r>
            <w:r w:rsidR="00172FE2" w:rsidRPr="0097544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14:paraId="331CCBA4" w14:textId="3FD8E6DD" w:rsidR="00395685" w:rsidRPr="00395685" w:rsidRDefault="00395685" w:rsidP="00395685">
            <w:p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5CE5710A" w14:textId="1C5B3A41" w:rsidR="003E3C16" w:rsidRPr="00DB19B9" w:rsidRDefault="003E3C16" w:rsidP="003E3C16">
      <w:pPr>
        <w:rPr>
          <w:rFonts w:ascii="Times New Roman" w:eastAsia="Times New Roman" w:hAnsi="Times New Roman"/>
          <w:sz w:val="24"/>
          <w:szCs w:val="24"/>
          <w:lang w:val="sr-Cyrl-RS"/>
        </w:rPr>
      </w:pPr>
    </w:p>
    <w:sectPr w:rsidR="003E3C16" w:rsidRPr="00DB19B9" w:rsidSect="00C121EC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39D4FD" w14:textId="77777777" w:rsidR="00387A52" w:rsidRDefault="00387A52" w:rsidP="002A202F">
      <w:r>
        <w:separator/>
      </w:r>
    </w:p>
  </w:endnote>
  <w:endnote w:type="continuationSeparator" w:id="0">
    <w:p w14:paraId="5EAF98FE" w14:textId="77777777" w:rsidR="00387A52" w:rsidRDefault="00387A52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2698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74C75A" w14:textId="1B205763" w:rsidR="002A202F" w:rsidRDefault="002A202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6A4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A862D" w14:textId="77777777" w:rsidR="00387A52" w:rsidRDefault="00387A52" w:rsidP="002A202F">
      <w:r>
        <w:separator/>
      </w:r>
    </w:p>
  </w:footnote>
  <w:footnote w:type="continuationSeparator" w:id="0">
    <w:p w14:paraId="27601B04" w14:textId="77777777" w:rsidR="00387A52" w:rsidRDefault="00387A52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415F4"/>
    <w:multiLevelType w:val="hybridMultilevel"/>
    <w:tmpl w:val="F1E6B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34AAA"/>
    <w:multiLevelType w:val="hybridMultilevel"/>
    <w:tmpl w:val="49C6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8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1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DB540E"/>
    <w:multiLevelType w:val="multilevel"/>
    <w:tmpl w:val="B8D65E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D122E"/>
    <w:multiLevelType w:val="hybridMultilevel"/>
    <w:tmpl w:val="67C092BC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FB00D88"/>
    <w:multiLevelType w:val="hybridMultilevel"/>
    <w:tmpl w:val="2774115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94E38"/>
    <w:multiLevelType w:val="hybridMultilevel"/>
    <w:tmpl w:val="89CCECEC"/>
    <w:lvl w:ilvl="0" w:tplc="54908C16">
      <w:start w:val="1"/>
      <w:numFmt w:val="decimal"/>
      <w:lvlText w:val="%1."/>
      <w:lvlJc w:val="left"/>
      <w:pPr>
        <w:ind w:left="33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51" w:hanging="360"/>
      </w:pPr>
    </w:lvl>
    <w:lvl w:ilvl="2" w:tplc="0409001B" w:tentative="1">
      <w:start w:val="1"/>
      <w:numFmt w:val="lowerRoman"/>
      <w:lvlText w:val="%3."/>
      <w:lvlJc w:val="right"/>
      <w:pPr>
        <w:ind w:left="1771" w:hanging="180"/>
      </w:pPr>
    </w:lvl>
    <w:lvl w:ilvl="3" w:tplc="0409000F" w:tentative="1">
      <w:start w:val="1"/>
      <w:numFmt w:val="decimal"/>
      <w:lvlText w:val="%4."/>
      <w:lvlJc w:val="left"/>
      <w:pPr>
        <w:ind w:left="2491" w:hanging="360"/>
      </w:pPr>
    </w:lvl>
    <w:lvl w:ilvl="4" w:tplc="04090019" w:tentative="1">
      <w:start w:val="1"/>
      <w:numFmt w:val="lowerLetter"/>
      <w:lvlText w:val="%5."/>
      <w:lvlJc w:val="left"/>
      <w:pPr>
        <w:ind w:left="3211" w:hanging="360"/>
      </w:pPr>
    </w:lvl>
    <w:lvl w:ilvl="5" w:tplc="0409001B" w:tentative="1">
      <w:start w:val="1"/>
      <w:numFmt w:val="lowerRoman"/>
      <w:lvlText w:val="%6."/>
      <w:lvlJc w:val="right"/>
      <w:pPr>
        <w:ind w:left="3931" w:hanging="180"/>
      </w:pPr>
    </w:lvl>
    <w:lvl w:ilvl="6" w:tplc="0409000F" w:tentative="1">
      <w:start w:val="1"/>
      <w:numFmt w:val="decimal"/>
      <w:lvlText w:val="%7."/>
      <w:lvlJc w:val="left"/>
      <w:pPr>
        <w:ind w:left="4651" w:hanging="360"/>
      </w:pPr>
    </w:lvl>
    <w:lvl w:ilvl="7" w:tplc="04090019" w:tentative="1">
      <w:start w:val="1"/>
      <w:numFmt w:val="lowerLetter"/>
      <w:lvlText w:val="%8."/>
      <w:lvlJc w:val="left"/>
      <w:pPr>
        <w:ind w:left="5371" w:hanging="360"/>
      </w:pPr>
    </w:lvl>
    <w:lvl w:ilvl="8" w:tplc="040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26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3"/>
  </w:num>
  <w:num w:numId="4">
    <w:abstractNumId w:val="5"/>
  </w:num>
  <w:num w:numId="5">
    <w:abstractNumId w:val="2"/>
  </w:num>
  <w:num w:numId="6">
    <w:abstractNumId w:val="12"/>
  </w:num>
  <w:num w:numId="7">
    <w:abstractNumId w:val="26"/>
  </w:num>
  <w:num w:numId="8">
    <w:abstractNumId w:val="10"/>
  </w:num>
  <w:num w:numId="9">
    <w:abstractNumId w:val="23"/>
  </w:num>
  <w:num w:numId="10">
    <w:abstractNumId w:val="19"/>
  </w:num>
  <w:num w:numId="11">
    <w:abstractNumId w:val="18"/>
  </w:num>
  <w:num w:numId="12">
    <w:abstractNumId w:val="17"/>
  </w:num>
  <w:num w:numId="13">
    <w:abstractNumId w:val="14"/>
  </w:num>
  <w:num w:numId="14">
    <w:abstractNumId w:val="20"/>
  </w:num>
  <w:num w:numId="15">
    <w:abstractNumId w:val="16"/>
  </w:num>
  <w:num w:numId="16">
    <w:abstractNumId w:val="11"/>
  </w:num>
  <w:num w:numId="17">
    <w:abstractNumId w:val="9"/>
  </w:num>
  <w:num w:numId="18">
    <w:abstractNumId w:val="24"/>
  </w:num>
  <w:num w:numId="19">
    <w:abstractNumId w:val="6"/>
  </w:num>
  <w:num w:numId="20">
    <w:abstractNumId w:val="27"/>
  </w:num>
  <w:num w:numId="21">
    <w:abstractNumId w:val="7"/>
  </w:num>
  <w:num w:numId="22">
    <w:abstractNumId w:val="3"/>
  </w:num>
  <w:num w:numId="23">
    <w:abstractNumId w:val="15"/>
  </w:num>
  <w:num w:numId="24">
    <w:abstractNumId w:val="0"/>
  </w:num>
  <w:num w:numId="25">
    <w:abstractNumId w:val="22"/>
  </w:num>
  <w:num w:numId="26">
    <w:abstractNumId w:val="25"/>
  </w:num>
  <w:num w:numId="27">
    <w:abstractNumId w:val="1"/>
  </w:num>
  <w:num w:numId="28">
    <w:abstractNumId w:val="2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36"/>
    <w:rsid w:val="00002164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4505"/>
    <w:rsid w:val="00061070"/>
    <w:rsid w:val="00083993"/>
    <w:rsid w:val="00086FFA"/>
    <w:rsid w:val="00092B84"/>
    <w:rsid w:val="0009542A"/>
    <w:rsid w:val="000A274A"/>
    <w:rsid w:val="000A53F3"/>
    <w:rsid w:val="000A5CDC"/>
    <w:rsid w:val="000B54D7"/>
    <w:rsid w:val="000B5C96"/>
    <w:rsid w:val="000D42DA"/>
    <w:rsid w:val="000D5029"/>
    <w:rsid w:val="000E2036"/>
    <w:rsid w:val="000F5E72"/>
    <w:rsid w:val="001156BA"/>
    <w:rsid w:val="001333D4"/>
    <w:rsid w:val="0015182D"/>
    <w:rsid w:val="00161847"/>
    <w:rsid w:val="00170CA7"/>
    <w:rsid w:val="001711C5"/>
    <w:rsid w:val="00172FE2"/>
    <w:rsid w:val="001A023F"/>
    <w:rsid w:val="001A3FAC"/>
    <w:rsid w:val="001A6472"/>
    <w:rsid w:val="001A6A2E"/>
    <w:rsid w:val="001B22B3"/>
    <w:rsid w:val="001C5538"/>
    <w:rsid w:val="001D0EDE"/>
    <w:rsid w:val="001D20E2"/>
    <w:rsid w:val="001D4C5F"/>
    <w:rsid w:val="001E38DE"/>
    <w:rsid w:val="001F7B31"/>
    <w:rsid w:val="0020601F"/>
    <w:rsid w:val="00212DA5"/>
    <w:rsid w:val="0021347C"/>
    <w:rsid w:val="00224EE9"/>
    <w:rsid w:val="002323AC"/>
    <w:rsid w:val="00261404"/>
    <w:rsid w:val="002673B0"/>
    <w:rsid w:val="00275E2A"/>
    <w:rsid w:val="00296938"/>
    <w:rsid w:val="002A202F"/>
    <w:rsid w:val="002B19B4"/>
    <w:rsid w:val="002B4FA6"/>
    <w:rsid w:val="002B59DA"/>
    <w:rsid w:val="002C14F3"/>
    <w:rsid w:val="002F1BEC"/>
    <w:rsid w:val="002F4757"/>
    <w:rsid w:val="00322199"/>
    <w:rsid w:val="003223C7"/>
    <w:rsid w:val="00326555"/>
    <w:rsid w:val="003410E0"/>
    <w:rsid w:val="00350EAD"/>
    <w:rsid w:val="003651DB"/>
    <w:rsid w:val="003715A0"/>
    <w:rsid w:val="0037171F"/>
    <w:rsid w:val="00376FD1"/>
    <w:rsid w:val="00387A52"/>
    <w:rsid w:val="0039002C"/>
    <w:rsid w:val="00395685"/>
    <w:rsid w:val="003B44DB"/>
    <w:rsid w:val="003B4BC9"/>
    <w:rsid w:val="003B6298"/>
    <w:rsid w:val="003E2EB1"/>
    <w:rsid w:val="003E3C16"/>
    <w:rsid w:val="00400628"/>
    <w:rsid w:val="00407D96"/>
    <w:rsid w:val="00432495"/>
    <w:rsid w:val="00444DA7"/>
    <w:rsid w:val="00455B14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D7E01"/>
    <w:rsid w:val="004E29D1"/>
    <w:rsid w:val="00500566"/>
    <w:rsid w:val="005073A3"/>
    <w:rsid w:val="00523608"/>
    <w:rsid w:val="00525C0A"/>
    <w:rsid w:val="00535608"/>
    <w:rsid w:val="00544225"/>
    <w:rsid w:val="00556688"/>
    <w:rsid w:val="0056162B"/>
    <w:rsid w:val="0056707B"/>
    <w:rsid w:val="00581A9D"/>
    <w:rsid w:val="005A2503"/>
    <w:rsid w:val="005B4F04"/>
    <w:rsid w:val="005B7CB9"/>
    <w:rsid w:val="005D0023"/>
    <w:rsid w:val="005E21C4"/>
    <w:rsid w:val="005F4D59"/>
    <w:rsid w:val="0060001C"/>
    <w:rsid w:val="00600D31"/>
    <w:rsid w:val="006047D2"/>
    <w:rsid w:val="0060786A"/>
    <w:rsid w:val="00610C27"/>
    <w:rsid w:val="006237FE"/>
    <w:rsid w:val="00623AD2"/>
    <w:rsid w:val="00627AF7"/>
    <w:rsid w:val="00632540"/>
    <w:rsid w:val="00633F73"/>
    <w:rsid w:val="00645199"/>
    <w:rsid w:val="00645850"/>
    <w:rsid w:val="006557FC"/>
    <w:rsid w:val="00656A47"/>
    <w:rsid w:val="00661ECF"/>
    <w:rsid w:val="00692071"/>
    <w:rsid w:val="00694B28"/>
    <w:rsid w:val="006C4D3C"/>
    <w:rsid w:val="006C5349"/>
    <w:rsid w:val="006C5F2A"/>
    <w:rsid w:val="006C662C"/>
    <w:rsid w:val="006F4A5C"/>
    <w:rsid w:val="00715F5C"/>
    <w:rsid w:val="007278C1"/>
    <w:rsid w:val="00733493"/>
    <w:rsid w:val="00737F1D"/>
    <w:rsid w:val="00782816"/>
    <w:rsid w:val="00785A46"/>
    <w:rsid w:val="007861E3"/>
    <w:rsid w:val="007940D6"/>
    <w:rsid w:val="007B1740"/>
    <w:rsid w:val="007C2D7D"/>
    <w:rsid w:val="007C61B5"/>
    <w:rsid w:val="007D3889"/>
    <w:rsid w:val="007D39E4"/>
    <w:rsid w:val="007D43A7"/>
    <w:rsid w:val="007E1695"/>
    <w:rsid w:val="007F204C"/>
    <w:rsid w:val="00804060"/>
    <w:rsid w:val="008166C9"/>
    <w:rsid w:val="00824E43"/>
    <w:rsid w:val="00833D8C"/>
    <w:rsid w:val="00834C9A"/>
    <w:rsid w:val="0084708C"/>
    <w:rsid w:val="00850AD5"/>
    <w:rsid w:val="00852739"/>
    <w:rsid w:val="008629CC"/>
    <w:rsid w:val="00865EBB"/>
    <w:rsid w:val="00871AF2"/>
    <w:rsid w:val="00873C03"/>
    <w:rsid w:val="00886C36"/>
    <w:rsid w:val="008A6AC8"/>
    <w:rsid w:val="008C5591"/>
    <w:rsid w:val="008D04A6"/>
    <w:rsid w:val="008D4C1A"/>
    <w:rsid w:val="008F0867"/>
    <w:rsid w:val="008F172F"/>
    <w:rsid w:val="008F2044"/>
    <w:rsid w:val="008F2BE1"/>
    <w:rsid w:val="008F32AC"/>
    <w:rsid w:val="008F4DD1"/>
    <w:rsid w:val="009056DB"/>
    <w:rsid w:val="009152D2"/>
    <w:rsid w:val="00932BE8"/>
    <w:rsid w:val="00947592"/>
    <w:rsid w:val="00950280"/>
    <w:rsid w:val="009710D0"/>
    <w:rsid w:val="00975445"/>
    <w:rsid w:val="00991A18"/>
    <w:rsid w:val="00994A16"/>
    <w:rsid w:val="009A30D3"/>
    <w:rsid w:val="009D03A7"/>
    <w:rsid w:val="009E0479"/>
    <w:rsid w:val="00A0102E"/>
    <w:rsid w:val="00A04073"/>
    <w:rsid w:val="00A12960"/>
    <w:rsid w:val="00A1570D"/>
    <w:rsid w:val="00A22386"/>
    <w:rsid w:val="00A25C8D"/>
    <w:rsid w:val="00A56B75"/>
    <w:rsid w:val="00A71C04"/>
    <w:rsid w:val="00AA0017"/>
    <w:rsid w:val="00AA4BC5"/>
    <w:rsid w:val="00AB09B3"/>
    <w:rsid w:val="00AC02D1"/>
    <w:rsid w:val="00B06019"/>
    <w:rsid w:val="00B07409"/>
    <w:rsid w:val="00B1006E"/>
    <w:rsid w:val="00B178FB"/>
    <w:rsid w:val="00B5252A"/>
    <w:rsid w:val="00B63DB1"/>
    <w:rsid w:val="00B64A73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C6826"/>
    <w:rsid w:val="00C0295C"/>
    <w:rsid w:val="00C03C06"/>
    <w:rsid w:val="00C121EC"/>
    <w:rsid w:val="00C12C65"/>
    <w:rsid w:val="00C16C08"/>
    <w:rsid w:val="00C445E2"/>
    <w:rsid w:val="00C70F1B"/>
    <w:rsid w:val="00C7129D"/>
    <w:rsid w:val="00C748D1"/>
    <w:rsid w:val="00C91014"/>
    <w:rsid w:val="00CA1CE9"/>
    <w:rsid w:val="00CB1A4E"/>
    <w:rsid w:val="00CB52FA"/>
    <w:rsid w:val="00CC29F6"/>
    <w:rsid w:val="00CD2287"/>
    <w:rsid w:val="00CD5B11"/>
    <w:rsid w:val="00CD5BBB"/>
    <w:rsid w:val="00CE0685"/>
    <w:rsid w:val="00CE47F5"/>
    <w:rsid w:val="00D37EA5"/>
    <w:rsid w:val="00D64C26"/>
    <w:rsid w:val="00D73628"/>
    <w:rsid w:val="00D73918"/>
    <w:rsid w:val="00D967D7"/>
    <w:rsid w:val="00DA125D"/>
    <w:rsid w:val="00DB19B9"/>
    <w:rsid w:val="00DC4BC2"/>
    <w:rsid w:val="00DC7F85"/>
    <w:rsid w:val="00DD2C10"/>
    <w:rsid w:val="00DE057D"/>
    <w:rsid w:val="00DE4E67"/>
    <w:rsid w:val="00DE6EE9"/>
    <w:rsid w:val="00E0020F"/>
    <w:rsid w:val="00E118C7"/>
    <w:rsid w:val="00E1427B"/>
    <w:rsid w:val="00E14E0D"/>
    <w:rsid w:val="00E2143C"/>
    <w:rsid w:val="00E22B8B"/>
    <w:rsid w:val="00E317D1"/>
    <w:rsid w:val="00E35D7D"/>
    <w:rsid w:val="00E40DF0"/>
    <w:rsid w:val="00E4267B"/>
    <w:rsid w:val="00E47DAC"/>
    <w:rsid w:val="00E63C8A"/>
    <w:rsid w:val="00E648D6"/>
    <w:rsid w:val="00E70BF6"/>
    <w:rsid w:val="00EB6B23"/>
    <w:rsid w:val="00EE3D57"/>
    <w:rsid w:val="00F11C98"/>
    <w:rsid w:val="00F12E47"/>
    <w:rsid w:val="00F13F8B"/>
    <w:rsid w:val="00F223B2"/>
    <w:rsid w:val="00F40AF7"/>
    <w:rsid w:val="00F53241"/>
    <w:rsid w:val="00F67790"/>
    <w:rsid w:val="00F71112"/>
    <w:rsid w:val="00F71D2D"/>
    <w:rsid w:val="00F96619"/>
    <w:rsid w:val="00FB1A1B"/>
    <w:rsid w:val="00FB5053"/>
    <w:rsid w:val="00FB547F"/>
    <w:rsid w:val="00FB645B"/>
    <w:rsid w:val="00FC09D6"/>
    <w:rsid w:val="00FC34EC"/>
    <w:rsid w:val="00FC3F69"/>
    <w:rsid w:val="00FC5312"/>
    <w:rsid w:val="00FD321B"/>
    <w:rsid w:val="00FD3964"/>
    <w:rsid w:val="00FF4DB4"/>
    <w:rsid w:val="00FF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B1A9BC5D-41CD-4802-A5B2-8E66CEF7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36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A7CF5-FD20-47A5-B383-E7435D453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1134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Aleksandra Đurđevic</cp:lastModifiedBy>
  <cp:revision>9</cp:revision>
  <cp:lastPrinted>2018-09-05T12:48:00Z</cp:lastPrinted>
  <dcterms:created xsi:type="dcterms:W3CDTF">2019-04-05T11:29:00Z</dcterms:created>
  <dcterms:modified xsi:type="dcterms:W3CDTF">2019-07-12T11:26:00Z</dcterms:modified>
</cp:coreProperties>
</file>