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4BC63ADD" w:rsidR="00B1006E" w:rsidRPr="00E43248" w:rsidRDefault="001402FD" w:rsidP="000E2036">
      <w:pPr>
        <w:pStyle w:val="NormalWeb"/>
        <w:spacing w:before="0" w:beforeAutospacing="0" w:after="0" w:afterAutospacing="0" w:line="336" w:lineRule="atLeast"/>
        <w:jc w:val="center"/>
        <w:rPr>
          <w:b/>
          <w:sz w:val="22"/>
          <w:szCs w:val="22"/>
          <w:lang w:val="sr-Cyrl-RS"/>
        </w:rPr>
      </w:pPr>
      <w:r>
        <w:rPr>
          <w:b/>
          <w:sz w:val="22"/>
          <w:szCs w:val="22"/>
        </w:rPr>
        <w:t>ПОЈЕДНОСТАВЉЕЊЕ ПОСТУПКА</w:t>
      </w:r>
      <w:r w:rsidR="00E43248">
        <w:rPr>
          <w:b/>
          <w:sz w:val="22"/>
          <w:szCs w:val="22"/>
        </w:rPr>
        <w:t xml:space="preserve"> </w:t>
      </w:r>
      <w:r w:rsidR="00E43248">
        <w:rPr>
          <w:b/>
          <w:sz w:val="22"/>
          <w:szCs w:val="22"/>
          <w:lang w:val="sr-Cyrl-RS"/>
        </w:rPr>
        <w:t>ИЗДАВАЊА РЕШЕЊА О ГЛАВНОЈ ОЦЕНИ ПРИХВАТЉИВОСТИ</w:t>
      </w:r>
    </w:p>
    <w:p w14:paraId="1A6C212A" w14:textId="77777777" w:rsidR="001402FD" w:rsidRPr="001402FD" w:rsidRDefault="001402FD"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E43248" w14:paraId="1976FB87" w14:textId="77777777" w:rsidTr="0049F11A">
        <w:trPr>
          <w:trHeight w:val="888"/>
        </w:trPr>
        <w:tc>
          <w:tcPr>
            <w:tcW w:w="2689" w:type="dxa"/>
            <w:shd w:val="clear" w:color="auto" w:fill="DBE5F1" w:themeFill="accent1" w:themeFillTint="33"/>
            <w:vAlign w:val="center"/>
          </w:tcPr>
          <w:p w14:paraId="11F785D1" w14:textId="77777777" w:rsidR="000E2036" w:rsidRPr="001402FD" w:rsidRDefault="000E2036" w:rsidP="00850AD5">
            <w:pPr>
              <w:jc w:val="left"/>
              <w:rPr>
                <w:rFonts w:ascii="Times New Roman" w:hAnsi="Times New Roman"/>
                <w:b/>
                <w:sz w:val="22"/>
                <w:szCs w:val="22"/>
                <w:lang w:val="sr-Cyrl-RS"/>
              </w:rPr>
            </w:pPr>
            <w:r w:rsidRPr="001402F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E459D08" w:rsidR="00771091" w:rsidRPr="001402FD" w:rsidRDefault="66E1764D" w:rsidP="66E1764D">
            <w:pPr>
              <w:pStyle w:val="NormalWeb"/>
              <w:spacing w:before="120" w:beforeAutospacing="0" w:after="120" w:afterAutospacing="0"/>
              <w:jc w:val="both"/>
              <w:rPr>
                <w:sz w:val="22"/>
                <w:szCs w:val="22"/>
                <w:lang w:val="sr-Cyrl-RS"/>
              </w:rPr>
            </w:pPr>
            <w:r w:rsidRPr="66E1764D">
              <w:rPr>
                <w:sz w:val="22"/>
                <w:szCs w:val="22"/>
                <w:lang w:val="sr-Cyrl-RS"/>
              </w:rPr>
              <w:t>Решење о Главној оцени прихватљивости</w:t>
            </w:r>
          </w:p>
        </w:tc>
      </w:tr>
      <w:tr w:rsidR="00850AD5" w:rsidRPr="001402FD" w14:paraId="7A6AA442" w14:textId="77777777" w:rsidTr="0049F11A">
        <w:trPr>
          <w:trHeight w:val="418"/>
        </w:trPr>
        <w:tc>
          <w:tcPr>
            <w:tcW w:w="2689" w:type="dxa"/>
            <w:shd w:val="clear" w:color="auto" w:fill="DBE5F1" w:themeFill="accent1" w:themeFillTint="33"/>
            <w:vAlign w:val="center"/>
          </w:tcPr>
          <w:p w14:paraId="049C2EAE" w14:textId="77777777" w:rsidR="000E2036" w:rsidRPr="001402FD" w:rsidRDefault="000E2036" w:rsidP="00850AD5">
            <w:pPr>
              <w:pStyle w:val="NormalWeb"/>
              <w:spacing w:before="0" w:beforeAutospacing="0" w:after="0" w:afterAutospacing="0"/>
              <w:rPr>
                <w:b/>
                <w:sz w:val="22"/>
                <w:szCs w:val="22"/>
                <w:lang w:val="sr-Cyrl-RS"/>
              </w:rPr>
            </w:pPr>
            <w:r w:rsidRPr="001402FD">
              <w:rPr>
                <w:b/>
                <w:sz w:val="22"/>
                <w:szCs w:val="22"/>
                <w:lang w:val="sr-Cyrl-RS"/>
              </w:rPr>
              <w:t>Шифра поступка</w:t>
            </w:r>
          </w:p>
        </w:tc>
        <w:tc>
          <w:tcPr>
            <w:tcW w:w="6371" w:type="dxa"/>
            <w:vAlign w:val="center"/>
          </w:tcPr>
          <w:p w14:paraId="76B78B5F" w14:textId="6B569BDE" w:rsidR="000E2036" w:rsidRPr="001402FD" w:rsidRDefault="66E1764D" w:rsidP="66E1764D">
            <w:pPr>
              <w:pStyle w:val="NormalWeb"/>
              <w:spacing w:before="120" w:beforeAutospacing="0" w:after="120" w:afterAutospacing="0"/>
              <w:jc w:val="both"/>
              <w:rPr>
                <w:sz w:val="22"/>
                <w:szCs w:val="22"/>
              </w:rPr>
            </w:pPr>
            <w:r w:rsidRPr="66E1764D">
              <w:rPr>
                <w:sz w:val="22"/>
                <w:szCs w:val="22"/>
              </w:rPr>
              <w:t>134.00.0008</w:t>
            </w:r>
          </w:p>
        </w:tc>
      </w:tr>
      <w:tr w:rsidR="00850AD5" w:rsidRPr="001402FD" w14:paraId="2CEE52A6" w14:textId="77777777" w:rsidTr="0049F11A">
        <w:tc>
          <w:tcPr>
            <w:tcW w:w="2689" w:type="dxa"/>
            <w:shd w:val="clear" w:color="auto" w:fill="DBE5F1" w:themeFill="accent1" w:themeFillTint="33"/>
            <w:vAlign w:val="center"/>
          </w:tcPr>
          <w:p w14:paraId="682C75C7" w14:textId="77777777" w:rsidR="00275E2A" w:rsidRPr="001402FD" w:rsidRDefault="00275E2A" w:rsidP="00850AD5">
            <w:pPr>
              <w:pStyle w:val="NormalWeb"/>
              <w:spacing w:before="0" w:beforeAutospacing="0" w:after="0" w:afterAutospacing="0"/>
              <w:rPr>
                <w:b/>
                <w:sz w:val="22"/>
                <w:szCs w:val="22"/>
                <w:lang w:val="sr-Cyrl-RS"/>
              </w:rPr>
            </w:pPr>
            <w:r w:rsidRPr="001402FD">
              <w:rPr>
                <w:b/>
                <w:sz w:val="22"/>
                <w:szCs w:val="22"/>
                <w:lang w:val="sr-Cyrl-RS"/>
              </w:rPr>
              <w:t>Регулаторно тело</w:t>
            </w:r>
          </w:p>
          <w:p w14:paraId="0CAF5299" w14:textId="77777777" w:rsidR="00275E2A" w:rsidRPr="001402FD" w:rsidRDefault="00275E2A" w:rsidP="00850AD5">
            <w:pPr>
              <w:pStyle w:val="NormalWeb"/>
              <w:spacing w:before="0" w:beforeAutospacing="0" w:after="0" w:afterAutospacing="0"/>
              <w:rPr>
                <w:b/>
                <w:sz w:val="22"/>
                <w:szCs w:val="22"/>
                <w:lang w:val="sr-Cyrl-RS"/>
              </w:rPr>
            </w:pPr>
            <w:r w:rsidRPr="001402FD">
              <w:rPr>
                <w:b/>
                <w:sz w:val="22"/>
                <w:szCs w:val="22"/>
                <w:lang w:val="sr-Cyrl-RS"/>
              </w:rPr>
              <w:t>(надлежно за спровођење препоруке)</w:t>
            </w:r>
          </w:p>
        </w:tc>
        <w:tc>
          <w:tcPr>
            <w:tcW w:w="6371" w:type="dxa"/>
            <w:vAlign w:val="center"/>
          </w:tcPr>
          <w:p w14:paraId="5795E7E6" w14:textId="789502FF" w:rsidR="00092B84" w:rsidRPr="001402FD" w:rsidRDefault="66E1764D" w:rsidP="66E1764D">
            <w:pPr>
              <w:pStyle w:val="NormalWeb"/>
              <w:spacing w:before="120" w:beforeAutospacing="0" w:after="120" w:afterAutospacing="0"/>
              <w:jc w:val="both"/>
              <w:rPr>
                <w:sz w:val="22"/>
                <w:szCs w:val="22"/>
                <w:lang w:val="sr-Cyrl-RS"/>
              </w:rPr>
            </w:pPr>
            <w:r w:rsidRPr="66E1764D">
              <w:rPr>
                <w:sz w:val="22"/>
                <w:szCs w:val="22"/>
                <w:lang w:val="sr-Cyrl-RS"/>
              </w:rPr>
              <w:t>Министарство заштите животне средине</w:t>
            </w:r>
          </w:p>
        </w:tc>
      </w:tr>
      <w:tr w:rsidR="00850AD5" w:rsidRPr="00E43248" w14:paraId="10DA1CD3" w14:textId="77777777" w:rsidTr="0049F11A">
        <w:tc>
          <w:tcPr>
            <w:tcW w:w="2689" w:type="dxa"/>
            <w:shd w:val="clear" w:color="auto" w:fill="DBE5F1" w:themeFill="accent1" w:themeFillTint="33"/>
            <w:vAlign w:val="center"/>
          </w:tcPr>
          <w:p w14:paraId="4DE579F4" w14:textId="77777777" w:rsidR="00275E2A" w:rsidRPr="001402FD" w:rsidRDefault="00275E2A" w:rsidP="00850AD5">
            <w:pPr>
              <w:pStyle w:val="NormalWeb"/>
              <w:spacing w:before="0" w:beforeAutospacing="0" w:after="0" w:afterAutospacing="0"/>
              <w:rPr>
                <w:b/>
                <w:sz w:val="22"/>
                <w:szCs w:val="22"/>
                <w:lang w:val="sr-Cyrl-RS"/>
              </w:rPr>
            </w:pPr>
            <w:r w:rsidRPr="001402FD">
              <w:rPr>
                <w:b/>
                <w:sz w:val="22"/>
                <w:szCs w:val="22"/>
                <w:lang w:val="sr-Cyrl-RS"/>
              </w:rPr>
              <w:t>Правни о</w:t>
            </w:r>
            <w:r w:rsidR="00B903AE" w:rsidRPr="001402FD">
              <w:rPr>
                <w:b/>
                <w:sz w:val="22"/>
                <w:szCs w:val="22"/>
                <w:lang w:val="sr-Cyrl-RS"/>
              </w:rPr>
              <w:t>квир</w:t>
            </w:r>
            <w:r w:rsidR="00DC4BC2" w:rsidRPr="001402FD">
              <w:rPr>
                <w:b/>
                <w:sz w:val="22"/>
                <w:szCs w:val="22"/>
                <w:lang w:val="sr-Cyrl-RS"/>
              </w:rPr>
              <w:t xml:space="preserve"> којим је уређен административни поступак</w:t>
            </w:r>
          </w:p>
        </w:tc>
        <w:tc>
          <w:tcPr>
            <w:tcW w:w="6371" w:type="dxa"/>
            <w:vAlign w:val="center"/>
          </w:tcPr>
          <w:p w14:paraId="6D31A2E4" w14:textId="135BA73C" w:rsidR="001402FD" w:rsidRPr="001402FD" w:rsidRDefault="66E1764D" w:rsidP="66E1764D">
            <w:pPr>
              <w:pStyle w:val="ListParagraph"/>
              <w:numPr>
                <w:ilvl w:val="0"/>
                <w:numId w:val="27"/>
              </w:numPr>
              <w:spacing w:before="120" w:after="120"/>
              <w:rPr>
                <w:rFonts w:ascii="Times New Roman" w:hAnsi="Times New Roman"/>
                <w:sz w:val="22"/>
                <w:szCs w:val="22"/>
                <w:lang w:val="sr-Cyrl-RS"/>
              </w:rPr>
            </w:pPr>
            <w:r w:rsidRPr="66E1764D">
              <w:rPr>
                <w:rFonts w:ascii="Times New Roman" w:hAnsi="Times New Roman"/>
                <w:sz w:val="22"/>
                <w:szCs w:val="22"/>
                <w:lang w:val="sr-Cyrl-RS"/>
              </w:rPr>
              <w:t>Закон о стратешкој процени утицаја на животну средину</w:t>
            </w:r>
            <w:r w:rsidRPr="00E43248">
              <w:rPr>
                <w:rFonts w:ascii="Times New Roman" w:hAnsi="Times New Roman"/>
                <w:sz w:val="22"/>
                <w:szCs w:val="22"/>
                <w:lang w:val="sr-Cyrl-RS"/>
              </w:rPr>
              <w:t>:</w:t>
            </w:r>
            <w:r w:rsidRPr="66E1764D">
              <w:rPr>
                <w:rFonts w:ascii="Times New Roman" w:hAnsi="Times New Roman"/>
                <w:sz w:val="22"/>
                <w:szCs w:val="22"/>
                <w:lang w:val="sr-Cyrl-RS"/>
              </w:rPr>
              <w:t xml:space="preserve"> </w:t>
            </w:r>
            <w:r w:rsidRPr="00E43248">
              <w:rPr>
                <w:rFonts w:ascii="Times New Roman" w:hAnsi="Times New Roman"/>
                <w:sz w:val="22"/>
                <w:szCs w:val="22"/>
                <w:lang w:val="sr-Cyrl-RS"/>
              </w:rPr>
              <w:t>"Сл</w:t>
            </w:r>
            <w:r w:rsidR="00D84626">
              <w:rPr>
                <w:rFonts w:ascii="Times New Roman" w:hAnsi="Times New Roman"/>
                <w:sz w:val="22"/>
                <w:szCs w:val="22"/>
                <w:lang w:val="sr-Cyrl-RS"/>
              </w:rPr>
              <w:t>ужбени</w:t>
            </w:r>
            <w:r w:rsidRPr="00E43248">
              <w:rPr>
                <w:rFonts w:ascii="Times New Roman" w:hAnsi="Times New Roman"/>
                <w:sz w:val="22"/>
                <w:szCs w:val="22"/>
                <w:lang w:val="sr-Cyrl-RS"/>
              </w:rPr>
              <w:t xml:space="preserve"> гласник РС", бр. 135/2004 и 88/2010 </w:t>
            </w:r>
            <w:r w:rsidRPr="66E1764D">
              <w:rPr>
                <w:rFonts w:ascii="Times New Roman" w:hAnsi="Times New Roman"/>
                <w:sz w:val="22"/>
                <w:szCs w:val="22"/>
                <w:lang w:val="sr-Cyrl-RS"/>
              </w:rPr>
              <w:t xml:space="preserve"> </w:t>
            </w:r>
          </w:p>
          <w:p w14:paraId="2CCB5DCC" w14:textId="45E0604D" w:rsidR="00645199" w:rsidRPr="001402FD" w:rsidRDefault="66E1764D" w:rsidP="66E1764D">
            <w:pPr>
              <w:pStyle w:val="ListParagraph"/>
              <w:numPr>
                <w:ilvl w:val="0"/>
                <w:numId w:val="27"/>
              </w:numPr>
              <w:spacing w:before="120" w:after="120"/>
              <w:rPr>
                <w:rFonts w:ascii="Times New Roman" w:hAnsi="Times New Roman"/>
                <w:lang w:val="sr-Cyrl-RS"/>
              </w:rPr>
            </w:pPr>
            <w:r w:rsidRPr="66E1764D">
              <w:rPr>
                <w:rFonts w:ascii="Times New Roman" w:hAnsi="Times New Roman"/>
                <w:sz w:val="22"/>
                <w:szCs w:val="22"/>
                <w:lang w:val="sr-Cyrl-RS"/>
              </w:rPr>
              <w:t>Закон о процени утицаја на животну средину</w:t>
            </w:r>
            <w:r w:rsidRPr="00E43248">
              <w:rPr>
                <w:rFonts w:ascii="Times New Roman" w:hAnsi="Times New Roman"/>
                <w:sz w:val="22"/>
                <w:szCs w:val="22"/>
                <w:lang w:val="sr-Cyrl-RS"/>
              </w:rPr>
              <w:t>:</w:t>
            </w:r>
            <w:r w:rsidRPr="66E1764D">
              <w:rPr>
                <w:rFonts w:ascii="Times New Roman" w:hAnsi="Times New Roman"/>
                <w:sz w:val="22"/>
                <w:szCs w:val="22"/>
                <w:lang w:val="sr-Cyrl-RS"/>
              </w:rPr>
              <w:t xml:space="preserve"> </w:t>
            </w:r>
            <w:r w:rsidRPr="00E43248">
              <w:rPr>
                <w:rFonts w:ascii="Times New Roman" w:hAnsi="Times New Roman"/>
                <w:sz w:val="22"/>
                <w:szCs w:val="22"/>
                <w:lang w:val="sr-Cyrl-RS"/>
              </w:rPr>
              <w:t>"Сл. гласник РС", бр.</w:t>
            </w:r>
            <w:r w:rsidRPr="66E1764D">
              <w:rPr>
                <w:rFonts w:ascii="Times New Roman" w:hAnsi="Times New Roman"/>
                <w:sz w:val="22"/>
                <w:szCs w:val="22"/>
                <w:lang w:val="sr-Cyrl-RS"/>
              </w:rPr>
              <w:t xml:space="preserve"> 135/2004 и 36/2009</w:t>
            </w:r>
          </w:p>
        </w:tc>
      </w:tr>
      <w:tr w:rsidR="00850AD5" w:rsidRPr="00E43248" w14:paraId="724CF23D" w14:textId="77777777" w:rsidTr="0049F11A">
        <w:tc>
          <w:tcPr>
            <w:tcW w:w="2689" w:type="dxa"/>
            <w:shd w:val="clear" w:color="auto" w:fill="DBE5F1" w:themeFill="accent1" w:themeFillTint="33"/>
            <w:vAlign w:val="center"/>
          </w:tcPr>
          <w:p w14:paraId="1A908998" w14:textId="11A1AF2D" w:rsidR="00D73918" w:rsidRPr="001402F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1402FD">
              <w:rPr>
                <w:rFonts w:eastAsiaTheme="minorHAnsi"/>
                <w:b/>
                <w:bCs/>
                <w:color w:val="000000" w:themeColor="text1"/>
                <w:sz w:val="22"/>
                <w:szCs w:val="22"/>
                <w:lang w:val="sr-Cyrl-RS" w:eastAsia="en-GB"/>
              </w:rPr>
              <w:t>Прописи које треба променити</w:t>
            </w:r>
            <w:r w:rsidR="00804060" w:rsidRPr="001402FD">
              <w:rPr>
                <w:rFonts w:eastAsiaTheme="minorHAnsi"/>
                <w:b/>
                <w:bCs/>
                <w:color w:val="000000" w:themeColor="text1"/>
                <w:sz w:val="22"/>
                <w:szCs w:val="22"/>
                <w:lang w:val="sr-Latn-RS" w:eastAsia="en-GB"/>
              </w:rPr>
              <w:t xml:space="preserve"> </w:t>
            </w:r>
            <w:r w:rsidR="00804060" w:rsidRPr="001402FD">
              <w:rPr>
                <w:rFonts w:eastAsiaTheme="minorHAnsi"/>
                <w:b/>
                <w:bCs/>
                <w:color w:val="000000" w:themeColor="text1"/>
                <w:sz w:val="22"/>
                <w:szCs w:val="22"/>
                <w:lang w:val="sr-Cyrl-RS" w:eastAsia="en-GB"/>
              </w:rPr>
              <w:t>/донети/укинути</w:t>
            </w:r>
            <w:r w:rsidR="00804060" w:rsidRPr="001402FD">
              <w:rPr>
                <w:rFonts w:eastAsiaTheme="minorHAnsi"/>
                <w:b/>
                <w:bCs/>
                <w:color w:val="000000" w:themeColor="text1"/>
                <w:sz w:val="22"/>
                <w:szCs w:val="22"/>
                <w:lang w:val="sr-Latn-RS" w:eastAsia="en-GB"/>
              </w:rPr>
              <w:t xml:space="preserve"> </w:t>
            </w:r>
            <w:r w:rsidRPr="001402FD">
              <w:rPr>
                <w:rFonts w:eastAsiaTheme="minorHAnsi"/>
                <w:b/>
                <w:bCs/>
                <w:color w:val="000000" w:themeColor="text1"/>
                <w:sz w:val="22"/>
                <w:szCs w:val="22"/>
                <w:lang w:val="sr-Cyrl-RS" w:eastAsia="en-GB"/>
              </w:rPr>
              <w:t>да би се спровеле препоруке</w:t>
            </w:r>
          </w:p>
        </w:tc>
        <w:tc>
          <w:tcPr>
            <w:tcW w:w="6371" w:type="dxa"/>
            <w:vAlign w:val="center"/>
          </w:tcPr>
          <w:p w14:paraId="045F8275" w14:textId="63FEFD9D" w:rsidR="00D73918" w:rsidRPr="009F6DA7" w:rsidRDefault="66E1764D" w:rsidP="66E1764D">
            <w:pPr>
              <w:pStyle w:val="ListParagraph"/>
              <w:numPr>
                <w:ilvl w:val="0"/>
                <w:numId w:val="26"/>
              </w:numPr>
              <w:spacing w:before="120" w:after="120"/>
              <w:rPr>
                <w:rFonts w:ascii="Times New Roman" w:hAnsi="Times New Roman"/>
                <w:sz w:val="22"/>
                <w:szCs w:val="22"/>
                <w:lang w:val="sr-Cyrl-RS"/>
              </w:rPr>
            </w:pPr>
            <w:r w:rsidRPr="66E1764D">
              <w:rPr>
                <w:rFonts w:ascii="Times New Roman" w:hAnsi="Times New Roman"/>
                <w:sz w:val="22"/>
                <w:szCs w:val="22"/>
                <w:lang w:val="sr-Cyrl-RS"/>
              </w:rPr>
              <w:t>Закон о стратешкој процени утицаја на животну средину</w:t>
            </w:r>
            <w:r w:rsidRPr="00E43248">
              <w:rPr>
                <w:rFonts w:ascii="Times New Roman" w:hAnsi="Times New Roman"/>
                <w:sz w:val="22"/>
                <w:szCs w:val="22"/>
                <w:lang w:val="sr-Cyrl-RS"/>
              </w:rPr>
              <w:t>:</w:t>
            </w:r>
            <w:r w:rsidRPr="66E1764D">
              <w:rPr>
                <w:rFonts w:ascii="Times New Roman" w:hAnsi="Times New Roman"/>
                <w:sz w:val="22"/>
                <w:szCs w:val="22"/>
                <w:lang w:val="sr-Cyrl-RS"/>
              </w:rPr>
              <w:t xml:space="preserve"> </w:t>
            </w:r>
            <w:r w:rsidRPr="00E43248">
              <w:rPr>
                <w:rFonts w:ascii="Times New Roman" w:hAnsi="Times New Roman"/>
                <w:sz w:val="22"/>
                <w:szCs w:val="22"/>
                <w:lang w:val="sr-Cyrl-RS"/>
              </w:rPr>
              <w:t>"</w:t>
            </w:r>
            <w:r w:rsidR="00D84626" w:rsidRPr="00E43248">
              <w:rPr>
                <w:rFonts w:ascii="Times New Roman" w:hAnsi="Times New Roman"/>
                <w:sz w:val="22"/>
                <w:szCs w:val="22"/>
                <w:lang w:val="sr-Cyrl-RS"/>
              </w:rPr>
              <w:t>Сл</w:t>
            </w:r>
            <w:r w:rsidR="00D84626">
              <w:rPr>
                <w:rFonts w:ascii="Times New Roman" w:hAnsi="Times New Roman"/>
                <w:sz w:val="22"/>
                <w:szCs w:val="22"/>
                <w:lang w:val="sr-Cyrl-RS"/>
              </w:rPr>
              <w:t>ужбени</w:t>
            </w:r>
            <w:r w:rsidR="00D84626" w:rsidRPr="00E43248">
              <w:rPr>
                <w:rFonts w:ascii="Times New Roman" w:hAnsi="Times New Roman"/>
                <w:sz w:val="22"/>
                <w:szCs w:val="22"/>
                <w:lang w:val="sr-Cyrl-RS"/>
              </w:rPr>
              <w:t xml:space="preserve"> гласник </w:t>
            </w:r>
            <w:r w:rsidRPr="00E43248">
              <w:rPr>
                <w:rFonts w:ascii="Times New Roman" w:hAnsi="Times New Roman"/>
                <w:sz w:val="22"/>
                <w:szCs w:val="22"/>
                <w:lang w:val="sr-Cyrl-RS"/>
              </w:rPr>
              <w:t xml:space="preserve">РС", бр. 135/2004 и 88/2010 </w:t>
            </w:r>
            <w:r w:rsidRPr="66E1764D">
              <w:rPr>
                <w:rFonts w:ascii="Times New Roman" w:hAnsi="Times New Roman"/>
                <w:sz w:val="22"/>
                <w:szCs w:val="22"/>
                <w:lang w:val="sr-Cyrl-RS"/>
              </w:rPr>
              <w:t xml:space="preserve"> </w:t>
            </w:r>
          </w:p>
          <w:p w14:paraId="55CB4618" w14:textId="01D4C62A" w:rsidR="00501500" w:rsidRPr="001402FD" w:rsidRDefault="66E1764D" w:rsidP="66E1764D">
            <w:pPr>
              <w:pStyle w:val="ListParagraph"/>
              <w:numPr>
                <w:ilvl w:val="0"/>
                <w:numId w:val="26"/>
              </w:numPr>
              <w:spacing w:before="120" w:after="120"/>
              <w:rPr>
                <w:rFonts w:ascii="Times New Roman" w:hAnsi="Times New Roman"/>
                <w:sz w:val="22"/>
                <w:szCs w:val="22"/>
                <w:lang w:val="sr-Cyrl-RS"/>
              </w:rPr>
            </w:pPr>
            <w:r w:rsidRPr="66E1764D">
              <w:rPr>
                <w:rFonts w:ascii="Times New Roman" w:hAnsi="Times New Roman"/>
                <w:sz w:val="22"/>
                <w:szCs w:val="22"/>
                <w:lang w:val="sr-Cyrl-RS"/>
              </w:rPr>
              <w:t>Закон о процени утицаја на животну средину</w:t>
            </w:r>
            <w:r w:rsidRPr="00E43248">
              <w:rPr>
                <w:rFonts w:ascii="Times New Roman" w:hAnsi="Times New Roman"/>
                <w:sz w:val="22"/>
                <w:szCs w:val="22"/>
                <w:lang w:val="sr-Cyrl-RS"/>
              </w:rPr>
              <w:t>: "</w:t>
            </w:r>
            <w:r w:rsidR="00D84626" w:rsidRPr="00E43248">
              <w:rPr>
                <w:rFonts w:ascii="Times New Roman" w:hAnsi="Times New Roman"/>
                <w:sz w:val="22"/>
                <w:szCs w:val="22"/>
                <w:lang w:val="sr-Cyrl-RS"/>
              </w:rPr>
              <w:t xml:space="preserve"> Сл</w:t>
            </w:r>
            <w:r w:rsidR="00D84626">
              <w:rPr>
                <w:rFonts w:ascii="Times New Roman" w:hAnsi="Times New Roman"/>
                <w:sz w:val="22"/>
                <w:szCs w:val="22"/>
                <w:lang w:val="sr-Cyrl-RS"/>
              </w:rPr>
              <w:t>ужбени</w:t>
            </w:r>
            <w:r w:rsidR="00D84626" w:rsidRPr="00E43248">
              <w:rPr>
                <w:rFonts w:ascii="Times New Roman" w:hAnsi="Times New Roman"/>
                <w:sz w:val="22"/>
                <w:szCs w:val="22"/>
                <w:lang w:val="sr-Cyrl-RS"/>
              </w:rPr>
              <w:t xml:space="preserve"> гласник</w:t>
            </w:r>
            <w:r w:rsidRPr="00E43248">
              <w:rPr>
                <w:rFonts w:ascii="Times New Roman" w:hAnsi="Times New Roman"/>
                <w:sz w:val="22"/>
                <w:szCs w:val="22"/>
                <w:lang w:val="sr-Cyrl-RS"/>
              </w:rPr>
              <w:t xml:space="preserve"> РС", бр.</w:t>
            </w:r>
            <w:r w:rsidRPr="66E1764D">
              <w:rPr>
                <w:rFonts w:ascii="Times New Roman" w:hAnsi="Times New Roman"/>
                <w:sz w:val="22"/>
                <w:szCs w:val="22"/>
                <w:lang w:val="sr-Cyrl-RS"/>
              </w:rPr>
              <w:t xml:space="preserve"> 135/2004 и 36/2009</w:t>
            </w:r>
          </w:p>
        </w:tc>
      </w:tr>
      <w:tr w:rsidR="00850AD5" w:rsidRPr="001402FD" w14:paraId="58812BCA" w14:textId="77777777" w:rsidTr="0049F11A">
        <w:tc>
          <w:tcPr>
            <w:tcW w:w="2689" w:type="dxa"/>
            <w:shd w:val="clear" w:color="auto" w:fill="DBE5F1" w:themeFill="accent1" w:themeFillTint="33"/>
            <w:vAlign w:val="center"/>
          </w:tcPr>
          <w:p w14:paraId="0CF6011B" w14:textId="0E1BBDD3" w:rsidR="00275E2A" w:rsidRPr="001402FD" w:rsidRDefault="00275E2A" w:rsidP="00850AD5">
            <w:pPr>
              <w:pStyle w:val="NormalWeb"/>
              <w:spacing w:before="0" w:beforeAutospacing="0" w:after="0" w:afterAutospacing="0"/>
              <w:rPr>
                <w:b/>
                <w:sz w:val="22"/>
                <w:szCs w:val="22"/>
                <w:lang w:val="sr-Cyrl-RS"/>
              </w:rPr>
            </w:pPr>
            <w:r w:rsidRPr="001402FD">
              <w:rPr>
                <w:b/>
                <w:sz w:val="22"/>
                <w:szCs w:val="22"/>
                <w:lang w:val="sr-Cyrl-RS"/>
              </w:rPr>
              <w:t>Рок за спровођење препорук</w:t>
            </w:r>
            <w:r w:rsidR="00D73918" w:rsidRPr="001402FD">
              <w:rPr>
                <w:b/>
                <w:sz w:val="22"/>
                <w:szCs w:val="22"/>
                <w:lang w:val="sr-Cyrl-RS"/>
              </w:rPr>
              <w:t>а</w:t>
            </w:r>
          </w:p>
        </w:tc>
        <w:tc>
          <w:tcPr>
            <w:tcW w:w="6371" w:type="dxa"/>
            <w:vAlign w:val="center"/>
          </w:tcPr>
          <w:p w14:paraId="19A48B50" w14:textId="1755EC8C" w:rsidR="00804060" w:rsidRPr="001402FD" w:rsidRDefault="66E1764D" w:rsidP="006162CF">
            <w:pPr>
              <w:pStyle w:val="NormalWeb"/>
              <w:spacing w:before="120" w:beforeAutospacing="0" w:after="120" w:afterAutospacing="0"/>
              <w:jc w:val="both"/>
              <w:rPr>
                <w:sz w:val="22"/>
                <w:szCs w:val="22"/>
                <w:lang w:val="sr-Cyrl-RS"/>
              </w:rPr>
            </w:pPr>
            <w:r w:rsidRPr="66E1764D">
              <w:rPr>
                <w:sz w:val="22"/>
                <w:szCs w:val="22"/>
                <w:lang w:val="sr-Cyrl-RS"/>
              </w:rPr>
              <w:t xml:space="preserve">Четврти квартал 2019. године </w:t>
            </w:r>
          </w:p>
        </w:tc>
      </w:tr>
      <w:tr w:rsidR="00275E2A" w:rsidRPr="001402FD" w14:paraId="539113B1" w14:textId="77777777" w:rsidTr="0049F11A">
        <w:trPr>
          <w:trHeight w:val="409"/>
        </w:trPr>
        <w:tc>
          <w:tcPr>
            <w:tcW w:w="9060" w:type="dxa"/>
            <w:gridSpan w:val="2"/>
            <w:shd w:val="clear" w:color="auto" w:fill="DBE5F1" w:themeFill="accent1" w:themeFillTint="33"/>
            <w:vAlign w:val="center"/>
          </w:tcPr>
          <w:p w14:paraId="6E79D945" w14:textId="77777777" w:rsidR="00275E2A" w:rsidRPr="001402FD" w:rsidRDefault="00275E2A" w:rsidP="006F4A5C">
            <w:pPr>
              <w:pStyle w:val="NormalWeb"/>
              <w:numPr>
                <w:ilvl w:val="0"/>
                <w:numId w:val="23"/>
              </w:numPr>
              <w:spacing w:before="120" w:beforeAutospacing="0" w:after="120" w:afterAutospacing="0"/>
              <w:jc w:val="center"/>
              <w:rPr>
                <w:b/>
                <w:sz w:val="22"/>
                <w:szCs w:val="22"/>
                <w:lang w:val="sr-Cyrl-RS"/>
              </w:rPr>
            </w:pPr>
            <w:r w:rsidRPr="001402FD">
              <w:rPr>
                <w:b/>
                <w:sz w:val="22"/>
                <w:szCs w:val="22"/>
                <w:lang w:val="sr-Cyrl-RS"/>
              </w:rPr>
              <w:t>КРАТАК ОПИС ПРОБЛЕМА</w:t>
            </w:r>
          </w:p>
        </w:tc>
      </w:tr>
      <w:tr w:rsidR="00275E2A" w:rsidRPr="00E43248" w14:paraId="4635A4BE" w14:textId="77777777" w:rsidTr="0049F11A">
        <w:tc>
          <w:tcPr>
            <w:tcW w:w="9060" w:type="dxa"/>
            <w:gridSpan w:val="2"/>
          </w:tcPr>
          <w:p w14:paraId="516C8CBB" w14:textId="7BD38658" w:rsidR="00780DE2" w:rsidRPr="00B7689F" w:rsidRDefault="00501500" w:rsidP="00EC30D5">
            <w:pPr>
              <w:rPr>
                <w:rFonts w:ascii="Times New Roman" w:hAnsi="Times New Roman"/>
                <w:sz w:val="22"/>
                <w:szCs w:val="22"/>
                <w:lang w:val="sr-Cyrl-RS"/>
              </w:rPr>
            </w:pPr>
            <w:r w:rsidRPr="00B7689F">
              <w:rPr>
                <w:rFonts w:ascii="Times New Roman" w:hAnsi="Times New Roman"/>
                <w:sz w:val="22"/>
                <w:szCs w:val="22"/>
                <w:lang w:val="sr-Cyrl-RS"/>
              </w:rPr>
              <w:t>С</w:t>
            </w:r>
            <w:r w:rsidR="001402FD" w:rsidRPr="00B7689F">
              <w:rPr>
                <w:rFonts w:ascii="Times New Roman" w:hAnsi="Times New Roman"/>
                <w:sz w:val="22"/>
                <w:szCs w:val="22"/>
                <w:lang w:val="sr-Cyrl-RS"/>
              </w:rPr>
              <w:t xml:space="preserve"> </w:t>
            </w:r>
            <w:r w:rsidRPr="00B7689F">
              <w:rPr>
                <w:rFonts w:ascii="Times New Roman" w:hAnsi="Times New Roman"/>
                <w:sz w:val="22"/>
                <w:szCs w:val="22"/>
                <w:lang w:val="sr-Cyrl-RS"/>
              </w:rPr>
              <w:t>обзиром да је урађен Предлог уредбе о оцени прихватљивости са прилозима</w:t>
            </w:r>
            <w:r w:rsidR="00144657" w:rsidRPr="00B7689F">
              <w:rPr>
                <w:rFonts w:ascii="Times New Roman" w:hAnsi="Times New Roman"/>
                <w:sz w:val="22"/>
                <w:szCs w:val="22"/>
                <w:lang w:val="sr-Cyrl-RS"/>
              </w:rPr>
              <w:t xml:space="preserve"> потребно је да се </w:t>
            </w:r>
            <w:r w:rsidRPr="00B7689F">
              <w:rPr>
                <w:rFonts w:ascii="Times New Roman" w:hAnsi="Times New Roman"/>
                <w:sz w:val="22"/>
                <w:szCs w:val="22"/>
                <w:lang w:val="sr-Cyrl-RS"/>
              </w:rPr>
              <w:t xml:space="preserve">исти </w:t>
            </w:r>
            <w:r w:rsidR="00144657" w:rsidRPr="00B7689F">
              <w:rPr>
                <w:rFonts w:ascii="Times New Roman" w:hAnsi="Times New Roman"/>
                <w:sz w:val="22"/>
                <w:szCs w:val="22"/>
                <w:lang w:val="sr-Cyrl-RS"/>
              </w:rPr>
              <w:t xml:space="preserve">усвоји </w:t>
            </w:r>
            <w:r w:rsidRPr="00B7689F">
              <w:rPr>
                <w:rFonts w:ascii="Times New Roman" w:hAnsi="Times New Roman"/>
                <w:sz w:val="22"/>
                <w:szCs w:val="22"/>
                <w:lang w:val="sr-Cyrl-RS"/>
              </w:rPr>
              <w:t>на Влади ради успостављања  овог</w:t>
            </w:r>
            <w:r w:rsidR="00144657" w:rsidRPr="00B7689F">
              <w:rPr>
                <w:rFonts w:ascii="Times New Roman" w:hAnsi="Times New Roman"/>
                <w:sz w:val="22"/>
                <w:szCs w:val="22"/>
                <w:lang w:val="sr-Cyrl-RS"/>
              </w:rPr>
              <w:t xml:space="preserve"> административн</w:t>
            </w:r>
            <w:r w:rsidR="004D5B37" w:rsidRPr="00B7689F">
              <w:rPr>
                <w:rFonts w:ascii="Times New Roman" w:hAnsi="Times New Roman"/>
                <w:sz w:val="22"/>
                <w:szCs w:val="22"/>
                <w:lang w:val="sr-Cyrl-RS"/>
              </w:rPr>
              <w:t>ог</w:t>
            </w:r>
            <w:r w:rsidR="00144657" w:rsidRPr="00B7689F">
              <w:rPr>
                <w:rFonts w:ascii="Times New Roman" w:hAnsi="Times New Roman"/>
                <w:sz w:val="22"/>
                <w:szCs w:val="22"/>
                <w:lang w:val="sr-Cyrl-RS"/>
              </w:rPr>
              <w:t xml:space="preserve"> поступк</w:t>
            </w:r>
            <w:r w:rsidR="004D5B37" w:rsidRPr="00B7689F">
              <w:rPr>
                <w:rFonts w:ascii="Times New Roman" w:hAnsi="Times New Roman"/>
                <w:sz w:val="22"/>
                <w:szCs w:val="22"/>
                <w:lang w:val="sr-Cyrl-RS"/>
              </w:rPr>
              <w:t>а</w:t>
            </w:r>
            <w:r w:rsidR="00144657" w:rsidRPr="00B7689F">
              <w:rPr>
                <w:rFonts w:ascii="Times New Roman" w:hAnsi="Times New Roman"/>
                <w:sz w:val="22"/>
                <w:szCs w:val="22"/>
                <w:lang w:val="sr-Cyrl-RS"/>
              </w:rPr>
              <w:t>. Како иста не постоји и како је из тог разлога фреквенција овог администр</w:t>
            </w:r>
            <w:r w:rsidR="00780DE2" w:rsidRPr="00B7689F">
              <w:rPr>
                <w:rFonts w:ascii="Times New Roman" w:hAnsi="Times New Roman"/>
                <w:sz w:val="22"/>
                <w:szCs w:val="22"/>
                <w:lang w:val="sr-Cyrl-RS"/>
              </w:rPr>
              <w:t>а</w:t>
            </w:r>
            <w:r w:rsidR="00144657" w:rsidRPr="00B7689F">
              <w:rPr>
                <w:rFonts w:ascii="Times New Roman" w:hAnsi="Times New Roman"/>
                <w:sz w:val="22"/>
                <w:szCs w:val="22"/>
                <w:lang w:val="sr-Cyrl-RS"/>
              </w:rPr>
              <w:t>тивног поступка 0</w:t>
            </w:r>
            <w:r w:rsidR="004D5B37" w:rsidRPr="00B7689F">
              <w:rPr>
                <w:rFonts w:ascii="Times New Roman" w:hAnsi="Times New Roman"/>
                <w:sz w:val="22"/>
                <w:szCs w:val="22"/>
                <w:lang w:val="sr-Cyrl-RS"/>
              </w:rPr>
              <w:t xml:space="preserve">, препорука је </w:t>
            </w:r>
            <w:r w:rsidR="00144657" w:rsidRPr="00B7689F">
              <w:rPr>
                <w:rFonts w:ascii="Times New Roman" w:hAnsi="Times New Roman"/>
                <w:sz w:val="22"/>
                <w:szCs w:val="22"/>
                <w:lang w:val="sr-Cyrl-RS"/>
              </w:rPr>
              <w:t>да се у што скоријем року донесе иста како би овај административни поступак испуњавао своју јавну сврх</w:t>
            </w:r>
            <w:r w:rsidR="00753A94" w:rsidRPr="00B7689F">
              <w:rPr>
                <w:rFonts w:ascii="Times New Roman" w:hAnsi="Times New Roman"/>
                <w:sz w:val="22"/>
                <w:szCs w:val="22"/>
                <w:lang w:val="sr-Cyrl-RS"/>
              </w:rPr>
              <w:t>у.</w:t>
            </w:r>
            <w:r w:rsidR="00780DE2" w:rsidRPr="00B7689F">
              <w:rPr>
                <w:rFonts w:ascii="Times New Roman" w:hAnsi="Times New Roman"/>
                <w:sz w:val="22"/>
                <w:szCs w:val="22"/>
                <w:lang w:val="sr-Cyrl-RS"/>
              </w:rPr>
              <w:t xml:space="preserve"> </w:t>
            </w:r>
          </w:p>
          <w:p w14:paraId="2C007EC8" w14:textId="2B2EE410" w:rsidR="00501500" w:rsidRPr="00B7689F" w:rsidRDefault="00501500" w:rsidP="00EC30D5">
            <w:pPr>
              <w:rPr>
                <w:rFonts w:ascii="Times New Roman" w:hAnsi="Times New Roman"/>
                <w:sz w:val="22"/>
                <w:szCs w:val="22"/>
                <w:lang w:val="sr-Cyrl-RS"/>
              </w:rPr>
            </w:pPr>
            <w:r w:rsidRPr="00B7689F">
              <w:rPr>
                <w:rFonts w:ascii="Times New Roman" w:hAnsi="Times New Roman"/>
                <w:sz w:val="22"/>
                <w:szCs w:val="22"/>
                <w:lang w:val="sr-Cyrl-RS"/>
              </w:rPr>
              <w:t>Такође је потребно да се изврше измене и допуне Закона о стратешкој процени утицаја на животну средину и  Закона о процени утицаја на животну средину ради прецизирања интегрисања овог поступка у делу који усаглашава ове поступке у завршном административном поступку Министарства за одобрење плана, програма и пројекта на подручју еколошке мреже. (обједињене процедуре)</w:t>
            </w:r>
          </w:p>
          <w:p w14:paraId="58050B4A" w14:textId="0E8BE852" w:rsidR="00466921" w:rsidRDefault="66E1764D" w:rsidP="66E1764D">
            <w:pPr>
              <w:rPr>
                <w:rFonts w:ascii="Times New Roman" w:hAnsi="Times New Roman"/>
                <w:sz w:val="22"/>
                <w:szCs w:val="22"/>
                <w:lang w:val="sr-Cyrl-RS"/>
              </w:rPr>
            </w:pPr>
            <w:r w:rsidRPr="66E1764D">
              <w:rPr>
                <w:rFonts w:ascii="Times New Roman" w:hAnsi="Times New Roman"/>
                <w:sz w:val="22"/>
                <w:szCs w:val="22"/>
                <w:lang w:val="sr-Cyrl-RS"/>
              </w:rPr>
              <w:t>Предлогом уредбе су припремљени и прилози захтева за овај административни поступак. Препорука је да коначан захтев садржи упутство за попуњавање, списак документације које је подносилац захтева у обавези да приложи, као и инструкцију за плаћање административне таксе. На овај начин постиже се транспарентност и предвидљивост административног поступка, што је од круцијалне важности за привредне субјекте, у смислу да обједињеност свих релевантних података скраћује утрошено време, ресурсе, и превентивно делује да се поднесе неуредан захтев који увек ствара негативне ефекте у времену и трошковима. Надаље, од круцијалне важности је да тако припремљен образац буде јавно  и лако доступан на веб страници органа.</w:t>
            </w:r>
          </w:p>
          <w:p w14:paraId="42BEAB33" w14:textId="77777777" w:rsidR="00EC30D5" w:rsidRDefault="00EC30D5" w:rsidP="00EC30D5">
            <w:pPr>
              <w:rPr>
                <w:rFonts w:ascii="Times New Roman" w:hAnsi="Times New Roman"/>
                <w:sz w:val="22"/>
                <w:szCs w:val="22"/>
                <w:lang w:val="sr-Cyrl-RS"/>
              </w:rPr>
            </w:pPr>
          </w:p>
          <w:p w14:paraId="3D88D3DB" w14:textId="7BB87E4E" w:rsidR="00EC30D5" w:rsidRDefault="00EC30D5" w:rsidP="00EC30D5">
            <w:pPr>
              <w:rPr>
                <w:rFonts w:ascii="Times New Roman" w:hAnsi="Times New Roman"/>
                <w:sz w:val="22"/>
                <w:szCs w:val="22"/>
                <w:lang w:val="sr-Cyrl-RS"/>
              </w:rPr>
            </w:pPr>
            <w:r w:rsidRPr="00EC30D5">
              <w:rPr>
                <w:rFonts w:ascii="Times New Roman" w:hAnsi="Times New Roman"/>
                <w:sz w:val="22"/>
                <w:szCs w:val="22"/>
                <w:lang w:val="sr-Cyrl-RS"/>
              </w:rPr>
              <w:t xml:space="preserve">У поступку се од странке захтева да достави </w:t>
            </w:r>
            <w:r w:rsidRPr="00EC30D5">
              <w:rPr>
                <w:rFonts w:ascii="Times New Roman" w:hAnsi="Times New Roman"/>
                <w:bCs/>
                <w:sz w:val="22"/>
                <w:szCs w:val="22"/>
                <w:lang w:val="sr-Cyrl-RS"/>
              </w:rPr>
              <w:t>а) Извода из судског регистра (за правна лица регистрована у суду ); б) Извода из регистра Агенције за привредне регистре</w:t>
            </w:r>
            <w:r>
              <w:rPr>
                <w:rFonts w:ascii="Times New Roman" w:hAnsi="Times New Roman"/>
                <w:bCs/>
                <w:sz w:val="22"/>
                <w:szCs w:val="22"/>
                <w:lang w:val="sr-Cyrl-RS"/>
              </w:rPr>
              <w:t xml:space="preserve"> </w:t>
            </w:r>
            <w:r w:rsidRPr="00EC30D5">
              <w:rPr>
                <w:rFonts w:ascii="Times New Roman" w:hAnsi="Times New Roman"/>
                <w:bCs/>
                <w:sz w:val="22"/>
                <w:szCs w:val="22"/>
                <w:lang w:val="sr-Cyrl-RS"/>
              </w:rPr>
              <w:t>(правна лица и предузетници регистровани у АПР);</w:t>
            </w:r>
            <w:r w:rsidR="009624E6">
              <w:rPr>
                <w:rFonts w:ascii="Times New Roman" w:hAnsi="Times New Roman"/>
                <w:bCs/>
                <w:sz w:val="22"/>
                <w:szCs w:val="22"/>
                <w:lang w:val="sr-Latn-RS"/>
              </w:rPr>
              <w:t xml:space="preserve"> </w:t>
            </w:r>
            <w:r w:rsidR="009624E6">
              <w:rPr>
                <w:rFonts w:ascii="Times New Roman" w:hAnsi="Times New Roman"/>
                <w:bCs/>
                <w:sz w:val="22"/>
                <w:szCs w:val="22"/>
                <w:lang w:val="sr-Cyrl-RS"/>
              </w:rPr>
              <w:t>в</w:t>
            </w:r>
            <w:r w:rsidRPr="00EC30D5">
              <w:rPr>
                <w:rFonts w:ascii="Times New Roman" w:hAnsi="Times New Roman"/>
                <w:bCs/>
                <w:sz w:val="22"/>
                <w:szCs w:val="22"/>
                <w:lang w:val="sr-Cyrl-RS"/>
              </w:rPr>
              <w:t>) Решење о претходној</w:t>
            </w:r>
            <w:r>
              <w:rPr>
                <w:rFonts w:ascii="Times New Roman" w:hAnsi="Times New Roman"/>
                <w:bCs/>
                <w:sz w:val="22"/>
                <w:szCs w:val="22"/>
                <w:lang w:val="sr-Cyrl-RS"/>
              </w:rPr>
              <w:t xml:space="preserve"> оцени, а што је </w:t>
            </w:r>
            <w:r>
              <w:rPr>
                <w:rFonts w:ascii="Times New Roman" w:hAnsi="Times New Roman"/>
                <w:sz w:val="22"/>
                <w:szCs w:val="22"/>
                <w:lang w:val="sr-Cyrl-RS"/>
              </w:rPr>
              <w:t xml:space="preserve">супротно </w:t>
            </w:r>
            <w:r w:rsidRPr="00EC30D5">
              <w:rPr>
                <w:rFonts w:ascii="Times New Roman" w:hAnsi="Times New Roman"/>
                <w:sz w:val="22"/>
                <w:szCs w:val="22"/>
                <w:lang w:val="sr-Cyrl-RS"/>
              </w:rPr>
              <w:t xml:space="preserve">обавези државног органа да по службеној дужности врши увид, прибавља и обрађује податке о чињеницама о којима се води службена евиденција, а који су неопходни за одлучивање, све у складу са члановима 9. и 103. Закона о општем управном поступку. </w:t>
            </w:r>
          </w:p>
          <w:p w14:paraId="4FBBF145" w14:textId="77777777" w:rsidR="00EC30D5" w:rsidRPr="00EC30D5" w:rsidRDefault="00EC30D5" w:rsidP="00EC30D5">
            <w:pPr>
              <w:rPr>
                <w:rFonts w:ascii="Times New Roman" w:hAnsi="Times New Roman"/>
                <w:sz w:val="22"/>
                <w:szCs w:val="22"/>
                <w:lang w:val="sr-Cyrl-RS"/>
              </w:rPr>
            </w:pPr>
          </w:p>
          <w:p w14:paraId="68865272" w14:textId="77777777" w:rsidR="00144657" w:rsidRDefault="00EC30D5" w:rsidP="0026734F">
            <w:pPr>
              <w:rPr>
                <w:rFonts w:ascii="Times New Roman" w:eastAsia="Times New Roman" w:hAnsi="Times New Roman"/>
                <w:sz w:val="22"/>
                <w:szCs w:val="22"/>
                <w:lang w:val="sr-Cyrl-RS"/>
              </w:rPr>
            </w:pPr>
            <w:r w:rsidRPr="00AB7403">
              <w:rPr>
                <w:rFonts w:ascii="Times New Roman" w:eastAsia="Times New Roman" w:hAnsi="Times New Roman"/>
                <w:sz w:val="22"/>
                <w:szCs w:val="22"/>
                <w:lang w:val="sr-Cyrl-RS"/>
              </w:rPr>
              <w:t xml:space="preserve">У пракси се као проблем за привредне субјекте јавља то што орган не прихвата као валидан </w:t>
            </w:r>
            <w:r w:rsidRPr="00AB7403">
              <w:rPr>
                <w:rFonts w:ascii="Times New Roman" w:eastAsia="Times New Roman" w:hAnsi="Times New Roman"/>
                <w:sz w:val="22"/>
                <w:szCs w:val="22"/>
                <w:lang w:val="sr-Cyrl-RS"/>
              </w:rPr>
              <w:lastRenderedPageBreak/>
              <w:t>доказ потврду о електронској уплати таксе или извештај о промету по рачуну правног лица без печата банке која је извршила платни промет</w:t>
            </w:r>
            <w:r>
              <w:rPr>
                <w:rFonts w:ascii="Times New Roman" w:eastAsia="Times New Roman" w:hAnsi="Times New Roman"/>
                <w:sz w:val="22"/>
                <w:szCs w:val="22"/>
                <w:lang w:val="sr-Cyrl-RS"/>
              </w:rPr>
              <w:t>.</w:t>
            </w:r>
            <w:r w:rsidRPr="00AB7403">
              <w:rPr>
                <w:rFonts w:ascii="Times New Roman" w:eastAsia="Times New Roman" w:hAnsi="Times New Roman"/>
                <w:sz w:val="22"/>
                <w:szCs w:val="22"/>
                <w:lang w:val="sr-Cyrl-RS"/>
              </w:rPr>
              <w:t xml:space="preserve"> На тај начин се странкама намеће додатна обавеза која изискује додатно време на прибављање овог печата.</w:t>
            </w:r>
          </w:p>
          <w:p w14:paraId="0415CCBD" w14:textId="77777777" w:rsidR="009F6DA7" w:rsidRDefault="009F6DA7" w:rsidP="0026734F">
            <w:pPr>
              <w:rPr>
                <w:rFonts w:ascii="Times New Roman" w:eastAsia="Times New Roman" w:hAnsi="Times New Roman"/>
                <w:sz w:val="22"/>
                <w:szCs w:val="22"/>
                <w:lang w:val="sr-Cyrl-RS"/>
              </w:rPr>
            </w:pPr>
          </w:p>
          <w:p w14:paraId="4BCB02C2" w14:textId="3AA8F526" w:rsidR="009F6DA7" w:rsidRPr="001402FD" w:rsidRDefault="66E1764D" w:rsidP="66E1764D">
            <w:pPr>
              <w:rPr>
                <w:rFonts w:ascii="Times New Roman" w:eastAsia="Times New Roman" w:hAnsi="Times New Roman"/>
                <w:sz w:val="22"/>
                <w:szCs w:val="22"/>
                <w:lang w:val="sr-Cyrl-RS"/>
              </w:rPr>
            </w:pPr>
            <w:r w:rsidRPr="66E1764D">
              <w:rPr>
                <w:rFonts w:ascii="Times New Roman" w:eastAsia="Times New Roman" w:hAnsi="Times New Roman"/>
                <w:sz w:val="22"/>
                <w:szCs w:val="22"/>
                <w:lang w:val="sr-Cyrl-RS"/>
              </w:rPr>
              <w:t>У поступку још увек није успостављена пуна електронска управа, нити поједини сегменти електронске комуникације.</w:t>
            </w:r>
          </w:p>
        </w:tc>
      </w:tr>
      <w:tr w:rsidR="00275E2A" w:rsidRPr="001402FD" w14:paraId="31663FC5" w14:textId="77777777" w:rsidTr="0049F11A">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1402FD" w:rsidRDefault="00275E2A" w:rsidP="006F4A5C">
            <w:pPr>
              <w:pStyle w:val="NormalWeb"/>
              <w:numPr>
                <w:ilvl w:val="0"/>
                <w:numId w:val="23"/>
              </w:numPr>
              <w:spacing w:before="120" w:beforeAutospacing="0" w:after="120" w:afterAutospacing="0"/>
              <w:jc w:val="center"/>
              <w:rPr>
                <w:b/>
                <w:sz w:val="22"/>
                <w:szCs w:val="22"/>
                <w:lang w:val="sr-Cyrl-RS"/>
              </w:rPr>
            </w:pPr>
            <w:r w:rsidRPr="001402FD">
              <w:rPr>
                <w:b/>
                <w:sz w:val="22"/>
                <w:szCs w:val="22"/>
                <w:lang w:val="sr-Cyrl-RS"/>
              </w:rPr>
              <w:lastRenderedPageBreak/>
              <w:t>САЖЕТАК ПРЕПОРУКА</w:t>
            </w:r>
          </w:p>
        </w:tc>
      </w:tr>
      <w:tr w:rsidR="00C70F1B" w:rsidRPr="001402FD" w14:paraId="66715B57" w14:textId="77777777" w:rsidTr="0049F11A">
        <w:trPr>
          <w:trHeight w:val="454"/>
        </w:trPr>
        <w:tc>
          <w:tcPr>
            <w:tcW w:w="9060" w:type="dxa"/>
            <w:gridSpan w:val="2"/>
            <w:tcBorders>
              <w:bottom w:val="nil"/>
            </w:tcBorders>
            <w:shd w:val="clear" w:color="auto" w:fill="FFFFFF" w:themeFill="background1"/>
            <w:vAlign w:val="center"/>
          </w:tcPr>
          <w:p w14:paraId="43426D8C" w14:textId="77777777" w:rsidR="00C70F1B" w:rsidRPr="001402FD" w:rsidRDefault="00C70F1B" w:rsidP="00C70F1B">
            <w:pPr>
              <w:pStyle w:val="NormalWeb"/>
              <w:spacing w:before="120" w:beforeAutospacing="0" w:after="120" w:afterAutospacing="0"/>
              <w:rPr>
                <w:b/>
                <w:sz w:val="22"/>
                <w:szCs w:val="22"/>
                <w:lang w:val="sr-Cyrl-RS"/>
              </w:rPr>
            </w:pPr>
          </w:p>
        </w:tc>
      </w:tr>
      <w:tr w:rsidR="00CA1CE9" w:rsidRPr="001402FD" w14:paraId="3010E605" w14:textId="77777777" w:rsidTr="0049F11A">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175"/>
              <w:gridCol w:w="1948"/>
              <w:gridCol w:w="1952"/>
              <w:gridCol w:w="1759"/>
            </w:tblGrid>
            <w:tr w:rsidR="00C70F1B" w:rsidRPr="00E43248" w14:paraId="30C2F8E8" w14:textId="77777777" w:rsidTr="006162CF">
              <w:trPr>
                <w:trHeight w:val="749"/>
              </w:trPr>
              <w:tc>
                <w:tcPr>
                  <w:tcW w:w="3175" w:type="dxa"/>
                  <w:vMerge w:val="restart"/>
                  <w:shd w:val="clear" w:color="auto" w:fill="F2F2F2" w:themeFill="background1" w:themeFillShade="F2"/>
                  <w:vAlign w:val="center"/>
                </w:tcPr>
                <w:p w14:paraId="1CF0BC7A" w14:textId="20607AAF" w:rsidR="00C70F1B" w:rsidRPr="001402FD" w:rsidRDefault="00C70F1B"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1402FD" w:rsidRDefault="00C70F1B"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ПОТРЕБНА ИЗМЕНА/УКИДАЊЕ/ДОНОШЕЊЕ ПРОПИСА</w:t>
                  </w:r>
                </w:p>
              </w:tc>
              <w:tc>
                <w:tcPr>
                  <w:tcW w:w="1759" w:type="dxa"/>
                  <w:vMerge w:val="restart"/>
                  <w:shd w:val="clear" w:color="auto" w:fill="F2F2F2" w:themeFill="background1" w:themeFillShade="F2"/>
                  <w:vAlign w:val="center"/>
                </w:tcPr>
                <w:p w14:paraId="470548B4" w14:textId="77777777" w:rsidR="00C70F1B" w:rsidRPr="001402FD" w:rsidRDefault="00C70F1B"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УКОЛИКО ЈЕ ОДГОВОР ДА, КОЈИХ</w:t>
                  </w:r>
                </w:p>
              </w:tc>
            </w:tr>
            <w:tr w:rsidR="00C70F1B" w:rsidRPr="001402FD" w14:paraId="2B15C487" w14:textId="77777777" w:rsidTr="006162CF">
              <w:trPr>
                <w:trHeight w:val="260"/>
              </w:trPr>
              <w:tc>
                <w:tcPr>
                  <w:tcW w:w="3175" w:type="dxa"/>
                  <w:vMerge/>
                </w:tcPr>
                <w:p w14:paraId="42D3BC1D" w14:textId="77777777" w:rsidR="00C70F1B" w:rsidRPr="001402FD" w:rsidRDefault="00C70F1B" w:rsidP="001402FD">
                  <w:pPr>
                    <w:jc w:val="center"/>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1402FD" w:rsidRDefault="00C70F1B"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1402FD" w:rsidRDefault="00C70F1B"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Не</w:t>
                  </w:r>
                </w:p>
              </w:tc>
              <w:tc>
                <w:tcPr>
                  <w:tcW w:w="1759" w:type="dxa"/>
                  <w:vMerge/>
                </w:tcPr>
                <w:p w14:paraId="21FE126E" w14:textId="77777777" w:rsidR="00C70F1B" w:rsidRPr="001402FD" w:rsidRDefault="00C70F1B" w:rsidP="001402FD">
                  <w:pPr>
                    <w:jc w:val="center"/>
                    <w:rPr>
                      <w:rFonts w:ascii="Times New Roman" w:eastAsia="Times New Roman" w:hAnsi="Times New Roman"/>
                      <w:b/>
                      <w:sz w:val="22"/>
                      <w:szCs w:val="22"/>
                      <w:lang w:val="sr-Cyrl-RS"/>
                    </w:rPr>
                  </w:pPr>
                </w:p>
              </w:tc>
            </w:tr>
            <w:tr w:rsidR="00780DE2" w:rsidRPr="001402FD" w14:paraId="23C8C1E7" w14:textId="77777777" w:rsidTr="006162CF">
              <w:trPr>
                <w:trHeight w:val="244"/>
              </w:trPr>
              <w:tc>
                <w:tcPr>
                  <w:tcW w:w="3175" w:type="dxa"/>
                  <w:vAlign w:val="center"/>
                </w:tcPr>
                <w:p w14:paraId="68A30893" w14:textId="056B258D" w:rsidR="00780DE2" w:rsidRPr="001402FD" w:rsidRDefault="00780DE2" w:rsidP="001402FD">
                  <w:pPr>
                    <w:jc w:val="left"/>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Доношење уредбе као правног основа административног поступка са обрасцем захтева и потребном документацијом</w:t>
                  </w:r>
                  <w:r w:rsidR="001E0AF4">
                    <w:rPr>
                      <w:rFonts w:ascii="Times New Roman" w:eastAsia="Times New Roman" w:hAnsi="Times New Roman"/>
                      <w:b/>
                      <w:sz w:val="22"/>
                      <w:szCs w:val="22"/>
                      <w:lang w:val="sr-Cyrl-RS"/>
                    </w:rPr>
                    <w:t>, као и измена</w:t>
                  </w:r>
                  <w:r w:rsidR="001E0AF4" w:rsidRPr="001E0AF4">
                    <w:rPr>
                      <w:rFonts w:ascii="Times New Roman" w:eastAsia="Times New Roman" w:hAnsi="Times New Roman"/>
                      <w:b/>
                      <w:sz w:val="22"/>
                      <w:szCs w:val="22"/>
                      <w:lang w:val="sr-Cyrl-RS"/>
                    </w:rPr>
                    <w:t xml:space="preserve"> Закона о стратешкој процени утицаја на животну средину и Закона о процени утицаја на животну средину</w:t>
                  </w:r>
                  <w:r w:rsidR="001E0AF4">
                    <w:rPr>
                      <w:rFonts w:ascii="Times New Roman" w:eastAsia="Times New Roman" w:hAnsi="Times New Roman"/>
                      <w:b/>
                      <w:sz w:val="22"/>
                      <w:szCs w:val="22"/>
                      <w:lang w:val="sr-Cyrl-RS"/>
                    </w:rPr>
                    <w:t xml:space="preserve"> </w:t>
                  </w:r>
                </w:p>
              </w:tc>
              <w:tc>
                <w:tcPr>
                  <w:tcW w:w="1948" w:type="dxa"/>
                </w:tcPr>
                <w:p w14:paraId="369637A9" w14:textId="72008BD0" w:rsidR="00323939" w:rsidRPr="001402FD" w:rsidRDefault="00323939" w:rsidP="001402FD">
                  <w:pPr>
                    <w:jc w:val="center"/>
                    <w:rPr>
                      <w:rFonts w:ascii="Times New Roman" w:eastAsia="Times New Roman" w:hAnsi="Times New Roman"/>
                      <w:b/>
                      <w:sz w:val="22"/>
                      <w:szCs w:val="22"/>
                      <w:lang w:val="sr-Cyrl-RS"/>
                    </w:rPr>
                  </w:pPr>
                </w:p>
                <w:p w14:paraId="72669DF7" w14:textId="26115979" w:rsidR="00780DE2" w:rsidRPr="001402FD" w:rsidRDefault="00780DE2"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Х</w:t>
                  </w:r>
                </w:p>
              </w:tc>
              <w:tc>
                <w:tcPr>
                  <w:tcW w:w="1952" w:type="dxa"/>
                </w:tcPr>
                <w:p w14:paraId="65C7001E" w14:textId="77777777" w:rsidR="00780DE2" w:rsidRPr="001402FD" w:rsidRDefault="00780DE2" w:rsidP="001402FD">
                  <w:pPr>
                    <w:jc w:val="center"/>
                    <w:rPr>
                      <w:rFonts w:ascii="Times New Roman" w:eastAsia="Times New Roman" w:hAnsi="Times New Roman"/>
                      <w:b/>
                      <w:sz w:val="22"/>
                      <w:szCs w:val="22"/>
                      <w:lang w:val="sr-Cyrl-RS"/>
                    </w:rPr>
                  </w:pPr>
                </w:p>
              </w:tc>
              <w:tc>
                <w:tcPr>
                  <w:tcW w:w="1759" w:type="dxa"/>
                </w:tcPr>
                <w:p w14:paraId="3F63B2A3" w14:textId="77777777" w:rsidR="001402FD" w:rsidRDefault="001402FD" w:rsidP="001402FD">
                  <w:pPr>
                    <w:jc w:val="center"/>
                    <w:rPr>
                      <w:rFonts w:ascii="Times New Roman" w:eastAsia="Times New Roman" w:hAnsi="Times New Roman"/>
                      <w:sz w:val="22"/>
                      <w:szCs w:val="22"/>
                      <w:lang w:val="sr-Cyrl-RS"/>
                    </w:rPr>
                  </w:pPr>
                </w:p>
                <w:p w14:paraId="518CDB60" w14:textId="0FA81CC0" w:rsidR="00780DE2" w:rsidRPr="001402FD" w:rsidRDefault="001402FD"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1. и 2.</w:t>
                  </w:r>
                </w:p>
              </w:tc>
            </w:tr>
            <w:tr w:rsidR="00DB19B9" w:rsidRPr="001402FD" w14:paraId="1228D87D" w14:textId="77777777" w:rsidTr="006162CF">
              <w:trPr>
                <w:trHeight w:val="489"/>
              </w:trPr>
              <w:tc>
                <w:tcPr>
                  <w:tcW w:w="3175" w:type="dxa"/>
                  <w:vAlign w:val="center"/>
                </w:tcPr>
                <w:p w14:paraId="406288B1" w14:textId="24F1B717" w:rsidR="00DB19B9" w:rsidRPr="001402FD" w:rsidRDefault="00DB19B9" w:rsidP="001402FD">
                  <w:pPr>
                    <w:jc w:val="left"/>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Прибављање података по службеној дужности и документација која се прибавља од странке</w:t>
                  </w:r>
                </w:p>
              </w:tc>
              <w:tc>
                <w:tcPr>
                  <w:tcW w:w="1948" w:type="dxa"/>
                </w:tcPr>
                <w:p w14:paraId="32D90DC8" w14:textId="77777777" w:rsidR="00DB19B9" w:rsidRPr="001402FD" w:rsidRDefault="00DB19B9" w:rsidP="001402FD">
                  <w:pPr>
                    <w:jc w:val="center"/>
                    <w:rPr>
                      <w:rFonts w:ascii="Times New Roman" w:eastAsia="Times New Roman" w:hAnsi="Times New Roman"/>
                      <w:b/>
                      <w:sz w:val="22"/>
                      <w:szCs w:val="22"/>
                      <w:lang w:val="sr-Cyrl-RS"/>
                    </w:rPr>
                  </w:pPr>
                </w:p>
              </w:tc>
              <w:tc>
                <w:tcPr>
                  <w:tcW w:w="1952" w:type="dxa"/>
                </w:tcPr>
                <w:p w14:paraId="028E81AB" w14:textId="77777777" w:rsidR="00780DE2" w:rsidRPr="001402FD" w:rsidRDefault="00780DE2" w:rsidP="001402FD">
                  <w:pPr>
                    <w:jc w:val="center"/>
                    <w:rPr>
                      <w:rFonts w:ascii="Times New Roman" w:eastAsia="Times New Roman" w:hAnsi="Times New Roman"/>
                      <w:b/>
                      <w:sz w:val="22"/>
                      <w:szCs w:val="22"/>
                      <w:lang w:val="sr-Cyrl-RS"/>
                    </w:rPr>
                  </w:pPr>
                </w:p>
                <w:p w14:paraId="4BF2735E" w14:textId="30113D30" w:rsidR="00DB19B9" w:rsidRPr="001402FD" w:rsidRDefault="00C043A4"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Х</w:t>
                  </w:r>
                </w:p>
              </w:tc>
              <w:tc>
                <w:tcPr>
                  <w:tcW w:w="1759" w:type="dxa"/>
                </w:tcPr>
                <w:p w14:paraId="1F22B93B" w14:textId="74065ADF" w:rsidR="00DB19B9" w:rsidRPr="001402FD" w:rsidRDefault="00DB19B9" w:rsidP="001402FD">
                  <w:pPr>
                    <w:jc w:val="center"/>
                    <w:rPr>
                      <w:rFonts w:ascii="Times New Roman" w:eastAsia="Times New Roman" w:hAnsi="Times New Roman"/>
                      <w:sz w:val="22"/>
                      <w:szCs w:val="22"/>
                      <w:lang w:val="sr-Cyrl-RS"/>
                    </w:rPr>
                  </w:pPr>
                </w:p>
              </w:tc>
            </w:tr>
            <w:tr w:rsidR="66E1764D" w14:paraId="10C6FEE5" w14:textId="77777777" w:rsidTr="006162CF">
              <w:trPr>
                <w:trHeight w:val="489"/>
              </w:trPr>
              <w:tc>
                <w:tcPr>
                  <w:tcW w:w="3175" w:type="dxa"/>
                  <w:vAlign w:val="center"/>
                </w:tcPr>
                <w:p w14:paraId="4D53ECCA" w14:textId="70CD600E" w:rsidR="66E1764D" w:rsidRDefault="66E1764D" w:rsidP="66E1764D">
                  <w:pPr>
                    <w:jc w:val="left"/>
                    <w:rPr>
                      <w:rFonts w:ascii="Times New Roman" w:eastAsia="Times New Roman" w:hAnsi="Times New Roman"/>
                      <w:i/>
                      <w:iCs/>
                      <w:sz w:val="22"/>
                      <w:szCs w:val="22"/>
                      <w:lang w:val="sr-Cyrl-RS"/>
                    </w:rPr>
                  </w:pPr>
                  <w:r w:rsidRPr="66E1764D">
                    <w:rPr>
                      <w:rFonts w:ascii="Times New Roman" w:eastAsia="Times New Roman" w:hAnsi="Times New Roman"/>
                      <w:b/>
                      <w:bCs/>
                      <w:sz w:val="22"/>
                      <w:szCs w:val="22"/>
                      <w:lang w:val="sr-Cyrl-RS"/>
                    </w:rPr>
                    <w:t>Документација</w:t>
                  </w:r>
                </w:p>
              </w:tc>
              <w:tc>
                <w:tcPr>
                  <w:tcW w:w="5659" w:type="dxa"/>
                  <w:gridSpan w:val="3"/>
                </w:tcPr>
                <w:p w14:paraId="1C389FC0" w14:textId="124D5345" w:rsidR="66E1764D" w:rsidRDefault="66E1764D" w:rsidP="66E1764D">
                  <w:pPr>
                    <w:jc w:val="center"/>
                    <w:rPr>
                      <w:rFonts w:ascii="Times New Roman" w:eastAsia="Times New Roman" w:hAnsi="Times New Roman"/>
                      <w:b/>
                      <w:bCs/>
                      <w:sz w:val="22"/>
                      <w:szCs w:val="22"/>
                      <w:lang w:val="sr-Cyrl-RS"/>
                    </w:rPr>
                  </w:pPr>
                </w:p>
              </w:tc>
            </w:tr>
            <w:tr w:rsidR="00780DE2" w:rsidRPr="001402FD" w14:paraId="2083ABF4" w14:textId="77777777" w:rsidTr="006162CF">
              <w:trPr>
                <w:trHeight w:val="489"/>
              </w:trPr>
              <w:tc>
                <w:tcPr>
                  <w:tcW w:w="3175" w:type="dxa"/>
                  <w:vAlign w:val="center"/>
                </w:tcPr>
                <w:p w14:paraId="3390EBF4" w14:textId="1B52E946" w:rsidR="00780DE2" w:rsidRPr="001402FD" w:rsidRDefault="66E1764D" w:rsidP="66E1764D">
                  <w:pPr>
                    <w:jc w:val="left"/>
                    <w:rPr>
                      <w:rFonts w:ascii="Times New Roman" w:eastAsia="Times New Roman" w:hAnsi="Times New Roman"/>
                      <w:b/>
                      <w:bCs/>
                      <w:sz w:val="22"/>
                      <w:szCs w:val="22"/>
                      <w:lang w:val="en-GB"/>
                    </w:rPr>
                  </w:pPr>
                  <w:r w:rsidRPr="66E1764D">
                    <w:rPr>
                      <w:rFonts w:ascii="Times New Roman" w:eastAsia="Times New Roman" w:hAnsi="Times New Roman"/>
                      <w:i/>
                      <w:iCs/>
                      <w:sz w:val="22"/>
                      <w:szCs w:val="22"/>
                      <w:lang w:val="sr-Cyrl-RS"/>
                    </w:rPr>
                    <w:t xml:space="preserve">Прихватање доказа о електронској уплати таксе без печата банке </w:t>
                  </w:r>
                </w:p>
              </w:tc>
              <w:tc>
                <w:tcPr>
                  <w:tcW w:w="1948" w:type="dxa"/>
                </w:tcPr>
                <w:p w14:paraId="7BC41850" w14:textId="77777777" w:rsidR="00780DE2" w:rsidRPr="001402FD" w:rsidRDefault="00780DE2" w:rsidP="001402FD">
                  <w:pPr>
                    <w:jc w:val="center"/>
                    <w:rPr>
                      <w:rFonts w:ascii="Times New Roman" w:eastAsia="Times New Roman" w:hAnsi="Times New Roman"/>
                      <w:b/>
                      <w:sz w:val="22"/>
                      <w:szCs w:val="22"/>
                      <w:lang w:val="sr-Cyrl-RS"/>
                    </w:rPr>
                  </w:pPr>
                </w:p>
              </w:tc>
              <w:tc>
                <w:tcPr>
                  <w:tcW w:w="1952" w:type="dxa"/>
                </w:tcPr>
                <w:p w14:paraId="0BAF4958" w14:textId="77777777" w:rsidR="00780DE2" w:rsidRPr="001402FD" w:rsidRDefault="00780DE2" w:rsidP="001402FD">
                  <w:pPr>
                    <w:jc w:val="center"/>
                    <w:rPr>
                      <w:rFonts w:ascii="Times New Roman" w:eastAsia="Times New Roman" w:hAnsi="Times New Roman"/>
                      <w:b/>
                      <w:sz w:val="22"/>
                      <w:szCs w:val="22"/>
                      <w:lang w:val="sr-Cyrl-RS"/>
                    </w:rPr>
                  </w:pPr>
                </w:p>
                <w:p w14:paraId="2CE5AA1A" w14:textId="02A23C58" w:rsidR="00780DE2" w:rsidRPr="001402FD" w:rsidRDefault="00780DE2" w:rsidP="001402FD">
                  <w:pPr>
                    <w:jc w:val="center"/>
                    <w:rPr>
                      <w:rFonts w:ascii="Times New Roman" w:eastAsia="Times New Roman" w:hAnsi="Times New Roman"/>
                      <w:b/>
                      <w:sz w:val="22"/>
                      <w:szCs w:val="22"/>
                      <w:lang w:val="sr-Cyrl-RS"/>
                    </w:rPr>
                  </w:pPr>
                  <w:r w:rsidRPr="001402FD">
                    <w:rPr>
                      <w:rFonts w:ascii="Times New Roman" w:eastAsia="Times New Roman" w:hAnsi="Times New Roman"/>
                      <w:b/>
                      <w:sz w:val="22"/>
                      <w:szCs w:val="22"/>
                      <w:lang w:val="sr-Cyrl-RS"/>
                    </w:rPr>
                    <w:t>Х</w:t>
                  </w:r>
                </w:p>
              </w:tc>
              <w:tc>
                <w:tcPr>
                  <w:tcW w:w="1759" w:type="dxa"/>
                </w:tcPr>
                <w:p w14:paraId="59B8C5A8" w14:textId="38FA776B" w:rsidR="00780DE2" w:rsidRPr="001402FD" w:rsidRDefault="00780DE2" w:rsidP="001402FD">
                  <w:pPr>
                    <w:jc w:val="center"/>
                    <w:rPr>
                      <w:rFonts w:ascii="Times New Roman" w:eastAsia="Times New Roman" w:hAnsi="Times New Roman"/>
                      <w:sz w:val="22"/>
                      <w:szCs w:val="22"/>
                      <w:lang w:val="sr-Cyrl-RS"/>
                    </w:rPr>
                  </w:pPr>
                </w:p>
              </w:tc>
            </w:tr>
            <w:tr w:rsidR="009F6DA7" w:rsidRPr="001402FD" w14:paraId="53E95D5C" w14:textId="77777777" w:rsidTr="006162CF">
              <w:trPr>
                <w:trHeight w:val="489"/>
              </w:trPr>
              <w:tc>
                <w:tcPr>
                  <w:tcW w:w="3175" w:type="dxa"/>
                  <w:vAlign w:val="center"/>
                </w:tcPr>
                <w:p w14:paraId="792DD431" w14:textId="0A6088A1" w:rsidR="009F6DA7" w:rsidRPr="009F6DA7" w:rsidRDefault="009F6DA7" w:rsidP="001402FD">
                  <w:pPr>
                    <w:jc w:val="left"/>
                    <w:rPr>
                      <w:rFonts w:ascii="Times New Roman" w:eastAsia="Times New Roman" w:hAnsi="Times New Roman"/>
                      <w:b/>
                      <w:sz w:val="22"/>
                      <w:szCs w:val="22"/>
                      <w:lang w:val="sr-Cyrl-RS"/>
                    </w:rPr>
                  </w:pPr>
                  <w:r w:rsidRPr="009F6DA7">
                    <w:rPr>
                      <w:rFonts w:ascii="Times New Roman" w:eastAsia="Times New Roman" w:hAnsi="Times New Roman"/>
                      <w:b/>
                      <w:bCs/>
                      <w:sz w:val="22"/>
                      <w:szCs w:val="22"/>
                    </w:rPr>
                    <w:t>Електронско подношење захтева</w:t>
                  </w:r>
                </w:p>
              </w:tc>
              <w:tc>
                <w:tcPr>
                  <w:tcW w:w="1948" w:type="dxa"/>
                </w:tcPr>
                <w:p w14:paraId="6E3245D2" w14:textId="77777777" w:rsidR="009F6DA7" w:rsidRPr="009F6DA7" w:rsidRDefault="009F6DA7" w:rsidP="001402FD">
                  <w:pPr>
                    <w:jc w:val="center"/>
                    <w:rPr>
                      <w:rFonts w:ascii="Times New Roman" w:eastAsia="Times New Roman" w:hAnsi="Times New Roman"/>
                      <w:b/>
                      <w:sz w:val="22"/>
                      <w:szCs w:val="22"/>
                      <w:lang w:val="sr-Cyrl-RS"/>
                    </w:rPr>
                  </w:pPr>
                </w:p>
              </w:tc>
              <w:tc>
                <w:tcPr>
                  <w:tcW w:w="1952" w:type="dxa"/>
                </w:tcPr>
                <w:p w14:paraId="19AD8A65" w14:textId="3466372B" w:rsidR="009F6DA7" w:rsidRPr="009F6DA7" w:rsidRDefault="009F6DA7" w:rsidP="001402FD">
                  <w:pPr>
                    <w:jc w:val="center"/>
                    <w:rPr>
                      <w:rFonts w:ascii="Times New Roman" w:eastAsia="Times New Roman" w:hAnsi="Times New Roman"/>
                      <w:b/>
                      <w:sz w:val="22"/>
                      <w:szCs w:val="22"/>
                      <w:lang w:val="sr-Cyrl-RS"/>
                    </w:rPr>
                  </w:pPr>
                  <w:r w:rsidRPr="009F6DA7">
                    <w:rPr>
                      <w:rFonts w:ascii="Times New Roman" w:eastAsia="Times New Roman" w:hAnsi="Times New Roman"/>
                      <w:b/>
                      <w:sz w:val="22"/>
                      <w:szCs w:val="22"/>
                      <w:lang w:val="sr-Cyrl-RS"/>
                    </w:rPr>
                    <w:t>Х</w:t>
                  </w:r>
                </w:p>
              </w:tc>
              <w:tc>
                <w:tcPr>
                  <w:tcW w:w="1759" w:type="dxa"/>
                </w:tcPr>
                <w:p w14:paraId="31A2F6F8" w14:textId="77777777" w:rsidR="009F6DA7" w:rsidRPr="001402FD" w:rsidRDefault="009F6DA7" w:rsidP="001402FD">
                  <w:pPr>
                    <w:jc w:val="center"/>
                    <w:rPr>
                      <w:rFonts w:ascii="Times New Roman" w:eastAsia="Times New Roman" w:hAnsi="Times New Roman"/>
                      <w:lang w:val="sr-Cyrl-RS"/>
                    </w:rPr>
                  </w:pPr>
                </w:p>
              </w:tc>
            </w:tr>
          </w:tbl>
          <w:p w14:paraId="6E28D8C5" w14:textId="4BF46FFF" w:rsidR="00CA1CE9" w:rsidRPr="001402FD" w:rsidRDefault="00CA1CE9" w:rsidP="001402FD">
            <w:pPr>
              <w:pStyle w:val="NormalWeb"/>
              <w:spacing w:before="120" w:beforeAutospacing="0" w:after="120" w:afterAutospacing="0"/>
              <w:ind w:left="360"/>
              <w:jc w:val="center"/>
              <w:rPr>
                <w:b/>
                <w:sz w:val="22"/>
                <w:szCs w:val="22"/>
                <w:lang w:val="sr-Cyrl-RS"/>
              </w:rPr>
            </w:pPr>
          </w:p>
        </w:tc>
      </w:tr>
      <w:tr w:rsidR="00CA1CE9" w:rsidRPr="001402FD" w14:paraId="0B4EEBB8" w14:textId="77777777" w:rsidTr="0049F11A">
        <w:trPr>
          <w:trHeight w:val="454"/>
        </w:trPr>
        <w:tc>
          <w:tcPr>
            <w:tcW w:w="9060" w:type="dxa"/>
            <w:gridSpan w:val="2"/>
            <w:shd w:val="clear" w:color="auto" w:fill="DBE5F1" w:themeFill="accent1" w:themeFillTint="33"/>
            <w:vAlign w:val="center"/>
          </w:tcPr>
          <w:p w14:paraId="30CB88E1" w14:textId="18030B78" w:rsidR="00CA1CE9" w:rsidRPr="001402FD" w:rsidRDefault="00CA1CE9" w:rsidP="001402FD">
            <w:pPr>
              <w:pStyle w:val="NormalWeb"/>
              <w:numPr>
                <w:ilvl w:val="0"/>
                <w:numId w:val="23"/>
              </w:numPr>
              <w:spacing w:before="120" w:beforeAutospacing="0" w:after="120" w:afterAutospacing="0"/>
              <w:jc w:val="center"/>
              <w:rPr>
                <w:b/>
                <w:sz w:val="22"/>
                <w:szCs w:val="22"/>
                <w:lang w:val="sr-Cyrl-RS"/>
              </w:rPr>
            </w:pPr>
            <w:r w:rsidRPr="001402FD">
              <w:rPr>
                <w:b/>
                <w:sz w:val="22"/>
                <w:szCs w:val="22"/>
                <w:lang w:val="sr-Cyrl-RS"/>
              </w:rPr>
              <w:t>ОБРАЗЛОЖЕЊЕ</w:t>
            </w:r>
          </w:p>
        </w:tc>
      </w:tr>
      <w:tr w:rsidR="00CA1CE9" w:rsidRPr="00E43248" w14:paraId="4C67EFD3" w14:textId="77777777" w:rsidTr="0049F11A">
        <w:trPr>
          <w:trHeight w:val="454"/>
        </w:trPr>
        <w:tc>
          <w:tcPr>
            <w:tcW w:w="9060" w:type="dxa"/>
            <w:gridSpan w:val="2"/>
            <w:shd w:val="clear" w:color="auto" w:fill="auto"/>
          </w:tcPr>
          <w:p w14:paraId="04F3C89F" w14:textId="6241D97E" w:rsidR="001402FD" w:rsidRDefault="001402FD" w:rsidP="001E0AF4">
            <w:pPr>
              <w:rPr>
                <w:rFonts w:ascii="Times New Roman" w:eastAsia="Times New Roman" w:hAnsi="Times New Roman"/>
                <w:b/>
                <w:sz w:val="22"/>
                <w:szCs w:val="22"/>
                <w:u w:val="single"/>
                <w:lang w:val="sr-Cyrl-RS"/>
              </w:rPr>
            </w:pPr>
            <w:r w:rsidRPr="001402FD">
              <w:rPr>
                <w:rFonts w:ascii="Times New Roman" w:eastAsia="Times New Roman" w:hAnsi="Times New Roman"/>
                <w:b/>
                <w:sz w:val="22"/>
                <w:szCs w:val="22"/>
                <w:u w:val="single"/>
                <w:lang w:val="sr-Cyrl-RS"/>
              </w:rPr>
              <w:t xml:space="preserve">3.1. </w:t>
            </w:r>
            <w:r w:rsidR="001E0AF4" w:rsidRPr="001E0AF4">
              <w:rPr>
                <w:rFonts w:ascii="Times New Roman" w:eastAsia="Times New Roman" w:hAnsi="Times New Roman"/>
                <w:b/>
                <w:sz w:val="22"/>
                <w:szCs w:val="22"/>
                <w:u w:val="single"/>
                <w:lang w:val="sr-Cyrl-RS"/>
              </w:rPr>
              <w:t>Доношење уредбе као правног основа административног поступка са обрасцем захтева и потребном документацијом, као и измена Закона о стратешкој процени утицаја на животну средину и Закона о процени утицаја на животну средину</w:t>
            </w:r>
          </w:p>
          <w:p w14:paraId="54D75B50" w14:textId="77777777" w:rsidR="001402FD" w:rsidRDefault="001402FD" w:rsidP="00EC30D5">
            <w:pPr>
              <w:jc w:val="left"/>
              <w:rPr>
                <w:rFonts w:ascii="Times New Roman" w:eastAsia="Times New Roman" w:hAnsi="Times New Roman"/>
                <w:b/>
                <w:sz w:val="22"/>
                <w:szCs w:val="22"/>
                <w:u w:val="single"/>
                <w:lang w:val="sr-Cyrl-RS"/>
              </w:rPr>
            </w:pPr>
          </w:p>
          <w:p w14:paraId="54B0132A" w14:textId="1861C5D9" w:rsidR="001402FD" w:rsidRPr="00B7689F" w:rsidRDefault="66E1764D" w:rsidP="66E1764D">
            <w:pPr>
              <w:rPr>
                <w:rFonts w:ascii="Times New Roman" w:hAnsi="Times New Roman"/>
                <w:sz w:val="22"/>
                <w:szCs w:val="22"/>
                <w:lang w:val="sr-Cyrl-RS"/>
              </w:rPr>
            </w:pPr>
            <w:r w:rsidRPr="66E1764D">
              <w:rPr>
                <w:rFonts w:ascii="Times New Roman" w:hAnsi="Times New Roman"/>
                <w:sz w:val="22"/>
                <w:szCs w:val="22"/>
                <w:lang w:val="sr-Cyrl-RS"/>
              </w:rPr>
              <w:t xml:space="preserve">С обзиром да је урађен Предлог уредбе о оцени прихватљивости са прилозима потребно је да се исти усвоји на Влади ради успостављања  овог административног поступка. Како иста не постоји и како је из тог разлога фреквенција овог административног поступка 0, препорука је да се у што скоријем року донесе иста како би овај административни поступак испуњавао своју јавну сврху. </w:t>
            </w:r>
          </w:p>
          <w:p w14:paraId="01DC177D" w14:textId="77777777" w:rsidR="001402FD" w:rsidRPr="00B7689F" w:rsidRDefault="001402FD" w:rsidP="00EC30D5">
            <w:pPr>
              <w:rPr>
                <w:rFonts w:ascii="Times New Roman" w:hAnsi="Times New Roman"/>
                <w:sz w:val="22"/>
                <w:szCs w:val="22"/>
                <w:lang w:val="sr-Cyrl-RS"/>
              </w:rPr>
            </w:pPr>
            <w:r w:rsidRPr="00B7689F">
              <w:rPr>
                <w:rFonts w:ascii="Times New Roman" w:hAnsi="Times New Roman"/>
                <w:sz w:val="22"/>
                <w:szCs w:val="22"/>
                <w:lang w:val="sr-Cyrl-RS"/>
              </w:rPr>
              <w:t>Такође је потребно да се изврше измене и допуне Закона о стратешкој процени утицаја на животну средину и  Закона о процени утицаја на животну средину ради прецизирања интегрисања овог поступка у делу који усаглашава ове поступке у завршном административном поступку Министарства за одобрење плана, програма и пројекта на подручју еколошке мреже. (обједињене процедуре)</w:t>
            </w:r>
          </w:p>
          <w:p w14:paraId="6EC8FC97" w14:textId="12FE5402" w:rsidR="001402FD" w:rsidRDefault="66E1764D" w:rsidP="66E1764D">
            <w:pPr>
              <w:rPr>
                <w:rFonts w:ascii="Times New Roman" w:hAnsi="Times New Roman"/>
                <w:sz w:val="22"/>
                <w:szCs w:val="22"/>
                <w:lang w:val="sr-Cyrl-RS"/>
              </w:rPr>
            </w:pPr>
            <w:r w:rsidRPr="66E1764D">
              <w:rPr>
                <w:rFonts w:ascii="Times New Roman" w:hAnsi="Times New Roman"/>
                <w:sz w:val="22"/>
                <w:szCs w:val="22"/>
                <w:lang w:val="sr-Cyrl-RS"/>
              </w:rPr>
              <w:t xml:space="preserve">Предлогом уредбе су припремљени и прилози захтева за овај административни поступак. Препорука је да коначан захтев садржи упутство за попуњавање, списак документације које је подносилац захтева у обавези да приложи, као и инструкцију за плаћање административне </w:t>
            </w:r>
            <w:r w:rsidRPr="66E1764D">
              <w:rPr>
                <w:rFonts w:ascii="Times New Roman" w:hAnsi="Times New Roman"/>
                <w:sz w:val="22"/>
                <w:szCs w:val="22"/>
                <w:lang w:val="sr-Cyrl-RS"/>
              </w:rPr>
              <w:lastRenderedPageBreak/>
              <w:t>таксе. На овај начин постиже се транспарентност и предвидљивост административног поступка, што је од круцијалне важности за привредне субјекте, у смислу да обједињеност свих релевантних података скраћује утрошено време, ресурсе, и превентивно делује да се поднесе неуредан захтев који увек ствара негативне ефекте у времену и трошковима. Надаље, од круцијалне важности је да тако припремљен образац буде јавно  и лако доступан на веб страници органа.</w:t>
            </w:r>
          </w:p>
          <w:p w14:paraId="0C611E9F" w14:textId="77777777" w:rsidR="00EC30D5" w:rsidRDefault="00EC30D5" w:rsidP="00EC30D5">
            <w:pPr>
              <w:rPr>
                <w:rFonts w:ascii="Times New Roman" w:hAnsi="Times New Roman"/>
                <w:sz w:val="22"/>
                <w:szCs w:val="22"/>
                <w:lang w:val="sr-Cyrl-RS"/>
              </w:rPr>
            </w:pPr>
          </w:p>
          <w:p w14:paraId="7171A68E" w14:textId="55A5F1F9" w:rsidR="001402FD" w:rsidRDefault="001402FD" w:rsidP="0049F11A">
            <w:pPr>
              <w:rPr>
                <w:rFonts w:ascii="Times New Roman" w:hAnsi="Times New Roman"/>
                <w:b/>
                <w:bCs/>
                <w:i/>
                <w:iCs/>
                <w:sz w:val="22"/>
                <w:szCs w:val="22"/>
                <w:lang w:val="sr-Cyrl-RS"/>
              </w:rPr>
            </w:pPr>
            <w:r w:rsidRPr="0049F11A">
              <w:rPr>
                <w:rFonts w:ascii="Times New Roman" w:hAnsi="Times New Roman"/>
                <w:b/>
                <w:bCs/>
                <w:i/>
                <w:iCs/>
                <w:sz w:val="22"/>
                <w:szCs w:val="22"/>
                <w:lang w:val="sr-Cyrl-RS"/>
              </w:rPr>
              <w:t>За примену ове препоруке, потребна је измена Закона о стратешкој процени утицаја на животну средину</w:t>
            </w:r>
            <w:r w:rsidR="0049F11A" w:rsidRPr="00E43248">
              <w:rPr>
                <w:rFonts w:ascii="Times New Roman" w:hAnsi="Times New Roman"/>
                <w:b/>
                <w:bCs/>
                <w:i/>
                <w:iCs/>
                <w:sz w:val="22"/>
                <w:szCs w:val="22"/>
                <w:lang w:val="sr-Cyrl-RS"/>
              </w:rPr>
              <w:t xml:space="preserve"> "</w:t>
            </w:r>
            <w:r w:rsidR="00D84626">
              <w:t xml:space="preserve"> </w:t>
            </w:r>
            <w:r w:rsidR="00D84626" w:rsidRPr="00D84626">
              <w:rPr>
                <w:rFonts w:ascii="Times New Roman" w:hAnsi="Times New Roman"/>
                <w:b/>
                <w:bCs/>
                <w:i/>
                <w:iCs/>
                <w:sz w:val="22"/>
                <w:szCs w:val="22"/>
                <w:lang w:val="sr-Cyrl-RS"/>
              </w:rPr>
              <w:t xml:space="preserve">Службени гласник </w:t>
            </w:r>
            <w:r w:rsidR="0049F11A" w:rsidRPr="00E43248">
              <w:rPr>
                <w:rFonts w:ascii="Times New Roman" w:hAnsi="Times New Roman"/>
                <w:b/>
                <w:bCs/>
                <w:i/>
                <w:iCs/>
                <w:sz w:val="22"/>
                <w:szCs w:val="22"/>
                <w:lang w:val="sr-Cyrl-RS"/>
              </w:rPr>
              <w:t xml:space="preserve">РС", бр. 135/2004 и 88/2010 </w:t>
            </w:r>
            <w:r w:rsidR="0049F11A" w:rsidRPr="0049F11A">
              <w:rPr>
                <w:rFonts w:ascii="Times New Roman" w:hAnsi="Times New Roman"/>
                <w:b/>
                <w:bCs/>
                <w:i/>
                <w:iCs/>
                <w:sz w:val="22"/>
                <w:szCs w:val="22"/>
                <w:lang w:val="sr-Cyrl-RS"/>
              </w:rPr>
              <w:t xml:space="preserve"> и Закона о процени утицаја на животну средину</w:t>
            </w:r>
            <w:r w:rsidR="0049F11A" w:rsidRPr="00E43248">
              <w:rPr>
                <w:rFonts w:ascii="Times New Roman" w:hAnsi="Times New Roman"/>
                <w:b/>
                <w:bCs/>
                <w:i/>
                <w:iCs/>
                <w:sz w:val="22"/>
                <w:szCs w:val="22"/>
                <w:lang w:val="sr-Cyrl-RS"/>
              </w:rPr>
              <w:t>:</w:t>
            </w:r>
            <w:r w:rsidR="0049F11A" w:rsidRPr="0049F11A">
              <w:rPr>
                <w:rFonts w:ascii="Times New Roman" w:hAnsi="Times New Roman"/>
                <w:b/>
                <w:bCs/>
                <w:i/>
                <w:iCs/>
                <w:sz w:val="22"/>
                <w:szCs w:val="22"/>
                <w:lang w:val="sr-Cyrl-RS"/>
              </w:rPr>
              <w:t xml:space="preserve"> </w:t>
            </w:r>
            <w:r w:rsidR="0049F11A" w:rsidRPr="00E43248">
              <w:rPr>
                <w:rFonts w:ascii="Times New Roman" w:hAnsi="Times New Roman"/>
                <w:b/>
                <w:bCs/>
                <w:i/>
                <w:iCs/>
                <w:sz w:val="22"/>
                <w:szCs w:val="22"/>
                <w:lang w:val="sr-Cyrl-RS"/>
              </w:rPr>
              <w:t>"</w:t>
            </w:r>
            <w:r w:rsidR="00D84626">
              <w:t xml:space="preserve"> </w:t>
            </w:r>
            <w:r w:rsidR="00D84626" w:rsidRPr="00D84626">
              <w:rPr>
                <w:rFonts w:ascii="Times New Roman" w:hAnsi="Times New Roman"/>
                <w:b/>
                <w:bCs/>
                <w:i/>
                <w:iCs/>
                <w:sz w:val="22"/>
                <w:szCs w:val="22"/>
                <w:lang w:val="sr-Cyrl-RS"/>
              </w:rPr>
              <w:t xml:space="preserve">Службени гласник </w:t>
            </w:r>
            <w:r w:rsidR="0049F11A" w:rsidRPr="00E43248">
              <w:rPr>
                <w:rFonts w:ascii="Times New Roman" w:hAnsi="Times New Roman"/>
                <w:b/>
                <w:bCs/>
                <w:i/>
                <w:iCs/>
                <w:sz w:val="22"/>
                <w:szCs w:val="22"/>
                <w:lang w:val="sr-Cyrl-RS"/>
              </w:rPr>
              <w:t>РС", бр.</w:t>
            </w:r>
            <w:r w:rsidR="0049F11A" w:rsidRPr="0049F11A">
              <w:rPr>
                <w:rFonts w:ascii="Times New Roman" w:hAnsi="Times New Roman"/>
                <w:b/>
                <w:bCs/>
                <w:i/>
                <w:iCs/>
                <w:sz w:val="22"/>
                <w:szCs w:val="22"/>
                <w:lang w:val="sr-Cyrl-RS"/>
              </w:rPr>
              <w:t xml:space="preserve"> 135/2004 и 36/2009</w:t>
            </w:r>
            <w:r w:rsidR="001E0AF4" w:rsidRPr="0049F11A">
              <w:rPr>
                <w:rFonts w:ascii="Times New Roman" w:hAnsi="Times New Roman"/>
                <w:b/>
                <w:bCs/>
                <w:i/>
                <w:iCs/>
                <w:sz w:val="22"/>
                <w:szCs w:val="22"/>
                <w:lang w:val="sr-Cyrl-RS"/>
              </w:rPr>
              <w:t>.</w:t>
            </w:r>
          </w:p>
          <w:p w14:paraId="30F98CC4" w14:textId="77777777" w:rsidR="00EC30D5" w:rsidRDefault="00EC30D5" w:rsidP="00EC30D5">
            <w:pPr>
              <w:rPr>
                <w:rFonts w:ascii="Times New Roman" w:eastAsia="Times New Roman" w:hAnsi="Times New Roman"/>
                <w:b/>
                <w:sz w:val="22"/>
                <w:szCs w:val="22"/>
                <w:u w:val="single"/>
                <w:lang w:val="sr-Cyrl-RS"/>
              </w:rPr>
            </w:pPr>
          </w:p>
          <w:p w14:paraId="1B6D4F9E" w14:textId="03D15601" w:rsidR="001402FD" w:rsidRDefault="001402FD" w:rsidP="00EC30D5">
            <w:pPr>
              <w:jc w:val="lef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3.2.</w:t>
            </w:r>
            <w:r w:rsidR="00B84F17" w:rsidRPr="00E43248">
              <w:rPr>
                <w:rFonts w:ascii="Times New Roman" w:eastAsia="Times New Roman" w:hAnsi="Times New Roman"/>
                <w:b/>
                <w:sz w:val="22"/>
                <w:szCs w:val="22"/>
                <w:u w:val="single"/>
                <w:lang w:val="sr-Cyrl-RS"/>
              </w:rPr>
              <w:t xml:space="preserve"> </w:t>
            </w:r>
            <w:r w:rsidRPr="001402FD">
              <w:rPr>
                <w:rFonts w:ascii="Times New Roman" w:eastAsia="Times New Roman" w:hAnsi="Times New Roman"/>
                <w:b/>
                <w:sz w:val="22"/>
                <w:szCs w:val="22"/>
                <w:u w:val="single"/>
                <w:lang w:val="sr-Cyrl-RS"/>
              </w:rPr>
              <w:t>Прибављање података по службеној дужности и документација која се прибавља од странке</w:t>
            </w:r>
          </w:p>
          <w:p w14:paraId="0F447982" w14:textId="77777777" w:rsidR="00EC30D5" w:rsidRDefault="00EC30D5" w:rsidP="00EC30D5">
            <w:pPr>
              <w:jc w:val="left"/>
              <w:rPr>
                <w:rFonts w:ascii="Times New Roman" w:eastAsia="Times New Roman" w:hAnsi="Times New Roman"/>
                <w:b/>
                <w:sz w:val="22"/>
                <w:szCs w:val="22"/>
                <w:u w:val="single"/>
                <w:lang w:val="sr-Cyrl-RS"/>
              </w:rPr>
            </w:pPr>
          </w:p>
          <w:p w14:paraId="50F6171D" w14:textId="0F35DEC5" w:rsidR="00EC30D5" w:rsidRDefault="00EC30D5" w:rsidP="00B7689F">
            <w:pPr>
              <w:rPr>
                <w:rFonts w:ascii="Times New Roman" w:eastAsia="Times New Roman" w:hAnsi="Times New Roman"/>
                <w:bCs/>
                <w:sz w:val="22"/>
                <w:szCs w:val="22"/>
                <w:lang w:val="sr-Cyrl-RS"/>
              </w:rPr>
            </w:pPr>
            <w:r w:rsidRPr="001402FD">
              <w:rPr>
                <w:rFonts w:ascii="Times New Roman" w:hAnsi="Times New Roman"/>
                <w:bCs/>
                <w:sz w:val="22"/>
                <w:szCs w:val="22"/>
                <w:lang w:val="sr-Cyrl-RS"/>
              </w:rPr>
              <w:t>Препорука је да подаци које орган тражи из следећих докумената: а) Извода из судског регистра (за правна лица регистрована у суду ); б) Извода из регистра Агенције за привредне регистре(правна лица и предузетници регистровани у АПР); в) Решење о претходној оцени сам орган прибавља службеним путем. Ово у</w:t>
            </w:r>
            <w:r w:rsidRPr="001402FD">
              <w:rPr>
                <w:rFonts w:ascii="Times New Roman" w:eastAsia="Times New Roman" w:hAnsi="Times New Roman"/>
                <w:bCs/>
                <w:sz w:val="22"/>
                <w:szCs w:val="22"/>
                <w:lang w:val="sr-Cyrl-RS"/>
              </w:rPr>
              <w:t>једно представља  обавезу поступајућег органа сходно члану 9. став 3., у вези са чланом 103. Закона о општем управном поступку (Сл. Гласник РС, бр. 18/2016)</w:t>
            </w:r>
            <w:r>
              <w:rPr>
                <w:rFonts w:ascii="Times New Roman" w:eastAsia="Times New Roman" w:hAnsi="Times New Roman"/>
                <w:bCs/>
                <w:sz w:val="22"/>
                <w:szCs w:val="22"/>
                <w:lang w:val="sr-Cyrl-RS"/>
              </w:rPr>
              <w:t>.</w:t>
            </w:r>
          </w:p>
          <w:p w14:paraId="6888FB92" w14:textId="77777777" w:rsidR="00EC30D5" w:rsidRDefault="00EC30D5" w:rsidP="00EC30D5">
            <w:pPr>
              <w:jc w:val="left"/>
              <w:rPr>
                <w:rFonts w:ascii="Times New Roman" w:eastAsia="Times New Roman" w:hAnsi="Times New Roman"/>
                <w:bCs/>
                <w:sz w:val="22"/>
                <w:szCs w:val="22"/>
                <w:lang w:val="sr-Cyrl-RS"/>
              </w:rPr>
            </w:pPr>
          </w:p>
          <w:p w14:paraId="18978AAA" w14:textId="30BF98C8" w:rsidR="00EC30D5" w:rsidRDefault="00EC30D5" w:rsidP="0049F11A">
            <w:pPr>
              <w:jc w:val="left"/>
              <w:rPr>
                <w:rFonts w:ascii="Times New Roman" w:eastAsia="Times New Roman" w:hAnsi="Times New Roman"/>
                <w:b/>
                <w:bCs/>
                <w:i/>
                <w:iCs/>
                <w:sz w:val="22"/>
                <w:szCs w:val="22"/>
                <w:lang w:val="sr-Cyrl-RS"/>
              </w:rPr>
            </w:pPr>
            <w:r>
              <w:rPr>
                <w:rFonts w:ascii="Times New Roman" w:eastAsia="Times New Roman" w:hAnsi="Times New Roman"/>
                <w:bCs/>
                <w:sz w:val="22"/>
                <w:szCs w:val="22"/>
                <w:lang w:val="sr-Cyrl-RS"/>
              </w:rPr>
              <w:tab/>
            </w:r>
            <w:r w:rsidRPr="0049F11A">
              <w:rPr>
                <w:rFonts w:ascii="Times New Roman" w:eastAsia="Times New Roman" w:hAnsi="Times New Roman"/>
                <w:b/>
                <w:bCs/>
                <w:i/>
                <w:iCs/>
                <w:sz w:val="22"/>
                <w:szCs w:val="22"/>
                <w:lang w:val="sr-Cyrl-RS"/>
              </w:rPr>
              <w:t>За примену ове препоруке није потребна измена прописа.</w:t>
            </w:r>
          </w:p>
          <w:p w14:paraId="3092A457" w14:textId="77777777" w:rsidR="001402FD" w:rsidRDefault="001402FD" w:rsidP="00EC30D5">
            <w:pPr>
              <w:jc w:val="left"/>
              <w:rPr>
                <w:rFonts w:ascii="Times New Roman" w:eastAsia="Times New Roman" w:hAnsi="Times New Roman"/>
                <w:b/>
                <w:sz w:val="22"/>
                <w:szCs w:val="22"/>
                <w:u w:val="single"/>
                <w:lang w:val="sr-Cyrl-RS"/>
              </w:rPr>
            </w:pPr>
          </w:p>
          <w:p w14:paraId="77FE5E4E" w14:textId="56CBCFD6" w:rsidR="001402FD" w:rsidRPr="00E43248" w:rsidRDefault="0FEB29E2" w:rsidP="0FEB29E2">
            <w:pPr>
              <w:jc w:val="left"/>
              <w:rPr>
                <w:rFonts w:ascii="Times New Roman" w:eastAsia="Times New Roman" w:hAnsi="Times New Roman"/>
                <w:b/>
                <w:bCs/>
                <w:sz w:val="22"/>
                <w:szCs w:val="22"/>
                <w:u w:val="single"/>
                <w:lang w:val="sr-Cyrl-RS"/>
              </w:rPr>
            </w:pPr>
            <w:r w:rsidRPr="0FEB29E2">
              <w:rPr>
                <w:rFonts w:ascii="Times New Roman" w:eastAsia="Times New Roman" w:hAnsi="Times New Roman"/>
                <w:b/>
                <w:bCs/>
                <w:sz w:val="22"/>
                <w:szCs w:val="22"/>
                <w:u w:val="single"/>
                <w:lang w:val="sr-Cyrl-RS"/>
              </w:rPr>
              <w:t xml:space="preserve">3.3 Прихватање доказа о електронској уплати таксе без печата банке </w:t>
            </w:r>
          </w:p>
          <w:p w14:paraId="53D9247E" w14:textId="7A69D50C" w:rsidR="001402FD" w:rsidRPr="00E43248" w:rsidRDefault="001402FD" w:rsidP="00EC30D5">
            <w:pPr>
              <w:jc w:val="left"/>
              <w:rPr>
                <w:rFonts w:ascii="Times New Roman" w:eastAsia="Times New Roman" w:hAnsi="Times New Roman"/>
                <w:b/>
                <w:sz w:val="22"/>
                <w:szCs w:val="22"/>
                <w:u w:val="single"/>
                <w:lang w:val="sr-Cyrl-RS"/>
              </w:rPr>
            </w:pPr>
          </w:p>
          <w:p w14:paraId="30EFFCB6" w14:textId="77777777" w:rsidR="00EC30D5" w:rsidRDefault="00EC30D5" w:rsidP="00EC30D5">
            <w:pPr>
              <w:rPr>
                <w:rFonts w:ascii="Times New Roman" w:eastAsia="Times New Roman" w:hAnsi="Times New Roman"/>
                <w:sz w:val="22"/>
                <w:szCs w:val="22"/>
                <w:lang w:val="sr-Cyrl-RS"/>
              </w:rPr>
            </w:pPr>
            <w:r w:rsidRPr="00AB7403">
              <w:rPr>
                <w:rFonts w:ascii="Times New Roman" w:eastAsia="Times New Roman" w:hAnsi="Times New Roman"/>
                <w:sz w:val="22"/>
                <w:szCs w:val="22"/>
                <w:lang w:val="sr-Cyrl-RS"/>
              </w:rPr>
              <w:t>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w:t>
            </w:r>
          </w:p>
          <w:p w14:paraId="01BE976E" w14:textId="77777777" w:rsidR="00EC30D5" w:rsidRDefault="00EC30D5" w:rsidP="00EC30D5">
            <w:pPr>
              <w:rPr>
                <w:rFonts w:ascii="Times New Roman" w:eastAsia="Times New Roman" w:hAnsi="Times New Roman"/>
                <w:sz w:val="22"/>
                <w:szCs w:val="22"/>
                <w:lang w:val="sr-Cyrl-RS"/>
              </w:rPr>
            </w:pPr>
          </w:p>
          <w:p w14:paraId="07C40B1D" w14:textId="77777777" w:rsidR="00EC30D5" w:rsidRDefault="00EC30D5" w:rsidP="0049F11A">
            <w:pPr>
              <w:rPr>
                <w:rFonts w:ascii="Times New Roman" w:eastAsia="Times New Roman" w:hAnsi="Times New Roman"/>
                <w:b/>
                <w:bCs/>
                <w:i/>
                <w:iCs/>
                <w:sz w:val="22"/>
                <w:szCs w:val="22"/>
                <w:lang w:val="sr-Cyrl-RS"/>
              </w:rPr>
            </w:pPr>
            <w:r>
              <w:rPr>
                <w:rFonts w:ascii="Times New Roman" w:eastAsia="Times New Roman" w:hAnsi="Times New Roman"/>
                <w:b/>
                <w:i/>
                <w:sz w:val="22"/>
                <w:szCs w:val="22"/>
                <w:lang w:val="sr-Cyrl-RS"/>
              </w:rPr>
              <w:tab/>
            </w:r>
            <w:r w:rsidRPr="0049F11A">
              <w:rPr>
                <w:rFonts w:ascii="Times New Roman" w:eastAsia="Times New Roman" w:hAnsi="Times New Roman"/>
                <w:b/>
                <w:bCs/>
                <w:i/>
                <w:iCs/>
                <w:sz w:val="22"/>
                <w:szCs w:val="22"/>
                <w:lang w:val="sr-Cyrl-RS"/>
              </w:rPr>
              <w:t>За примену ове препоруке није потребна измена прописа.</w:t>
            </w:r>
          </w:p>
          <w:p w14:paraId="06EB1B34" w14:textId="77777777" w:rsidR="00EC30D5" w:rsidRPr="00831E29" w:rsidRDefault="00EC30D5" w:rsidP="00EC30D5">
            <w:pPr>
              <w:rPr>
                <w:rFonts w:ascii="Times New Roman" w:eastAsia="Times New Roman" w:hAnsi="Times New Roman"/>
                <w:b/>
                <w:i/>
                <w:sz w:val="22"/>
                <w:szCs w:val="22"/>
                <w:lang w:val="sr-Cyrl-RS"/>
              </w:rPr>
            </w:pPr>
          </w:p>
          <w:p w14:paraId="109283FC" w14:textId="4F58DE45" w:rsidR="009F6DA7" w:rsidRPr="00E43248" w:rsidRDefault="009F6DA7" w:rsidP="009F6DA7">
            <w:pPr>
              <w:shd w:val="clear" w:color="auto" w:fill="FFFFFF"/>
              <w:spacing w:after="150"/>
              <w:rPr>
                <w:rFonts w:ascii="Arial" w:eastAsia="Times New Roman" w:hAnsi="Arial" w:cs="Arial"/>
                <w:sz w:val="22"/>
                <w:szCs w:val="22"/>
                <w:u w:val="single"/>
                <w:lang w:val="sr-Cyrl-RS"/>
              </w:rPr>
            </w:pPr>
            <w:r w:rsidRPr="00DB7825">
              <w:rPr>
                <w:rFonts w:ascii="Times New Roman" w:hAnsi="Times New Roman"/>
                <w:b/>
                <w:sz w:val="22"/>
                <w:szCs w:val="22"/>
                <w:u w:val="single"/>
                <w:lang w:val="sr-Cyrl-RS"/>
              </w:rPr>
              <w:t>3.</w:t>
            </w:r>
            <w:r w:rsidRPr="00E43248">
              <w:rPr>
                <w:rFonts w:ascii="Times New Roman" w:hAnsi="Times New Roman"/>
                <w:b/>
                <w:sz w:val="22"/>
                <w:szCs w:val="22"/>
                <w:u w:val="single"/>
                <w:lang w:val="sr-Cyrl-RS"/>
              </w:rPr>
              <w:t>4</w:t>
            </w:r>
            <w:r w:rsidRPr="00DB7825">
              <w:rPr>
                <w:rFonts w:ascii="Times New Roman" w:hAnsi="Times New Roman"/>
                <w:b/>
                <w:sz w:val="22"/>
                <w:szCs w:val="22"/>
                <w:u w:val="single"/>
                <w:lang w:val="sr-Cyrl-RS"/>
              </w:rPr>
              <w:t xml:space="preserve">. </w:t>
            </w:r>
            <w:r w:rsidRPr="00E43248">
              <w:rPr>
                <w:rFonts w:ascii="Times New Roman" w:eastAsia="Times New Roman" w:hAnsi="Times New Roman"/>
                <w:b/>
                <w:bCs/>
                <w:sz w:val="22"/>
                <w:szCs w:val="22"/>
                <w:u w:val="single"/>
                <w:lang w:val="sr-Cyrl-RS"/>
              </w:rPr>
              <w:t>Електронско подношење захтева</w:t>
            </w:r>
          </w:p>
          <w:p w14:paraId="5FDE0CBF" w14:textId="4881D390" w:rsidR="009F6DA7" w:rsidRPr="00E43248" w:rsidRDefault="66E1764D" w:rsidP="66E1764D">
            <w:pPr>
              <w:shd w:val="clear" w:color="auto" w:fill="FFFFFF" w:themeFill="background1"/>
              <w:spacing w:after="150"/>
              <w:rPr>
                <w:rFonts w:eastAsia="Times New Roman"/>
                <w:sz w:val="22"/>
                <w:szCs w:val="22"/>
                <w:lang w:val="sr-Cyrl-RS"/>
              </w:rPr>
            </w:pPr>
            <w:r w:rsidRPr="66E1764D">
              <w:rPr>
                <w:rFonts w:ascii="Times New Roman" w:eastAsia="Times New Roman" w:hAnsi="Times New Roman"/>
                <w:sz w:val="22"/>
                <w:szCs w:val="22"/>
                <w:lang w:val="sr-Cyrl-RS"/>
              </w:rPr>
              <w:t xml:space="preserve">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3EAB4AF8" w14:textId="0FF18476" w:rsidR="00CA1CE9" w:rsidRPr="00EC30D5" w:rsidRDefault="0049F11A" w:rsidP="0049F11A">
            <w:pPr>
              <w:jc w:val="left"/>
              <w:rPr>
                <w:rFonts w:ascii="Times New Roman" w:eastAsia="Times New Roman" w:hAnsi="Times New Roman"/>
                <w:b/>
                <w:bCs/>
                <w:sz w:val="22"/>
                <w:szCs w:val="22"/>
                <w:u w:val="single"/>
                <w:lang w:val="sr-Cyrl-RS"/>
              </w:rPr>
            </w:pPr>
            <w:r w:rsidRPr="0049F11A">
              <w:rPr>
                <w:rFonts w:ascii="Times New Roman" w:eastAsia="Times New Roman" w:hAnsi="Times New Roman"/>
                <w:b/>
                <w:bCs/>
                <w:i/>
                <w:iCs/>
                <w:sz w:val="22"/>
                <w:szCs w:val="22"/>
                <w:lang w:val="sr-Cyrl-RS"/>
              </w:rPr>
              <w:t xml:space="preserve">     </w:t>
            </w:r>
            <w:r w:rsidRPr="00E43248">
              <w:rPr>
                <w:rFonts w:ascii="Times New Roman" w:eastAsia="Times New Roman" w:hAnsi="Times New Roman"/>
                <w:b/>
                <w:bCs/>
                <w:i/>
                <w:iCs/>
                <w:sz w:val="22"/>
                <w:szCs w:val="22"/>
                <w:lang w:val="sr-Cyrl-RS"/>
              </w:rPr>
              <w:t xml:space="preserve">         </w:t>
            </w:r>
            <w:r w:rsidRPr="0049F11A">
              <w:rPr>
                <w:rFonts w:ascii="Times New Roman" w:eastAsia="Times New Roman" w:hAnsi="Times New Roman"/>
                <w:b/>
                <w:bCs/>
                <w:i/>
                <w:iCs/>
                <w:sz w:val="22"/>
                <w:szCs w:val="22"/>
                <w:lang w:val="sr-Cyrl-RS"/>
              </w:rPr>
              <w:t>За примену ове препоруке није потребна измена прописа.</w:t>
            </w:r>
          </w:p>
        </w:tc>
      </w:tr>
      <w:tr w:rsidR="00CA1CE9" w:rsidRPr="00E43248" w14:paraId="52C990E5" w14:textId="77777777" w:rsidTr="0049F11A">
        <w:trPr>
          <w:trHeight w:val="454"/>
        </w:trPr>
        <w:tc>
          <w:tcPr>
            <w:tcW w:w="9060" w:type="dxa"/>
            <w:gridSpan w:val="2"/>
            <w:shd w:val="clear" w:color="auto" w:fill="DBE5F1" w:themeFill="accent1" w:themeFillTint="33"/>
            <w:vAlign w:val="center"/>
          </w:tcPr>
          <w:p w14:paraId="493D6146" w14:textId="7E30E1D1" w:rsidR="00CA1CE9" w:rsidRPr="001402FD" w:rsidRDefault="00CA1CE9" w:rsidP="00EC30D5">
            <w:pPr>
              <w:pStyle w:val="NormalWeb"/>
              <w:numPr>
                <w:ilvl w:val="0"/>
                <w:numId w:val="23"/>
              </w:numPr>
              <w:spacing w:before="0" w:beforeAutospacing="0" w:after="0" w:afterAutospacing="0"/>
              <w:jc w:val="center"/>
              <w:rPr>
                <w:b/>
                <w:sz w:val="22"/>
                <w:szCs w:val="22"/>
                <w:lang w:val="sr-Cyrl-RS"/>
              </w:rPr>
            </w:pPr>
            <w:r w:rsidRPr="001402F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E43248" w14:paraId="077D3505" w14:textId="77777777" w:rsidTr="0049F11A">
        <w:trPr>
          <w:trHeight w:val="454"/>
        </w:trPr>
        <w:tc>
          <w:tcPr>
            <w:tcW w:w="9060" w:type="dxa"/>
            <w:gridSpan w:val="2"/>
            <w:shd w:val="clear" w:color="auto" w:fill="auto"/>
          </w:tcPr>
          <w:p w14:paraId="39763933" w14:textId="78DA18FA" w:rsidR="00CA1CE9" w:rsidRPr="001402FD" w:rsidRDefault="0049F11A" w:rsidP="0049F11A">
            <w:pPr>
              <w:rPr>
                <w:rFonts w:ascii="Times New Roman" w:eastAsia="Times New Roman" w:hAnsi="Times New Roman"/>
                <w:b/>
                <w:bCs/>
                <w:sz w:val="22"/>
                <w:szCs w:val="22"/>
                <w:lang w:val="sr-Cyrl-RS"/>
              </w:rPr>
            </w:pPr>
            <w:r w:rsidRPr="0049F11A">
              <w:rPr>
                <w:rFonts w:ascii="Times New Roman" w:eastAsia="Times New Roman" w:hAnsi="Times New Roman"/>
                <w:sz w:val="22"/>
                <w:szCs w:val="22"/>
                <w:lang w:val="sr-Cyrl-RS"/>
              </w:rPr>
              <w:t>За примену препоруке 3.1. “Доношење уредбе као правног основа административног поступка са обрасцем захтева и потребном документацијом, као и измена Закона о стратешкој процени утицаја на животну средину и Закона о процени утицаја на животну средину” потребно је доношење новог подзаконског акта и измена наведених закона.</w:t>
            </w:r>
          </w:p>
        </w:tc>
      </w:tr>
      <w:tr w:rsidR="00CA1CE9" w:rsidRPr="00E43248" w14:paraId="0489C5FC" w14:textId="77777777" w:rsidTr="0049F11A">
        <w:trPr>
          <w:trHeight w:val="454"/>
        </w:trPr>
        <w:tc>
          <w:tcPr>
            <w:tcW w:w="9060" w:type="dxa"/>
            <w:gridSpan w:val="2"/>
            <w:shd w:val="clear" w:color="auto" w:fill="DBE5F1" w:themeFill="accent1" w:themeFillTint="33"/>
            <w:vAlign w:val="center"/>
          </w:tcPr>
          <w:p w14:paraId="6DA2404D" w14:textId="1F3F0197" w:rsidR="00CA1CE9" w:rsidRPr="001402FD" w:rsidRDefault="00CA1CE9" w:rsidP="00EC30D5">
            <w:pPr>
              <w:pStyle w:val="NormalWeb"/>
              <w:numPr>
                <w:ilvl w:val="0"/>
                <w:numId w:val="23"/>
              </w:numPr>
              <w:spacing w:before="0" w:beforeAutospacing="0" w:after="0" w:afterAutospacing="0"/>
              <w:jc w:val="center"/>
              <w:rPr>
                <w:b/>
                <w:sz w:val="22"/>
                <w:szCs w:val="22"/>
                <w:lang w:val="sr-Cyrl-RS"/>
              </w:rPr>
            </w:pPr>
            <w:r w:rsidRPr="001402FD">
              <w:rPr>
                <w:b/>
                <w:sz w:val="22"/>
                <w:szCs w:val="22"/>
                <w:lang w:val="sr-Cyrl-RS"/>
              </w:rPr>
              <w:t>ПРЕГЛЕД ОДРЕДБИ ПРОПИСА ЧИЈА СЕ ИЗМЕНА ПРЕДЛАЖЕ</w:t>
            </w:r>
          </w:p>
        </w:tc>
      </w:tr>
      <w:tr w:rsidR="00CA1CE9" w:rsidRPr="00E43248" w14:paraId="3C4DDA6A" w14:textId="77777777" w:rsidTr="0049F11A">
        <w:trPr>
          <w:trHeight w:val="454"/>
        </w:trPr>
        <w:tc>
          <w:tcPr>
            <w:tcW w:w="9060" w:type="dxa"/>
            <w:gridSpan w:val="2"/>
            <w:shd w:val="clear" w:color="auto" w:fill="auto"/>
          </w:tcPr>
          <w:p w14:paraId="1506ADFF" w14:textId="4DDD8F45" w:rsidR="00CA1CE9" w:rsidRPr="001402FD" w:rsidRDefault="0049F11A" w:rsidP="0049F11A">
            <w:pPr>
              <w:rPr>
                <w:rFonts w:ascii="Times New Roman" w:eastAsia="Times New Roman" w:hAnsi="Times New Roman"/>
                <w:b/>
                <w:bCs/>
                <w:sz w:val="22"/>
                <w:szCs w:val="22"/>
                <w:lang w:val="sr-Cyrl-RS"/>
              </w:rPr>
            </w:pPr>
            <w:r w:rsidRPr="0049F11A">
              <w:rPr>
                <w:rFonts w:ascii="Times New Roman" w:eastAsia="Times New Roman" w:hAnsi="Times New Roman"/>
                <w:sz w:val="22"/>
                <w:szCs w:val="22"/>
                <w:lang w:val="sr-Cyrl-RS"/>
              </w:rPr>
              <w:lastRenderedPageBreak/>
              <w:t>За примену препоруке 3.1.“Доношење уредбе као правног основа административног поступка са обрасцем захтева и потребном документацијом, као и измена Закона о стратешкој процени утицаја на животну средину и Закона о процени утицаја на животну средину” потребно је доношење новог подзаконског акта и измена наведених закона.</w:t>
            </w:r>
          </w:p>
        </w:tc>
      </w:tr>
      <w:tr w:rsidR="00CA1CE9" w:rsidRPr="001402FD" w14:paraId="429F5407" w14:textId="77777777" w:rsidTr="0049F11A">
        <w:trPr>
          <w:trHeight w:val="454"/>
        </w:trPr>
        <w:tc>
          <w:tcPr>
            <w:tcW w:w="9060" w:type="dxa"/>
            <w:gridSpan w:val="2"/>
            <w:shd w:val="clear" w:color="auto" w:fill="DBE5F1" w:themeFill="accent1" w:themeFillTint="33"/>
            <w:vAlign w:val="center"/>
          </w:tcPr>
          <w:p w14:paraId="033C7D4B" w14:textId="7099FA8B" w:rsidR="00CA1CE9" w:rsidRPr="001402FD" w:rsidRDefault="00CA1CE9" w:rsidP="00EC30D5">
            <w:pPr>
              <w:pStyle w:val="NormalWeb"/>
              <w:numPr>
                <w:ilvl w:val="0"/>
                <w:numId w:val="23"/>
              </w:numPr>
              <w:spacing w:before="0" w:beforeAutospacing="0" w:after="0" w:afterAutospacing="0"/>
              <w:jc w:val="center"/>
              <w:rPr>
                <w:b/>
                <w:sz w:val="22"/>
                <w:szCs w:val="22"/>
                <w:lang w:val="sr-Cyrl-RS"/>
              </w:rPr>
            </w:pPr>
            <w:r w:rsidRPr="001402FD">
              <w:rPr>
                <w:b/>
                <w:sz w:val="22"/>
                <w:szCs w:val="22"/>
                <w:lang w:val="sr-Cyrl-RS"/>
              </w:rPr>
              <w:t>АНАЛИЗА ЕФЕКАТА ПРЕПОРУКЕ (АЕП)</w:t>
            </w:r>
          </w:p>
        </w:tc>
      </w:tr>
      <w:tr w:rsidR="00CA1CE9" w:rsidRPr="00E43248" w14:paraId="72BD2239" w14:textId="77777777" w:rsidTr="0049F11A">
        <w:trPr>
          <w:trHeight w:val="454"/>
        </w:trPr>
        <w:tc>
          <w:tcPr>
            <w:tcW w:w="9060" w:type="dxa"/>
            <w:gridSpan w:val="2"/>
            <w:shd w:val="clear" w:color="auto" w:fill="auto"/>
          </w:tcPr>
          <w:p w14:paraId="2AB165B3" w14:textId="77777777" w:rsidR="006162CF" w:rsidRDefault="006162CF" w:rsidP="006162CF">
            <w:pPr>
              <w:shd w:val="clear" w:color="auto" w:fill="FFFFFF" w:themeFill="background1"/>
              <w:rPr>
                <w:rFonts w:ascii="Times New Roman" w:hAnsi="Times New Roman"/>
                <w:sz w:val="22"/>
                <w:szCs w:val="22"/>
                <w:lang w:val="sr-Cyrl-RS"/>
              </w:rPr>
            </w:pPr>
            <w:bookmarkStart w:id="0" w:name="_GoBack"/>
            <w:bookmarkEnd w:id="0"/>
          </w:p>
          <w:p w14:paraId="331CCBA4" w14:textId="2218F355" w:rsidR="00CA1CE9" w:rsidRPr="006162CF" w:rsidRDefault="0049F11A" w:rsidP="0049F11A">
            <w:pPr>
              <w:shd w:val="clear" w:color="auto" w:fill="FFFFFF" w:themeFill="background1"/>
              <w:rPr>
                <w:rFonts w:ascii="Times New Roman" w:hAnsi="Times New Roman"/>
                <w:sz w:val="22"/>
                <w:szCs w:val="22"/>
                <w:lang w:val="sr-Cyrl-RS"/>
              </w:rPr>
            </w:pPr>
            <w:r w:rsidRPr="0049F11A">
              <w:rPr>
                <w:rFonts w:ascii="Times New Roman" w:hAnsi="Times New Roman"/>
                <w:sz w:val="22"/>
                <w:szCs w:val="22"/>
                <w:lang w:val="sr-Cyrl-RS"/>
              </w:rPr>
              <w:t xml:space="preserve">Препоруке ће </w:t>
            </w:r>
            <w:r w:rsidRPr="00E43248">
              <w:rPr>
                <w:rFonts w:ascii="Times New Roman" w:hAnsi="Times New Roman"/>
                <w:sz w:val="22"/>
                <w:szCs w:val="22"/>
                <w:lang w:val="sr-Cyrl-RS"/>
              </w:rPr>
              <w:t xml:space="preserve">допринети </w:t>
            </w:r>
            <w:r w:rsidRPr="0049F11A">
              <w:rPr>
                <w:rFonts w:ascii="Times New Roman" w:hAnsi="Times New Roman"/>
                <w:sz w:val="22"/>
                <w:szCs w:val="22"/>
                <w:lang w:val="sr-Cyrl-RS"/>
              </w:rPr>
              <w:t xml:space="preserve">истоветности поступања, </w:t>
            </w:r>
            <w:r w:rsidRPr="00E43248">
              <w:rPr>
                <w:rFonts w:ascii="Times New Roman" w:hAnsi="Times New Roman"/>
                <w:sz w:val="22"/>
                <w:szCs w:val="22"/>
                <w:lang w:val="sr-Cyrl-RS"/>
              </w:rPr>
              <w:t>транспарентности поступка</w:t>
            </w:r>
            <w:r w:rsidRPr="0049F11A">
              <w:rPr>
                <w:rFonts w:ascii="Times New Roman" w:hAnsi="Times New Roman"/>
                <w:sz w:val="22"/>
                <w:szCs w:val="22"/>
                <w:lang w:val="sr-Cyrl-RS"/>
              </w:rPr>
              <w:t>,</w:t>
            </w:r>
            <w:r w:rsidRPr="00E43248">
              <w:rPr>
                <w:rFonts w:ascii="Times New Roman" w:hAnsi="Times New Roman"/>
                <w:sz w:val="22"/>
                <w:szCs w:val="22"/>
                <w:lang w:val="sr-Cyrl-RS"/>
              </w:rPr>
              <w:t xml:space="preserve"> правној сигурности</w:t>
            </w:r>
            <w:r w:rsidRPr="0049F11A">
              <w:rPr>
                <w:rFonts w:ascii="Times New Roman" w:hAnsi="Times New Roman"/>
                <w:sz w:val="22"/>
                <w:szCs w:val="22"/>
                <w:lang w:val="sr-Cyrl-RS"/>
              </w:rPr>
              <w:t xml:space="preserve"> привредних субјеката, </w:t>
            </w:r>
            <w:r w:rsidRPr="00E43248">
              <w:rPr>
                <w:rFonts w:ascii="Times New Roman" w:hAnsi="Times New Roman"/>
                <w:sz w:val="22"/>
                <w:szCs w:val="22"/>
                <w:lang w:val="sr-Cyrl-RS"/>
              </w:rPr>
              <w:t>поједностављењу поступка</w:t>
            </w:r>
            <w:r w:rsidRPr="0049F11A">
              <w:rPr>
                <w:rFonts w:ascii="Times New Roman" w:hAnsi="Times New Roman"/>
                <w:sz w:val="22"/>
                <w:szCs w:val="22"/>
                <w:lang w:val="sr-Cyrl-RS"/>
              </w:rPr>
              <w:t xml:space="preserve"> за привредне субјекте, смањењу документације.</w:t>
            </w:r>
            <w:r w:rsidRPr="00E43248">
              <w:rPr>
                <w:rFonts w:ascii="Times New Roman" w:hAnsi="Times New Roman"/>
                <w:sz w:val="22"/>
                <w:szCs w:val="22"/>
                <w:lang w:val="sr-Cyrl-RS"/>
              </w:rPr>
              <w:t xml:space="preserve"> Препорукама се такође утиче на побољшање пословног амбијента и очување јавног интереса у вези са заштитом животне средине.</w:t>
            </w:r>
          </w:p>
        </w:tc>
      </w:tr>
    </w:tbl>
    <w:p w14:paraId="5CE5710A" w14:textId="1C5B3A41" w:rsidR="003E3C16" w:rsidRPr="001402FD" w:rsidRDefault="003E3C16" w:rsidP="003E3C16">
      <w:pPr>
        <w:rPr>
          <w:rFonts w:ascii="Times New Roman" w:eastAsia="Times New Roman" w:hAnsi="Times New Roman"/>
          <w:lang w:val="sr-Cyrl-RS"/>
        </w:rPr>
      </w:pPr>
    </w:p>
    <w:sectPr w:rsidR="003E3C16" w:rsidRPr="001402FD" w:rsidSect="00C121EC">
      <w:footerReference w:type="default" r:id="rId8"/>
      <w:pgSz w:w="11906" w:h="16838"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13B81D" w16cid:durableId="20560D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052BA" w14:textId="77777777" w:rsidR="006E6037" w:rsidRDefault="006E6037" w:rsidP="002A202F">
      <w:r>
        <w:separator/>
      </w:r>
    </w:p>
  </w:endnote>
  <w:endnote w:type="continuationSeparator" w:id="0">
    <w:p w14:paraId="35290D05" w14:textId="77777777" w:rsidR="006E6037" w:rsidRDefault="006E603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A57B67B" w:rsidR="002A202F" w:rsidRDefault="002A202F">
        <w:pPr>
          <w:pStyle w:val="Footer"/>
          <w:jc w:val="right"/>
        </w:pPr>
        <w:r>
          <w:fldChar w:fldCharType="begin"/>
        </w:r>
        <w:r>
          <w:instrText xml:space="preserve"> PAGE   \* MERGEFORMAT </w:instrText>
        </w:r>
        <w:r>
          <w:fldChar w:fldCharType="separate"/>
        </w:r>
        <w:r w:rsidR="006F670F">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2E05A" w14:textId="77777777" w:rsidR="006E6037" w:rsidRDefault="006E6037" w:rsidP="002A202F">
      <w:r>
        <w:separator/>
      </w:r>
    </w:p>
  </w:footnote>
  <w:footnote w:type="continuationSeparator" w:id="0">
    <w:p w14:paraId="13FDCF9D" w14:textId="77777777" w:rsidR="006E6037" w:rsidRDefault="006E603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F7B9E"/>
    <w:multiLevelType w:val="hybridMultilevel"/>
    <w:tmpl w:val="74B841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506D31"/>
    <w:multiLevelType w:val="hybridMultilevel"/>
    <w:tmpl w:val="8D6281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68B2513"/>
    <w:multiLevelType w:val="hybridMultilevel"/>
    <w:tmpl w:val="9F8A0DC4"/>
    <w:lvl w:ilvl="0" w:tplc="CDF8376C">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4D9059F5"/>
    <w:multiLevelType w:val="hybridMultilevel"/>
    <w:tmpl w:val="8D6281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4"/>
  </w:num>
  <w:num w:numId="5">
    <w:abstractNumId w:val="1"/>
  </w:num>
  <w:num w:numId="6">
    <w:abstractNumId w:val="14"/>
  </w:num>
  <w:num w:numId="7">
    <w:abstractNumId w:val="25"/>
  </w:num>
  <w:num w:numId="8">
    <w:abstractNumId w:val="11"/>
  </w:num>
  <w:num w:numId="9">
    <w:abstractNumId w:val="23"/>
  </w:num>
  <w:num w:numId="10">
    <w:abstractNumId w:val="21"/>
  </w:num>
  <w:num w:numId="11">
    <w:abstractNumId w:val="20"/>
  </w:num>
  <w:num w:numId="12">
    <w:abstractNumId w:val="19"/>
  </w:num>
  <w:num w:numId="13">
    <w:abstractNumId w:val="16"/>
  </w:num>
  <w:num w:numId="14">
    <w:abstractNumId w:val="22"/>
  </w:num>
  <w:num w:numId="15">
    <w:abstractNumId w:val="18"/>
  </w:num>
  <w:num w:numId="16">
    <w:abstractNumId w:val="12"/>
  </w:num>
  <w:num w:numId="17">
    <w:abstractNumId w:val="10"/>
  </w:num>
  <w:num w:numId="18">
    <w:abstractNumId w:val="24"/>
  </w:num>
  <w:num w:numId="19">
    <w:abstractNumId w:val="6"/>
  </w:num>
  <w:num w:numId="20">
    <w:abstractNumId w:val="26"/>
  </w:num>
  <w:num w:numId="21">
    <w:abstractNumId w:val="7"/>
  </w:num>
  <w:num w:numId="22">
    <w:abstractNumId w:val="2"/>
  </w:num>
  <w:num w:numId="23">
    <w:abstractNumId w:val="17"/>
  </w:num>
  <w:num w:numId="24">
    <w:abstractNumId w:val="0"/>
  </w:num>
  <w:num w:numId="25">
    <w:abstractNumId w:val="9"/>
  </w:num>
  <w:num w:numId="26">
    <w:abstractNumId w:val="5"/>
  </w:num>
  <w:num w:numId="27">
    <w:abstractNumId w:val="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3C1C"/>
    <w:rsid w:val="00044F35"/>
    <w:rsid w:val="00044F63"/>
    <w:rsid w:val="00050616"/>
    <w:rsid w:val="00061070"/>
    <w:rsid w:val="00083993"/>
    <w:rsid w:val="00092B84"/>
    <w:rsid w:val="0009542A"/>
    <w:rsid w:val="000A24AF"/>
    <w:rsid w:val="000A53F3"/>
    <w:rsid w:val="000A5CDC"/>
    <w:rsid w:val="000B54D7"/>
    <w:rsid w:val="000C77EF"/>
    <w:rsid w:val="000D5029"/>
    <w:rsid w:val="000E2036"/>
    <w:rsid w:val="000F5E72"/>
    <w:rsid w:val="001156BA"/>
    <w:rsid w:val="001402FD"/>
    <w:rsid w:val="00144657"/>
    <w:rsid w:val="0015182D"/>
    <w:rsid w:val="001522A1"/>
    <w:rsid w:val="00161847"/>
    <w:rsid w:val="00170CA7"/>
    <w:rsid w:val="001711C5"/>
    <w:rsid w:val="001915B5"/>
    <w:rsid w:val="001A023F"/>
    <w:rsid w:val="001A3FAC"/>
    <w:rsid w:val="001A6472"/>
    <w:rsid w:val="001C5538"/>
    <w:rsid w:val="001D0EDE"/>
    <w:rsid w:val="001D20E2"/>
    <w:rsid w:val="001E0AF4"/>
    <w:rsid w:val="001E38DE"/>
    <w:rsid w:val="001F7B31"/>
    <w:rsid w:val="0020601F"/>
    <w:rsid w:val="00212DA5"/>
    <w:rsid w:val="0021347C"/>
    <w:rsid w:val="00217F0A"/>
    <w:rsid w:val="002323AC"/>
    <w:rsid w:val="00247A78"/>
    <w:rsid w:val="00261404"/>
    <w:rsid w:val="0026734F"/>
    <w:rsid w:val="00275E2A"/>
    <w:rsid w:val="00296938"/>
    <w:rsid w:val="002A202F"/>
    <w:rsid w:val="002B19B4"/>
    <w:rsid w:val="002F1BEC"/>
    <w:rsid w:val="002F4757"/>
    <w:rsid w:val="00322199"/>
    <w:rsid w:val="003223C7"/>
    <w:rsid w:val="00323939"/>
    <w:rsid w:val="00326555"/>
    <w:rsid w:val="003410E0"/>
    <w:rsid w:val="00341169"/>
    <w:rsid w:val="00350EAD"/>
    <w:rsid w:val="003651DB"/>
    <w:rsid w:val="003715A0"/>
    <w:rsid w:val="0037171F"/>
    <w:rsid w:val="00376FD1"/>
    <w:rsid w:val="0039002C"/>
    <w:rsid w:val="003B44DB"/>
    <w:rsid w:val="003B4BC9"/>
    <w:rsid w:val="003B6298"/>
    <w:rsid w:val="003E2EB1"/>
    <w:rsid w:val="003E3C16"/>
    <w:rsid w:val="00407D96"/>
    <w:rsid w:val="00421F7D"/>
    <w:rsid w:val="0042660C"/>
    <w:rsid w:val="00432495"/>
    <w:rsid w:val="004374F5"/>
    <w:rsid w:val="004405E1"/>
    <w:rsid w:val="00444DA7"/>
    <w:rsid w:val="0045307C"/>
    <w:rsid w:val="00457882"/>
    <w:rsid w:val="00463CC7"/>
    <w:rsid w:val="00466921"/>
    <w:rsid w:val="004809C4"/>
    <w:rsid w:val="0048433C"/>
    <w:rsid w:val="004847B1"/>
    <w:rsid w:val="0049545B"/>
    <w:rsid w:val="0049F11A"/>
    <w:rsid w:val="004D3BD0"/>
    <w:rsid w:val="004D45B1"/>
    <w:rsid w:val="004D5B37"/>
    <w:rsid w:val="004D68A7"/>
    <w:rsid w:val="004E29D1"/>
    <w:rsid w:val="00500566"/>
    <w:rsid w:val="00501500"/>
    <w:rsid w:val="005073A3"/>
    <w:rsid w:val="00520BC5"/>
    <w:rsid w:val="00523608"/>
    <w:rsid w:val="00525C0A"/>
    <w:rsid w:val="00535608"/>
    <w:rsid w:val="00556688"/>
    <w:rsid w:val="0056162B"/>
    <w:rsid w:val="0056707B"/>
    <w:rsid w:val="00581A9D"/>
    <w:rsid w:val="005A2503"/>
    <w:rsid w:val="005B4F04"/>
    <w:rsid w:val="005B7CB9"/>
    <w:rsid w:val="005D0023"/>
    <w:rsid w:val="005E21C4"/>
    <w:rsid w:val="005F4D59"/>
    <w:rsid w:val="0060001C"/>
    <w:rsid w:val="00600D31"/>
    <w:rsid w:val="0060786A"/>
    <w:rsid w:val="006162CF"/>
    <w:rsid w:val="006237FE"/>
    <w:rsid w:val="00627AF7"/>
    <w:rsid w:val="00632540"/>
    <w:rsid w:val="00633F73"/>
    <w:rsid w:val="00645199"/>
    <w:rsid w:val="00645850"/>
    <w:rsid w:val="00661ECF"/>
    <w:rsid w:val="006852AE"/>
    <w:rsid w:val="00692071"/>
    <w:rsid w:val="00694B28"/>
    <w:rsid w:val="006C5349"/>
    <w:rsid w:val="006C5F2A"/>
    <w:rsid w:val="006C662C"/>
    <w:rsid w:val="006E6037"/>
    <w:rsid w:val="006F4A5C"/>
    <w:rsid w:val="006F670F"/>
    <w:rsid w:val="0070383D"/>
    <w:rsid w:val="00715F5C"/>
    <w:rsid w:val="007209EB"/>
    <w:rsid w:val="007278C1"/>
    <w:rsid w:val="00733493"/>
    <w:rsid w:val="007362CA"/>
    <w:rsid w:val="00737F1D"/>
    <w:rsid w:val="00753A94"/>
    <w:rsid w:val="00771091"/>
    <w:rsid w:val="00780DE2"/>
    <w:rsid w:val="00782816"/>
    <w:rsid w:val="00785A46"/>
    <w:rsid w:val="007861E3"/>
    <w:rsid w:val="007940D6"/>
    <w:rsid w:val="007B1740"/>
    <w:rsid w:val="007C61B5"/>
    <w:rsid w:val="007D3889"/>
    <w:rsid w:val="007D39E4"/>
    <w:rsid w:val="007D43A7"/>
    <w:rsid w:val="007E1695"/>
    <w:rsid w:val="007F204C"/>
    <w:rsid w:val="00804060"/>
    <w:rsid w:val="008166C9"/>
    <w:rsid w:val="00824E43"/>
    <w:rsid w:val="00833D8C"/>
    <w:rsid w:val="00834C9A"/>
    <w:rsid w:val="0084708C"/>
    <w:rsid w:val="00850AD5"/>
    <w:rsid w:val="008525E2"/>
    <w:rsid w:val="00852739"/>
    <w:rsid w:val="008629CC"/>
    <w:rsid w:val="00865EBB"/>
    <w:rsid w:val="0086788C"/>
    <w:rsid w:val="00886C36"/>
    <w:rsid w:val="00893E60"/>
    <w:rsid w:val="008A6AC8"/>
    <w:rsid w:val="008C5591"/>
    <w:rsid w:val="008D04A6"/>
    <w:rsid w:val="008D4C1A"/>
    <w:rsid w:val="008F0867"/>
    <w:rsid w:val="008F172F"/>
    <w:rsid w:val="008F2044"/>
    <w:rsid w:val="008F2BE1"/>
    <w:rsid w:val="008F4DD1"/>
    <w:rsid w:val="009056DB"/>
    <w:rsid w:val="00947592"/>
    <w:rsid w:val="00950280"/>
    <w:rsid w:val="0095335A"/>
    <w:rsid w:val="009624E6"/>
    <w:rsid w:val="00982041"/>
    <w:rsid w:val="00991A18"/>
    <w:rsid w:val="00994A16"/>
    <w:rsid w:val="009A30D3"/>
    <w:rsid w:val="009A6F61"/>
    <w:rsid w:val="009D03A7"/>
    <w:rsid w:val="009E0479"/>
    <w:rsid w:val="009F6DA7"/>
    <w:rsid w:val="00A0102E"/>
    <w:rsid w:val="00A12960"/>
    <w:rsid w:val="00A1570D"/>
    <w:rsid w:val="00A22386"/>
    <w:rsid w:val="00A43D06"/>
    <w:rsid w:val="00A56B75"/>
    <w:rsid w:val="00A71C04"/>
    <w:rsid w:val="00AA0017"/>
    <w:rsid w:val="00AA4BC5"/>
    <w:rsid w:val="00AB09B3"/>
    <w:rsid w:val="00AC02D1"/>
    <w:rsid w:val="00AE5705"/>
    <w:rsid w:val="00B06019"/>
    <w:rsid w:val="00B07409"/>
    <w:rsid w:val="00B1006E"/>
    <w:rsid w:val="00B178FB"/>
    <w:rsid w:val="00B363A6"/>
    <w:rsid w:val="00B5252A"/>
    <w:rsid w:val="00B63DB1"/>
    <w:rsid w:val="00B67138"/>
    <w:rsid w:val="00B6715C"/>
    <w:rsid w:val="00B7689F"/>
    <w:rsid w:val="00B81CFE"/>
    <w:rsid w:val="00B84F17"/>
    <w:rsid w:val="00B903AE"/>
    <w:rsid w:val="00B9157F"/>
    <w:rsid w:val="00B95225"/>
    <w:rsid w:val="00BA55D3"/>
    <w:rsid w:val="00BA6759"/>
    <w:rsid w:val="00BA7204"/>
    <w:rsid w:val="00BC6826"/>
    <w:rsid w:val="00BD1E50"/>
    <w:rsid w:val="00C0295C"/>
    <w:rsid w:val="00C03C06"/>
    <w:rsid w:val="00C043A4"/>
    <w:rsid w:val="00C121EC"/>
    <w:rsid w:val="00C12C65"/>
    <w:rsid w:val="00C445E2"/>
    <w:rsid w:val="00C70F1B"/>
    <w:rsid w:val="00C7129D"/>
    <w:rsid w:val="00C748D1"/>
    <w:rsid w:val="00C91014"/>
    <w:rsid w:val="00CA1CE9"/>
    <w:rsid w:val="00CB1A4E"/>
    <w:rsid w:val="00CC29F6"/>
    <w:rsid w:val="00CD2287"/>
    <w:rsid w:val="00CD5BBB"/>
    <w:rsid w:val="00CE0685"/>
    <w:rsid w:val="00D37EA5"/>
    <w:rsid w:val="00D73628"/>
    <w:rsid w:val="00D73918"/>
    <w:rsid w:val="00D84626"/>
    <w:rsid w:val="00D967D7"/>
    <w:rsid w:val="00DA125D"/>
    <w:rsid w:val="00DB19B9"/>
    <w:rsid w:val="00DC4BC2"/>
    <w:rsid w:val="00DD523F"/>
    <w:rsid w:val="00DE057D"/>
    <w:rsid w:val="00E0020F"/>
    <w:rsid w:val="00E118C7"/>
    <w:rsid w:val="00E1427B"/>
    <w:rsid w:val="00E14E0D"/>
    <w:rsid w:val="00E22B8B"/>
    <w:rsid w:val="00E317D1"/>
    <w:rsid w:val="00E40DF0"/>
    <w:rsid w:val="00E4267B"/>
    <w:rsid w:val="00E43248"/>
    <w:rsid w:val="00E47DAC"/>
    <w:rsid w:val="00E63C8A"/>
    <w:rsid w:val="00E70BF6"/>
    <w:rsid w:val="00EC30D5"/>
    <w:rsid w:val="00F11C98"/>
    <w:rsid w:val="00F12E47"/>
    <w:rsid w:val="00F223B2"/>
    <w:rsid w:val="00F23965"/>
    <w:rsid w:val="00F53241"/>
    <w:rsid w:val="00F67790"/>
    <w:rsid w:val="00FA0513"/>
    <w:rsid w:val="00FB1A1B"/>
    <w:rsid w:val="00FB645B"/>
    <w:rsid w:val="00FC09D6"/>
    <w:rsid w:val="00FC34EC"/>
    <w:rsid w:val="00FC3F69"/>
    <w:rsid w:val="00FC5312"/>
    <w:rsid w:val="00FD3964"/>
    <w:rsid w:val="00FF4DB4"/>
    <w:rsid w:val="00FF78E5"/>
    <w:rsid w:val="0FEB29E2"/>
    <w:rsid w:val="4AA254BA"/>
    <w:rsid w:val="4FC1A637"/>
    <w:rsid w:val="66E1764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BAA9189-CAF4-4CEB-80FA-55D0F30C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751697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1034218">
      <w:bodyDiv w:val="1"/>
      <w:marLeft w:val="0"/>
      <w:marRight w:val="0"/>
      <w:marTop w:val="0"/>
      <w:marBottom w:val="0"/>
      <w:divBdr>
        <w:top w:val="none" w:sz="0" w:space="0" w:color="auto"/>
        <w:left w:val="none" w:sz="0" w:space="0" w:color="auto"/>
        <w:bottom w:val="none" w:sz="0" w:space="0" w:color="auto"/>
        <w:right w:val="none" w:sz="0" w:space="0" w:color="auto"/>
      </w:divBdr>
    </w:div>
    <w:div w:id="87111591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26453-BFA1-4180-A6BE-32AAEC02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3</cp:revision>
  <cp:lastPrinted>2018-09-05T12:48:00Z</cp:lastPrinted>
  <dcterms:created xsi:type="dcterms:W3CDTF">2019-04-09T07:51:00Z</dcterms:created>
  <dcterms:modified xsi:type="dcterms:W3CDTF">2019-04-10T08:06:00Z</dcterms:modified>
</cp:coreProperties>
</file>