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BEB9D" w14:textId="5E552F42" w:rsidR="0044514B" w:rsidRDefault="0044514B" w:rsidP="0044514B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  <w:lang w:val="sr-Cyrl-RS"/>
        </w:rPr>
        <w:t xml:space="preserve">ПОЈЕДНОСТАВЉЕЊЕ </w:t>
      </w:r>
      <w:r>
        <w:rPr>
          <w:rFonts w:ascii="Times New Roman" w:eastAsia="Times New Roman" w:hAnsi="Times New Roman"/>
          <w:b/>
          <w:lang w:val="sr-Cyrl-RS"/>
        </w:rPr>
        <w:t>ПОСТУПКА</w:t>
      </w:r>
      <w:r w:rsidR="003255B5">
        <w:rPr>
          <w:rFonts w:ascii="Times New Roman" w:eastAsia="Times New Roman" w:hAnsi="Times New Roman"/>
          <w:b/>
          <w:lang w:val="sr-Cyrl-RS"/>
        </w:rPr>
        <w:t xml:space="preserve"> ДОДЕЛЕ ПРАВА НА КОРИШЋЕЊЕ ЕКОЛОШКОГ ЗНАКА</w:t>
      </w:r>
    </w:p>
    <w:p w14:paraId="754E77C1" w14:textId="77777777" w:rsidR="001F254D" w:rsidRPr="001F254D" w:rsidRDefault="001F254D" w:rsidP="0044514B">
      <w:pPr>
        <w:jc w:val="center"/>
        <w:rPr>
          <w:rFonts w:ascii="Times New Roman" w:eastAsia="Times New Roman" w:hAnsi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3255B5" w14:paraId="1976FB87" w14:textId="77777777" w:rsidTr="5FEC4E5B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4A31CD6E" w:rsidR="000E2036" w:rsidRPr="00DC2F93" w:rsidRDefault="00DD6151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C2F9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</w:t>
            </w:r>
            <w:r w:rsidR="000E2036" w:rsidRPr="00DC2F9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63FD385" w:rsidR="000E2036" w:rsidRPr="00DC2F93" w:rsidRDefault="00615B8F" w:rsidP="00202CC4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3255B5">
              <w:rPr>
                <w:sz w:val="22"/>
                <w:szCs w:val="22"/>
                <w:lang w:val="sr-Cyrl-RS"/>
              </w:rPr>
              <w:t>Додела права на к</w:t>
            </w:r>
            <w:bookmarkStart w:id="0" w:name="_GoBack"/>
            <w:bookmarkEnd w:id="0"/>
            <w:r w:rsidRPr="003255B5">
              <w:rPr>
                <w:sz w:val="22"/>
                <w:szCs w:val="22"/>
                <w:lang w:val="sr-Cyrl-RS"/>
              </w:rPr>
              <w:t>оришћење еколошког знака</w:t>
            </w:r>
          </w:p>
        </w:tc>
      </w:tr>
      <w:tr w:rsidR="00850AD5" w:rsidRPr="00DC2F93" w14:paraId="7A6AA442" w14:textId="77777777" w:rsidTr="5FEC4E5B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C2F93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C2F93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951D1C2" w:rsidR="000E2036" w:rsidRPr="00DC2F93" w:rsidRDefault="7F2A17EA" w:rsidP="7F2A17EA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 w:rsidRPr="7F2A17EA">
              <w:rPr>
                <w:sz w:val="22"/>
                <w:szCs w:val="22"/>
              </w:rPr>
              <w:t>134.00.0019</w:t>
            </w:r>
          </w:p>
        </w:tc>
      </w:tr>
      <w:tr w:rsidR="00850AD5" w:rsidRPr="00DC2F93" w14:paraId="2CEE52A6" w14:textId="77777777" w:rsidTr="5FEC4E5B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C2F9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C2F93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C2F9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C2F93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6664F272" w:rsidR="00092B84" w:rsidRPr="00DC2F93" w:rsidRDefault="7F2A17EA" w:rsidP="7F2A17EA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7F2A17EA">
              <w:rPr>
                <w:sz w:val="22"/>
                <w:szCs w:val="22"/>
                <w:lang w:val="sr-Cyrl-RS"/>
              </w:rPr>
              <w:t>Министарство заштите животне средине</w:t>
            </w:r>
          </w:p>
        </w:tc>
      </w:tr>
      <w:tr w:rsidR="00850AD5" w:rsidRPr="003255B5" w14:paraId="10DA1CD3" w14:textId="77777777" w:rsidTr="5FEC4E5B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C2F9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C2F93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C2F93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C2F93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303A97B" w14:textId="699B73CF" w:rsidR="00645199" w:rsidRPr="008A2D35" w:rsidRDefault="2CB416E5" w:rsidP="002E2AF7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заштити животне средине: </w:t>
            </w:r>
            <w:r w:rsidR="002607C5"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>(</w:t>
            </w:r>
            <w:r w:rsidR="008A2D35"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Службени гласник </w:t>
            </w:r>
            <w:r w:rsidR="002E2AF7"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>РС, бр. 135</w:t>
            </w:r>
            <w:r w:rsidR="00FE0B44">
              <w:rPr>
                <w:rFonts w:ascii="Times New Roman" w:hAnsi="Times New Roman"/>
                <w:sz w:val="22"/>
                <w:szCs w:val="22"/>
                <w:lang w:val="sr-Cyrl-RS"/>
              </w:rPr>
              <w:t>/</w:t>
            </w:r>
            <w:r w:rsidR="002E2AF7"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>2004, 36</w:t>
            </w:r>
            <w:r w:rsidR="00FE0B44">
              <w:rPr>
                <w:rFonts w:ascii="Times New Roman" w:hAnsi="Times New Roman"/>
                <w:sz w:val="22"/>
                <w:szCs w:val="22"/>
                <w:lang w:val="sr-Cyrl-RS"/>
              </w:rPr>
              <w:t>/</w:t>
            </w:r>
            <w:r w:rsidR="002E2AF7"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>2009, 36</w:t>
            </w:r>
            <w:r w:rsidR="00FE0B44">
              <w:rPr>
                <w:rFonts w:ascii="Times New Roman" w:hAnsi="Times New Roman"/>
                <w:sz w:val="22"/>
                <w:szCs w:val="22"/>
                <w:lang w:val="sr-Cyrl-RS"/>
              </w:rPr>
              <w:t>/</w:t>
            </w:r>
            <w:r w:rsidR="002E2AF7"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>2009 - др. закон, 72</w:t>
            </w:r>
            <w:r w:rsidR="00FE0B44">
              <w:rPr>
                <w:rFonts w:ascii="Times New Roman" w:hAnsi="Times New Roman"/>
                <w:sz w:val="22"/>
                <w:szCs w:val="22"/>
                <w:lang w:val="sr-Cyrl-RS"/>
              </w:rPr>
              <w:t>/</w:t>
            </w:r>
            <w:r w:rsidR="002E2AF7"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>2009 - др. закон, 43</w:t>
            </w:r>
            <w:r w:rsidR="00FE0B44">
              <w:rPr>
                <w:rFonts w:ascii="Times New Roman" w:hAnsi="Times New Roman"/>
                <w:sz w:val="22"/>
                <w:szCs w:val="22"/>
                <w:lang w:val="sr-Cyrl-RS"/>
              </w:rPr>
              <w:t>/</w:t>
            </w:r>
            <w:r w:rsidR="002E2AF7"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>2011 - УС, 14</w:t>
            </w:r>
            <w:r w:rsidR="00FE0B44">
              <w:rPr>
                <w:rFonts w:ascii="Times New Roman" w:hAnsi="Times New Roman"/>
                <w:sz w:val="22"/>
                <w:szCs w:val="22"/>
                <w:lang w:val="sr-Cyrl-RS"/>
              </w:rPr>
              <w:t>/</w:t>
            </w:r>
            <w:r w:rsidR="002E2AF7"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>2016,</w:t>
            </w:r>
            <w:r w:rsidR="00FE0B4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2E2AF7"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>76</w:t>
            </w:r>
            <w:r w:rsidR="00FE0B44">
              <w:rPr>
                <w:rFonts w:ascii="Times New Roman" w:hAnsi="Times New Roman"/>
                <w:sz w:val="22"/>
                <w:szCs w:val="22"/>
                <w:lang w:val="sr-Cyrl-RS"/>
              </w:rPr>
              <w:t>/</w:t>
            </w:r>
            <w:r w:rsidR="002E2AF7"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>2018</w:t>
            </w:r>
            <w:r w:rsidR="002607C5" w:rsidRPr="008A2D35"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4AF237C0" w14:textId="53DA968F" w:rsidR="00615B8F" w:rsidRPr="008A2D35" w:rsidRDefault="2CB416E5" w:rsidP="2CB416E5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ближим условима, критеријумима и поступку за добијање права на коришћење еколошког знака, елементима, изгледу и начину употребе еколошког знака за производе и услуге: </w:t>
            </w:r>
            <w:r w:rsidR="002607C5" w:rsidRPr="008A2D35">
              <w:rPr>
                <w:rFonts w:ascii="Times New Roman" w:hAnsi="Times New Roman"/>
                <w:sz w:val="22"/>
                <w:szCs w:val="22"/>
              </w:rPr>
              <w:t>(</w:t>
            </w:r>
            <w:r w:rsidR="008A2D35"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Службени гласник </w:t>
            </w:r>
            <w:r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РС, бр. </w:t>
            </w:r>
            <w:r w:rsidR="002607C5"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>49/2016)</w:t>
            </w:r>
          </w:p>
          <w:p w14:paraId="2CCB5DCC" w14:textId="1D0C0AB3" w:rsidR="00615B8F" w:rsidRPr="008A2D35" w:rsidRDefault="2CB416E5" w:rsidP="00D413D8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висини трошкова доделе права на коришћење еколошког знака</w:t>
            </w:r>
            <w:r w:rsidR="002607C5"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>: (</w:t>
            </w:r>
            <w:r w:rsidR="008A2D35"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Службени гласник </w:t>
            </w:r>
            <w:r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>РС, бр. 81/2010</w:t>
            </w:r>
            <w:r w:rsidR="002607C5" w:rsidRPr="008A2D3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850AD5" w:rsidRPr="003255B5" w14:paraId="724CF23D" w14:textId="77777777" w:rsidTr="5FEC4E5B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C2F93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C2F9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C2F9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C2F9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C2F9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C2F9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7675162C" w:rsidR="00D73918" w:rsidRPr="008A2D35" w:rsidRDefault="2CB416E5" w:rsidP="003C0D2B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</w:rPr>
            </w:pPr>
            <w:r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1. Правилник о ближим условима, критеријумима и поступку за добијање права на коришћење еколошког знака, елементима, изгледу и начину употребе еколошког знака за производе и услуге: </w:t>
            </w:r>
            <w:r w:rsidR="002607C5" w:rsidRPr="008A2D35">
              <w:rPr>
                <w:rFonts w:ascii="Times New Roman" w:hAnsi="Times New Roman"/>
                <w:sz w:val="22"/>
                <w:szCs w:val="22"/>
              </w:rPr>
              <w:t>(</w:t>
            </w:r>
            <w:r w:rsidR="008A2D35"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Службени гласник </w:t>
            </w:r>
            <w:r w:rsidRPr="008A2D35">
              <w:rPr>
                <w:rFonts w:ascii="Times New Roman" w:hAnsi="Times New Roman"/>
                <w:sz w:val="22"/>
                <w:szCs w:val="22"/>
                <w:lang w:val="sr-Cyrl-RS"/>
              </w:rPr>
              <w:t>РС, бр. 49/2016</w:t>
            </w:r>
            <w:r w:rsidR="002607C5" w:rsidRPr="008A2D3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850AD5" w:rsidRPr="00DC2F93" w14:paraId="58812BCA" w14:textId="77777777" w:rsidTr="5FEC4E5B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C2F9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C2F93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C2F93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2DF91070" w:rsidR="00804060" w:rsidRPr="00DC2F93" w:rsidRDefault="2CB416E5" w:rsidP="008F518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2CB416E5">
              <w:rPr>
                <w:sz w:val="22"/>
                <w:szCs w:val="22"/>
                <w:lang w:val="sr-Cyrl-RS"/>
              </w:rPr>
              <w:t>Четврти квартал 2019. године</w:t>
            </w:r>
          </w:p>
        </w:tc>
      </w:tr>
      <w:tr w:rsidR="00275E2A" w:rsidRPr="00DC2F93" w14:paraId="539113B1" w14:textId="77777777" w:rsidTr="5FEC4E5B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C2F93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C2F93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3255B5" w14:paraId="4635A4BE" w14:textId="77777777" w:rsidTr="5FEC4E5B">
        <w:tc>
          <w:tcPr>
            <w:tcW w:w="9060" w:type="dxa"/>
            <w:gridSpan w:val="2"/>
          </w:tcPr>
          <w:p w14:paraId="090A58BC" w14:textId="0A4CFD3C" w:rsidR="00FB3D7A" w:rsidRPr="00DC2F93" w:rsidRDefault="00FB3D7A" w:rsidP="00FB3D7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Правилником о ближим условима, критеријумима и поступку за добијање права на коришћење еколошког знака, елементима, изгледу и начину употребе еколошког знака за производе и услуге: 49/2016-3 је објављен образац којим се покреће предметни поступак. На крају обрас</w:t>
            </w:r>
            <w:r w:rsidR="00A45EB7"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>ца је предвиђено место за печат</w:t>
            </w:r>
            <w:r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45EB7"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>упркос интенцији</w:t>
            </w:r>
            <w:r w:rsidR="00953AE7"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Владе Републике Србије да се укине обавеза употребе </w:t>
            </w:r>
            <w:r w:rsidR="00A45EB7"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>печата</w:t>
            </w:r>
            <w:r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45EB7"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 </w:t>
            </w:r>
            <w:r w:rsidR="00953AE7"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>обра</w:t>
            </w:r>
            <w:r w:rsidR="00A45EB7"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>с</w:t>
            </w:r>
            <w:r w:rsidR="00953AE7"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>ц</w:t>
            </w:r>
            <w:r w:rsidR="00A45EB7"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>им</w:t>
            </w:r>
            <w:r w:rsidR="00953AE7"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>а.</w:t>
            </w:r>
            <w:r w:rsidR="00A45EB7"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Чланом 160. Закона о изменама и допунама </w:t>
            </w:r>
            <w:r w:rsidR="0065035E"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>З</w:t>
            </w:r>
            <w:r w:rsidR="00A45EB7"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>акона о привредним друштвима којим се од 01. октобра 2018. године укида обавеза употребе печата у 117 прописа није обухваћен наведени правилник.</w:t>
            </w:r>
          </w:p>
          <w:p w14:paraId="72AA0452" w14:textId="4F7FBBA8" w:rsidR="0065035E" w:rsidRPr="00DC2F93" w:rsidRDefault="00953AE7" w:rsidP="00A45EB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="0065035E"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>поступку се од странке захтева</w:t>
            </w:r>
            <w:r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 </w:t>
            </w:r>
            <w:r w:rsidR="0065035E"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>дост</w:t>
            </w:r>
            <w:r w:rsidR="00FE6286"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="0065035E"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ви </w:t>
            </w:r>
            <w:r w:rsidRPr="003255B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Извод из регистра АПР-а о регистрацији привредног друштва, </w:t>
            </w:r>
            <w:r w:rsidR="00A45EB7"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>упркос обавези државног органа да по службеној дужности врши увид, прибавља и обрађује податке о чињеницама о којима се води службена евиденција, а који су неопходни за одлучивање, све у складу са члановима 9. и 103. Закона о општем управном поступку.</w:t>
            </w:r>
            <w:r w:rsidR="00FE6286"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Ова обавеза странке је наведена и у Правилнику наведеном </w:t>
            </w:r>
            <w:r w:rsidR="004F677A">
              <w:rPr>
                <w:rFonts w:ascii="Times New Roman" w:hAnsi="Times New Roman"/>
                <w:sz w:val="22"/>
                <w:szCs w:val="22"/>
                <w:lang w:val="sr-Cyrl-RS"/>
              </w:rPr>
              <w:t>у претходном ставу</w:t>
            </w:r>
            <w:r w:rsidR="00FE6286"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4BCB02C2" w14:textId="3C8EE81C" w:rsidR="00131DCD" w:rsidRPr="009907F1" w:rsidRDefault="2CB416E5" w:rsidP="2CB416E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2CB416E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</w:tc>
      </w:tr>
      <w:tr w:rsidR="00275E2A" w:rsidRPr="00DC2F93" w14:paraId="31663FC5" w14:textId="77777777" w:rsidTr="5FEC4E5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C2F93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C2F93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C2F93" w14:paraId="66715B57" w14:textId="77777777" w:rsidTr="5FEC4E5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C2F93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C2F93" w14:paraId="3010E605" w14:textId="77777777" w:rsidTr="5FEC4E5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7"/>
              <w:gridCol w:w="1948"/>
              <w:gridCol w:w="1952"/>
              <w:gridCol w:w="1590"/>
              <w:gridCol w:w="7"/>
            </w:tblGrid>
            <w:tr w:rsidR="00C70F1B" w:rsidRPr="003255B5" w14:paraId="30C2F8E8" w14:textId="77777777" w:rsidTr="2CB416E5">
              <w:trPr>
                <w:trHeight w:val="749"/>
              </w:trPr>
              <w:tc>
                <w:tcPr>
                  <w:tcW w:w="33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C2F9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C2F9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C2F9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C2F9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C2F9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C2F9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C2F93" w14:paraId="2B15C487" w14:textId="77777777" w:rsidTr="2CB416E5">
              <w:trPr>
                <w:trHeight w:val="260"/>
              </w:trPr>
              <w:tc>
                <w:tcPr>
                  <w:tcW w:w="3337" w:type="dxa"/>
                  <w:vMerge/>
                </w:tcPr>
                <w:p w14:paraId="42D3BC1D" w14:textId="77777777" w:rsidR="00C70F1B" w:rsidRPr="00DC2F93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DC2F9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C2F9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DC2F9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C2F9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7" w:type="dxa"/>
                  <w:gridSpan w:val="2"/>
                  <w:vMerge/>
                </w:tcPr>
                <w:p w14:paraId="21FE126E" w14:textId="77777777" w:rsidR="00C70F1B" w:rsidRPr="00DC2F93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B19B9" w:rsidRPr="00131DCD" w14:paraId="1228D87D" w14:textId="77777777" w:rsidTr="2CB416E5">
              <w:trPr>
                <w:gridAfter w:val="1"/>
                <w:wAfter w:w="7" w:type="dxa"/>
                <w:trHeight w:val="489"/>
              </w:trPr>
              <w:tc>
                <w:tcPr>
                  <w:tcW w:w="3337" w:type="dxa"/>
                  <w:vAlign w:val="center"/>
                </w:tcPr>
                <w:p w14:paraId="406288B1" w14:textId="6D231792" w:rsidR="00DB19B9" w:rsidRPr="008503D8" w:rsidRDefault="00FE6286" w:rsidP="008503D8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503D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Престанак употребе печата на обрасцу захтева</w:t>
                  </w:r>
                </w:p>
              </w:tc>
              <w:tc>
                <w:tcPr>
                  <w:tcW w:w="1948" w:type="dxa"/>
                </w:tcPr>
                <w:p w14:paraId="1282FB1A" w14:textId="77777777" w:rsidR="00E77289" w:rsidRPr="00131DCD" w:rsidRDefault="00E77289" w:rsidP="00754BF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32D90DC8" w14:textId="4281E58B" w:rsidR="00B20E6D" w:rsidRPr="00131DCD" w:rsidRDefault="00B20E6D" w:rsidP="00754BF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0C4FD932" w14:textId="6E4C0284" w:rsidR="00DB19B9" w:rsidRPr="00131DCD" w:rsidRDefault="00B20E6D" w:rsidP="00754BF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31DC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14:paraId="62EF3B07" w14:textId="77777777" w:rsidR="002C061F" w:rsidRPr="00131DCD" w:rsidRDefault="002C061F" w:rsidP="00754BF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0EB867E5" w14:textId="77777777" w:rsidR="002C061F" w:rsidRPr="00131DCD" w:rsidRDefault="002C061F" w:rsidP="00754BF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1B107F45" w14:textId="28BF0079" w:rsidR="00DB19B9" w:rsidRPr="00131DCD" w:rsidRDefault="00DB19B9" w:rsidP="00754BF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4BF2735E" w14:textId="01D53A33" w:rsidR="002C061F" w:rsidRPr="00131DCD" w:rsidRDefault="002C061F" w:rsidP="00754BF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90" w:type="dxa"/>
                </w:tcPr>
                <w:p w14:paraId="07A817BB" w14:textId="77777777" w:rsidR="00B20E6D" w:rsidRPr="00131DCD" w:rsidRDefault="00B20E6D" w:rsidP="00754BF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56A32198" w14:textId="77777777" w:rsidR="00B20E6D" w:rsidRPr="00131DCD" w:rsidRDefault="00B20E6D" w:rsidP="00754BF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1F22B93B" w14:textId="5CEFFE84" w:rsidR="00DB19B9" w:rsidRPr="00131DCD" w:rsidRDefault="004F677A" w:rsidP="00754BF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31DC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1</w:t>
                  </w:r>
                  <w:r w:rsidR="00B20E6D" w:rsidRPr="00131DC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.</w:t>
                  </w:r>
                </w:p>
              </w:tc>
            </w:tr>
            <w:tr w:rsidR="00CA1CE9" w:rsidRPr="00DC2F93" w14:paraId="357C32E1" w14:textId="77777777" w:rsidTr="2CB416E5">
              <w:trPr>
                <w:trHeight w:val="489"/>
              </w:trPr>
              <w:tc>
                <w:tcPr>
                  <w:tcW w:w="3337" w:type="dxa"/>
                  <w:vAlign w:val="center"/>
                </w:tcPr>
                <w:p w14:paraId="58B53124" w14:textId="5DC3500E" w:rsidR="00CA1CE9" w:rsidRPr="008503D8" w:rsidRDefault="00FE6286" w:rsidP="008503D8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503D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948" w:type="dxa"/>
                </w:tcPr>
                <w:p w14:paraId="15ABC805" w14:textId="77777777" w:rsidR="00DC2F93" w:rsidRPr="00131DCD" w:rsidRDefault="00DC2F93" w:rsidP="00754BF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3A2B191B" w14:textId="10D60FB0" w:rsidR="00E77289" w:rsidRPr="00131DCD" w:rsidRDefault="0044514B" w:rsidP="00754BF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31DC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14:paraId="2FD79002" w14:textId="77777777" w:rsidR="00DC2F93" w:rsidRPr="00131DCD" w:rsidRDefault="00DC2F93" w:rsidP="00754BF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  <w:p w14:paraId="7BBC5B97" w14:textId="77777777" w:rsidR="00DC2F93" w:rsidRPr="00131DCD" w:rsidRDefault="00DC2F93" w:rsidP="00754BF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  <w:p w14:paraId="226EF149" w14:textId="7F24818A" w:rsidR="00CA1CE9" w:rsidRPr="00131DCD" w:rsidRDefault="00CA1CE9" w:rsidP="00754BF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97" w:type="dxa"/>
                  <w:gridSpan w:val="2"/>
                </w:tcPr>
                <w:p w14:paraId="34AEC3C3" w14:textId="77777777" w:rsidR="00DC2F93" w:rsidRPr="00131DCD" w:rsidRDefault="00DC2F93" w:rsidP="00754BF2">
                  <w:pPr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  <w:p w14:paraId="2F98D839" w14:textId="2E929BC4" w:rsidR="00DC2F93" w:rsidRPr="00131DCD" w:rsidRDefault="004F677A" w:rsidP="00754BF2">
                  <w:pPr>
                    <w:tabs>
                      <w:tab w:val="center" w:pos="1050"/>
                    </w:tabs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31DCD"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  <w:t>1</w:t>
                  </w:r>
                  <w:r w:rsidR="0044514B" w:rsidRPr="00131DCD"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  <w:t>.</w:t>
                  </w:r>
                </w:p>
                <w:p w14:paraId="152B3425" w14:textId="041298E9" w:rsidR="00CA1CE9" w:rsidRPr="00131DCD" w:rsidRDefault="00CA1CE9" w:rsidP="00754BF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2CB416E5" w14:paraId="56A26418" w14:textId="77777777" w:rsidTr="2CB416E5">
              <w:trPr>
                <w:trHeight w:val="489"/>
              </w:trPr>
              <w:tc>
                <w:tcPr>
                  <w:tcW w:w="3337" w:type="dxa"/>
                  <w:vAlign w:val="center"/>
                </w:tcPr>
                <w:p w14:paraId="4AA165A6" w14:textId="7A4133F7" w:rsidR="2CB416E5" w:rsidRDefault="2CB416E5" w:rsidP="2CB416E5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2CB416E5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97" w:type="dxa"/>
                  <w:gridSpan w:val="4"/>
                </w:tcPr>
                <w:p w14:paraId="2B91CA85" w14:textId="07BC661D" w:rsidR="2CB416E5" w:rsidRDefault="2CB416E5" w:rsidP="2CB416E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23BD9" w:rsidRPr="00DC2F93" w14:paraId="2248891D" w14:textId="77777777" w:rsidTr="2CB416E5">
              <w:trPr>
                <w:trHeight w:val="489"/>
              </w:trPr>
              <w:tc>
                <w:tcPr>
                  <w:tcW w:w="3337" w:type="dxa"/>
                  <w:vAlign w:val="center"/>
                </w:tcPr>
                <w:p w14:paraId="5DC7BB06" w14:textId="1813F2F4" w:rsidR="00A23BD9" w:rsidRPr="008503D8" w:rsidRDefault="2CB416E5" w:rsidP="2CB416E5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2CB416E5"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  <w:t>Прихватање доказа о електронској уплати накнаде без печата банке</w:t>
                  </w:r>
                </w:p>
              </w:tc>
              <w:tc>
                <w:tcPr>
                  <w:tcW w:w="1948" w:type="dxa"/>
                </w:tcPr>
                <w:p w14:paraId="525ECA84" w14:textId="77777777" w:rsidR="00A23BD9" w:rsidRPr="00131DCD" w:rsidRDefault="00A23BD9" w:rsidP="00754BF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3AC8CDCE" w14:textId="77777777" w:rsidR="00DC2F93" w:rsidRPr="00131DCD" w:rsidRDefault="00DC2F93" w:rsidP="00754BF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  <w:p w14:paraId="198C1507" w14:textId="052E1E83" w:rsidR="00A23BD9" w:rsidRPr="00131DCD" w:rsidRDefault="00A23BD9" w:rsidP="00754BF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31DC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7" w:type="dxa"/>
                  <w:gridSpan w:val="2"/>
                </w:tcPr>
                <w:p w14:paraId="2E0F76AD" w14:textId="77777777" w:rsidR="00A23BD9" w:rsidRPr="00131DCD" w:rsidRDefault="00A23BD9" w:rsidP="00754BF2">
                  <w:pPr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6E28D8C5" w14:textId="10226ADC" w:rsidR="00CA1CE9" w:rsidRPr="00DC2F93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C2F93" w14:paraId="0B4EEBB8" w14:textId="77777777" w:rsidTr="5FEC4E5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C2F93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C2F93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3255B5" w14:paraId="4C67EFD3" w14:textId="77777777" w:rsidTr="5FEC4E5B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7DE3E7F" w14:textId="5BBB7967" w:rsidR="00DC2F93" w:rsidRDefault="00AE5137" w:rsidP="00DC2F93">
            <w:pPr>
              <w:ind w:left="-29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DC2F9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3.1.</w:t>
            </w:r>
            <w:r w:rsidR="00DC2F93" w:rsidRPr="00DC2F9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Престанак употребе печата на обрасцу захтева</w:t>
            </w:r>
          </w:p>
          <w:p w14:paraId="0A14FB3C" w14:textId="77777777" w:rsidR="005E065F" w:rsidRDefault="005E065F" w:rsidP="005E065F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7D653BD1" w14:textId="3212ACF3" w:rsidR="00AE5137" w:rsidRDefault="00BF5F5E" w:rsidP="005E065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Препорука је и</w:t>
            </w:r>
            <w:r w:rsidR="00AE5137" w:rsidRPr="00DC2F9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змена </w:t>
            </w:r>
            <w:r w:rsidR="00AE5137" w:rsidRPr="00DC2F93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Правилника о ближим условима, критеријумима и поступку за добијање права на коришћење еколошког знака, елементима, изгледу и начину употребе еколошког знака за производе и услуге: 49/2016 којим је објављен образац за покретање предметног поступка у делу места за печат.</w:t>
            </w:r>
          </w:p>
          <w:p w14:paraId="00A6DFDF" w14:textId="77777777" w:rsidR="00DC2F93" w:rsidRDefault="00DC2F93" w:rsidP="00DC2F93">
            <w:pPr>
              <w:ind w:left="-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1F6F4CD" w14:textId="09973487" w:rsidR="005E065F" w:rsidRPr="002607C5" w:rsidRDefault="00953793" w:rsidP="00DC2F93">
            <w:pPr>
              <w:ind w:left="-29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2607C5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  <w:r w:rsidRPr="002607C5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  <w:r w:rsidR="005E065F" w:rsidRPr="002607C5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За примену ове препоруке, потребна је измена </w:t>
            </w:r>
            <w:r w:rsidR="005E065F" w:rsidRPr="002607C5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Правилника о ближим условима, критеријумима и поступку за добијање права на коришћење еколошког знака, елементима, изгледу и начину употребе еколошког знака за производе и услуге: </w:t>
            </w:r>
            <w:r w:rsidR="002607C5" w:rsidRPr="002607C5">
              <w:rPr>
                <w:rFonts w:ascii="Times New Roman" w:hAnsi="Times New Roman"/>
                <w:b/>
                <w:i/>
                <w:sz w:val="22"/>
                <w:szCs w:val="22"/>
              </w:rPr>
              <w:t>(</w:t>
            </w:r>
            <w:r w:rsidR="008A2D35" w:rsidRPr="008A2D35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Службени гласник </w:t>
            </w:r>
            <w:r w:rsidR="002607C5" w:rsidRPr="002607C5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РС, бр. 49/2016</w:t>
            </w:r>
            <w:r w:rsidR="002607C5" w:rsidRPr="002607C5">
              <w:rPr>
                <w:rFonts w:ascii="Times New Roman" w:hAnsi="Times New Roman"/>
                <w:b/>
                <w:i/>
                <w:sz w:val="22"/>
                <w:szCs w:val="22"/>
              </w:rPr>
              <w:t>)</w:t>
            </w:r>
            <w:r w:rsidR="005E065F" w:rsidRPr="002607C5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.</w:t>
            </w:r>
          </w:p>
          <w:p w14:paraId="0EA49A2D" w14:textId="77777777" w:rsidR="005E065F" w:rsidRDefault="005E065F" w:rsidP="00DC2F93">
            <w:pPr>
              <w:ind w:left="-29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5853596A" w14:textId="109A0B0E" w:rsidR="00DC2F93" w:rsidRPr="00DC2F93" w:rsidRDefault="00AE5137" w:rsidP="00DC2F93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DC2F9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3.2.</w:t>
            </w:r>
            <w:r w:rsidR="00DC2F93" w:rsidRPr="00DC2F9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Прибављање података по службеној дужности и документација која се прибавља од странке</w:t>
            </w:r>
          </w:p>
          <w:p w14:paraId="38E58606" w14:textId="6A0DC94E" w:rsidR="00DC2F93" w:rsidRDefault="00DC2F93" w:rsidP="00DC2F9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59E9E24" w14:textId="621E2104" w:rsidR="00CA1CE9" w:rsidRDefault="00AE5137" w:rsidP="00DC2F9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2F9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Прибављање </w:t>
            </w:r>
            <w:r w:rsidRPr="003255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“Извод</w:t>
            </w:r>
            <w:r w:rsidRPr="00DC2F9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Pr="003255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из регистра АПР-а о регистрацији привредног друштава”</w:t>
            </w:r>
            <w:r w:rsidRPr="00DC2F9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 службеној дужности увидом у јавно доступне податке на интернет страници Агенције за привредне регистре, све у складу са чл. 9. и 103. Закона о општем управном поступку.</w:t>
            </w:r>
          </w:p>
          <w:p w14:paraId="6381569E" w14:textId="77777777" w:rsidR="00732FCE" w:rsidRDefault="00732FCE" w:rsidP="00DC2F9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559E123" w14:textId="39650219" w:rsidR="002607C5" w:rsidRPr="002607C5" w:rsidRDefault="002607C5" w:rsidP="002607C5">
            <w:pPr>
              <w:ind w:left="-29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2607C5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  <w:r w:rsidRPr="002607C5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ab/>
              <w:t xml:space="preserve">За примену ове препоруке, потребна је измена </w:t>
            </w:r>
            <w:r w:rsidRPr="002607C5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Правилника о ближим условима, критеријумима и поступку за добијање права на коришћење еколошког знака, елементима, изгледу и начину употребе еколошког знака за производе и услуге: </w:t>
            </w:r>
            <w:r w:rsidRPr="002607C5">
              <w:rPr>
                <w:rFonts w:ascii="Times New Roman" w:hAnsi="Times New Roman"/>
                <w:b/>
                <w:i/>
                <w:sz w:val="22"/>
                <w:szCs w:val="22"/>
              </w:rPr>
              <w:t>(</w:t>
            </w:r>
            <w:r w:rsidR="008A2D35" w:rsidRPr="008A2D35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Службени гласник </w:t>
            </w:r>
            <w:r w:rsidRPr="002607C5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РС, бр. 49/2016</w:t>
            </w:r>
            <w:r w:rsidRPr="002607C5">
              <w:rPr>
                <w:rFonts w:ascii="Times New Roman" w:hAnsi="Times New Roman"/>
                <w:b/>
                <w:i/>
                <w:sz w:val="22"/>
                <w:szCs w:val="22"/>
              </w:rPr>
              <w:t>)</w:t>
            </w:r>
            <w:r w:rsidRPr="002607C5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.</w:t>
            </w:r>
          </w:p>
          <w:p w14:paraId="4C3FF199" w14:textId="77777777" w:rsidR="00DC2F93" w:rsidRPr="00DC2F93" w:rsidRDefault="00DC2F93" w:rsidP="00DC2F9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0F5268B" w14:textId="78BE77F5" w:rsidR="00DC2F93" w:rsidRDefault="00A23BD9" w:rsidP="00DC2F93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DC2F9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3.3. </w:t>
            </w:r>
            <w:r w:rsidR="00DC2F93" w:rsidRPr="00DC2F9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Прихватање доказа о електронској уплати накнаде без печата банке </w:t>
            </w:r>
          </w:p>
          <w:p w14:paraId="4C244E80" w14:textId="77777777" w:rsidR="00DC2F93" w:rsidRPr="00DC2F93" w:rsidRDefault="00DC2F93" w:rsidP="00DC2F93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56627DF4" w14:textId="2F4036BE" w:rsidR="00732FCE" w:rsidRDefault="00732FCE" w:rsidP="00732FC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B74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Препорука је да се као доказ о уплати републичке административне таксе</w:t>
            </w:r>
            <w:r w:rsidR="00C453F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доказ о уплати накнаде</w:t>
            </w:r>
            <w:r w:rsidRPr="00AB74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прихвати извод са пословног рачуна странке без печата банке</w:t>
            </w:r>
            <w:r w:rsidR="00C453F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други докази о уплати</w:t>
            </w:r>
            <w:r w:rsidRPr="00AB74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</w:t>
            </w:r>
          </w:p>
          <w:p w14:paraId="1B86E8E9" w14:textId="77777777" w:rsidR="00732FCE" w:rsidRDefault="00732FCE" w:rsidP="00732FC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EAB4AF8" w14:textId="5BCFB264" w:rsidR="00732FCE" w:rsidRDefault="00953793" w:rsidP="5FEC4E5B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ab/>
            </w:r>
            <w:r w:rsidR="00732FCE" w:rsidRPr="5FEC4E5B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</w:tc>
      </w:tr>
      <w:tr w:rsidR="00CA1CE9" w:rsidRPr="003255B5" w14:paraId="52C990E5" w14:textId="77777777" w:rsidTr="5FEC4E5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C2F93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C2F93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3255B5" w14:paraId="077D3505" w14:textId="77777777" w:rsidTr="5FEC4E5B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2EF5CCC" w14:textId="77777777" w:rsidR="006468AF" w:rsidRDefault="006468AF" w:rsidP="006468AF">
            <w:pPr>
              <w:ind w:left="-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9E54884" w14:textId="0D7E8BEF" w:rsidR="008F5181" w:rsidRDefault="008F5181" w:rsidP="008F5181">
            <w:pPr>
              <w:ind w:left="-29"/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3C1BB1BE" w14:textId="77777777" w:rsidR="008F5181" w:rsidRDefault="008F5181" w:rsidP="00F034D9">
            <w:pPr>
              <w:ind w:left="-29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5D8E5F79" w14:textId="2AFEBEAA" w:rsidR="00F034D9" w:rsidRPr="00C56626" w:rsidRDefault="00F034D9" w:rsidP="00F034D9">
            <w:pPr>
              <w:ind w:left="-29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5662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</w:t>
            </w:r>
          </w:p>
          <w:p w14:paraId="39F17CB3" w14:textId="790212B6" w:rsidR="00F034D9" w:rsidRPr="002C4167" w:rsidRDefault="00F034D9" w:rsidP="00F034D9">
            <w:pPr>
              <w:pStyle w:val="NormalWeb"/>
              <w:spacing w:before="0" w:beforeAutospacing="0" w:after="120" w:afterAutospacing="0"/>
              <w:jc w:val="center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C56626">
              <w:rPr>
                <w:b/>
                <w:sz w:val="22"/>
                <w:szCs w:val="22"/>
                <w:lang w:val="sr-Cyrl-RS"/>
              </w:rPr>
              <w:t>О ИЗМЕНИ</w:t>
            </w:r>
            <w:r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C56626">
              <w:rPr>
                <w:b/>
                <w:sz w:val="22"/>
                <w:szCs w:val="22"/>
                <w:lang w:val="sr-Cyrl-RS"/>
              </w:rPr>
              <w:t xml:space="preserve">ПРАВИЛНИКА </w:t>
            </w:r>
            <w:r w:rsidRPr="00F034D9">
              <w:rPr>
                <w:b/>
                <w:sz w:val="22"/>
                <w:szCs w:val="22"/>
                <w:lang w:val="sr-Cyrl-RS"/>
              </w:rPr>
              <w:t>О БЛИЖИМ УСЛОВИМА, КРИТЕРИЈУМИМА И ПОСТУПКУ ЗА ДОБИЈАЊЕ ПРАВА НА КОРИШЋЕЊЕ ЕКОЛОШКОГ ЗНАКА, ЕЛЕМЕНТИМА, ИЗГЛЕДУ И НАЧИНУ УПОТРЕБЕ ЕКОЛОШКОГ ЗНАКА ЗА ПРОИЗВОДЕ И УСЛУГЕ</w:t>
            </w:r>
          </w:p>
          <w:p w14:paraId="0049AD68" w14:textId="77777777" w:rsidR="00F034D9" w:rsidRDefault="00F034D9" w:rsidP="00F034D9">
            <w:pPr>
              <w:spacing w:before="120" w:after="120"/>
              <w:ind w:left="-29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258E221C" w14:textId="77E69DA0" w:rsidR="00F034D9" w:rsidRDefault="00F034D9" w:rsidP="00F034D9">
            <w:pPr>
              <w:pStyle w:val="NormalWeb"/>
              <w:spacing w:before="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</w:t>
            </w:r>
            <w:r w:rsidRPr="00B64FB3">
              <w:rPr>
                <w:sz w:val="22"/>
                <w:szCs w:val="22"/>
                <w:lang w:val="sr-Cyrl-RS"/>
              </w:rPr>
              <w:t xml:space="preserve"> Правилник</w:t>
            </w:r>
            <w:r>
              <w:rPr>
                <w:sz w:val="22"/>
                <w:szCs w:val="22"/>
                <w:lang w:val="sr-Cyrl-RS"/>
              </w:rPr>
              <w:t>у</w:t>
            </w:r>
            <w:r w:rsidRPr="00B64FB3">
              <w:rPr>
                <w:sz w:val="22"/>
                <w:szCs w:val="22"/>
                <w:lang w:val="sr-Cyrl-RS"/>
              </w:rPr>
              <w:t xml:space="preserve"> </w:t>
            </w:r>
            <w:r w:rsidRPr="00F96A11">
              <w:rPr>
                <w:sz w:val="22"/>
                <w:szCs w:val="22"/>
                <w:lang w:val="sr-Cyrl-RS"/>
              </w:rPr>
              <w:t xml:space="preserve">о </w:t>
            </w:r>
            <w:r w:rsidRPr="00F034D9">
              <w:rPr>
                <w:sz w:val="22"/>
                <w:szCs w:val="22"/>
                <w:lang w:val="sr-Cyrl-RS"/>
              </w:rPr>
              <w:t>ближим условима, критеријумима и поступку за добијање права на коришћење еколошког знака, елементима, изгледу и начину употребе еколошког знака за производе и услуге</w:t>
            </w:r>
            <w:r>
              <w:rPr>
                <w:sz w:val="22"/>
                <w:szCs w:val="22"/>
                <w:lang w:val="sr-Cyrl-RS"/>
              </w:rPr>
              <w:t xml:space="preserve"> (Службени гласник РС</w:t>
            </w:r>
            <w:r w:rsidRPr="00F034D9">
              <w:rPr>
                <w:sz w:val="22"/>
                <w:szCs w:val="22"/>
                <w:lang w:val="sr-Cyrl-RS"/>
              </w:rPr>
              <w:t xml:space="preserve"> 49/2016-3</w:t>
            </w:r>
            <w:r>
              <w:rPr>
                <w:sz w:val="22"/>
                <w:szCs w:val="22"/>
                <w:lang w:val="sr-Cyrl-RS"/>
              </w:rPr>
              <w:t>):</w:t>
            </w:r>
            <w:r w:rsidRPr="00C56626">
              <w:rPr>
                <w:sz w:val="22"/>
                <w:szCs w:val="22"/>
                <w:lang w:val="sr-Cyrl-RS"/>
              </w:rPr>
              <w:t xml:space="preserve"> </w:t>
            </w:r>
          </w:p>
          <w:p w14:paraId="10CADA9D" w14:textId="5FA27689" w:rsidR="3B71B3CB" w:rsidRDefault="3B71B3CB" w:rsidP="3B71B3CB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3B71B3CB">
              <w:rPr>
                <w:rFonts w:ascii="Times New Roman" w:hAnsi="Times New Roman"/>
                <w:sz w:val="22"/>
                <w:szCs w:val="22"/>
                <w:lang w:val="sr-Cyrl-RS"/>
              </w:rPr>
              <w:t>„У члану 7.  став 3. мења се и гласи:</w:t>
            </w:r>
          </w:p>
          <w:p w14:paraId="7BF220BF" w14:textId="16ACDD3E" w:rsidR="3B71B3CB" w:rsidRDefault="3B71B3CB" w:rsidP="3B71B3CB">
            <w:pPr>
              <w:spacing w:before="120" w:after="120"/>
              <w:ind w:left="-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3B71B3C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“ </w:t>
            </w:r>
            <w:r w:rsidRPr="3B71B3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захтев се подносе докази о испуњености услова, осим  доказа/података из тачке 1) који орган прибавља по службеној дужности,  и то:”</w:t>
            </w:r>
          </w:p>
          <w:p w14:paraId="7665C54C" w14:textId="3E0F7F1F" w:rsidR="00F034D9" w:rsidRDefault="00F034D9" w:rsidP="00F034D9">
            <w:pPr>
              <w:spacing w:before="120" w:after="120"/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Члан </w:t>
            </w:r>
            <w:r w:rsidR="00FC1C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9763933" w14:textId="394EE71A" w:rsidR="00092F96" w:rsidRPr="00DC2F93" w:rsidRDefault="00F034D9" w:rsidP="00F034D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правилник ступа на снагу осмог дана  од дана објављивања у „Службеном гласнику Републике Србије“.</w:t>
            </w:r>
          </w:p>
        </w:tc>
      </w:tr>
      <w:tr w:rsidR="00CA1CE9" w:rsidRPr="003255B5" w14:paraId="0489C5FC" w14:textId="77777777" w:rsidTr="5FEC4E5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C2F93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C2F93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3255B5" w14:paraId="3C4DDA6A" w14:textId="77777777" w:rsidTr="5FEC4E5B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DAF5DF9" w14:textId="77777777" w:rsidR="00131DCD" w:rsidRDefault="00131DCD" w:rsidP="00FC1CC8">
            <w:pPr>
              <w:ind w:left="-29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2D22C88" w14:textId="709A32BC" w:rsidR="00FC1CC8" w:rsidRPr="0031240A" w:rsidRDefault="00FC1CC8" w:rsidP="00FC1CC8">
            <w:pPr>
              <w:ind w:left="-29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1240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ПРЕГЛЕД ОДРЕДБИ</w:t>
            </w:r>
            <w:r w:rsidRPr="00FC1CC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ПРАВИЛНИКА О БЛИЖИМ УСЛОВИМА, КРИТЕРИЈУМИМА И ПОСТУПКУ ЗА ДОБИЈАЊЕ ПРАВА НА КОРИШЋЕЊЕ ЕКОЛОШКОГ ЗНАКА, ЕЛЕМЕНТИМА, ИЗГЛЕДУ И НАЧИНУ УПОТРЕБЕ ЕКОЛОШКОГ ЗНАКА ЗА ПРОИЗВОДЕ И УСЛУГЕ</w:t>
            </w:r>
            <w:r w:rsidR="006468A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КОЈЕ СЕ МЕЊАЈУ</w:t>
            </w:r>
          </w:p>
          <w:p w14:paraId="0460EE70" w14:textId="77777777" w:rsidR="00CA1CE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F30F2B7" w14:textId="77777777" w:rsidR="00FC1CC8" w:rsidRPr="00FC1CC8" w:rsidRDefault="00FC1CC8" w:rsidP="00FC1CC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C1C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7</w:t>
            </w:r>
          </w:p>
          <w:p w14:paraId="03DC21DD" w14:textId="77777777" w:rsidR="00FC1CC8" w:rsidRPr="00FC1CC8" w:rsidRDefault="00FC1CC8" w:rsidP="00FC1CC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C1C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за добијање права на коришћење Еко знака покреће се подношењем захтева за добијање Еко знака министарству надлежном за послове заштите животне средине, у складу са законом којим се уређује заштита животне средине, на обрасцу датом у Прилогу 1 - Захтев за доделу Еко знака, који је одштампан уз овај правилник и чини његов саставни део.</w:t>
            </w:r>
          </w:p>
          <w:p w14:paraId="2F0BC46C" w14:textId="77777777" w:rsidR="00FC1CC8" w:rsidRPr="00FC1CC8" w:rsidRDefault="00FC1CC8" w:rsidP="00FC1CC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C1C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из става 1. овог члана садржи:</w:t>
            </w:r>
          </w:p>
          <w:p w14:paraId="717B325B" w14:textId="77777777" w:rsidR="00FC1CC8" w:rsidRPr="00FC1CC8" w:rsidRDefault="00FC1CC8" w:rsidP="00FC1CC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C1C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1) податке о подносиоцу захтева;</w:t>
            </w:r>
          </w:p>
          <w:p w14:paraId="1E47C612" w14:textId="77777777" w:rsidR="00FC1CC8" w:rsidRPr="00FC1CC8" w:rsidRDefault="00FC1CC8" w:rsidP="00FC1CC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C1C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2) податке о производу за који се тражи додела Еко знака са подацима који упућују на испуњеност услова за доделу права на коришћење Еко знака.</w:t>
            </w:r>
          </w:p>
          <w:p w14:paraId="42866181" w14:textId="5642DEAB" w:rsidR="00FC1CC8" w:rsidRPr="00FC1CC8" w:rsidRDefault="3B71B3CB" w:rsidP="3B71B3CB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3B71B3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захтев се подносе докази о испуњености услова, ОСИМ  ДОКАЗА/ПОДАТАКА ИЗ ТАЧКЕ 1) КОЈИ ОРГАН ПРИБАВЉА ПО СЛУЖБЕНОЈ ДУЖНОСТИ, и то:</w:t>
            </w:r>
          </w:p>
          <w:p w14:paraId="385757D9" w14:textId="77777777" w:rsidR="00FC1CC8" w:rsidRPr="00FC1CC8" w:rsidRDefault="3B71B3CB" w:rsidP="3B71B3CB">
            <w:pPr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3B71B3C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1) извод из одговарајућег регистра;</w:t>
            </w:r>
          </w:p>
          <w:p w14:paraId="09D1EC56" w14:textId="77777777" w:rsidR="00FC1CC8" w:rsidRPr="00FC1CC8" w:rsidRDefault="00FC1CC8" w:rsidP="00FC1CC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C1C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2) опис производа и опис постигнутог унапређења у односу на сличне производе других произвођача или на његове раније производе исте врсте;</w:t>
            </w:r>
          </w:p>
          <w:p w14:paraId="5564642D" w14:textId="77777777" w:rsidR="00FC1CC8" w:rsidRPr="00FC1CC8" w:rsidRDefault="00FC1CC8" w:rsidP="00FC1CC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C1C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3) техничка спецификација;</w:t>
            </w:r>
          </w:p>
          <w:p w14:paraId="0763F063" w14:textId="77777777" w:rsidR="00FC1CC8" w:rsidRPr="00FC1CC8" w:rsidRDefault="00FC1CC8" w:rsidP="00FC1CC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C1C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4) извештај о резултатима лабораторијских испитивања од стране акредитоване лабораторије;</w:t>
            </w:r>
          </w:p>
          <w:p w14:paraId="2009B7DF" w14:textId="77777777" w:rsidR="00FC1CC8" w:rsidRPr="00FC1CC8" w:rsidRDefault="00FC1CC8" w:rsidP="00FC1CC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C1C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5) извештај о резултатима мерења од стране акредитоване контролне организације;</w:t>
            </w:r>
          </w:p>
          <w:p w14:paraId="2FDF9871" w14:textId="77777777" w:rsidR="00FC1CC8" w:rsidRPr="00FC1CC8" w:rsidRDefault="00FC1CC8" w:rsidP="00FC1CC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C1C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6) документ о резултатима испитивања, мерења и анализа, који потврђује испуњеност прописаних критеријума;</w:t>
            </w:r>
          </w:p>
          <w:p w14:paraId="2FE7E3E5" w14:textId="77777777" w:rsidR="00FC1CC8" w:rsidRPr="00FC1CC8" w:rsidRDefault="00FC1CC8" w:rsidP="00FC1CC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C1C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7) делови пројектне документације који могу да послуже као доказ;</w:t>
            </w:r>
          </w:p>
          <w:p w14:paraId="6E1E8E8C" w14:textId="77777777" w:rsidR="00FC1CC8" w:rsidRPr="00FC1CC8" w:rsidRDefault="00FC1CC8" w:rsidP="00FC1CC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C1C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8) друга документација која може бити од значаја за утврђивање испуњености прописаних услова (према СРПС ИСО 9001, СРПС ИСО 14001, ЕМАС, СРПС ИСО 50001, ЦЕ знак и сл.);</w:t>
            </w:r>
          </w:p>
          <w:p w14:paraId="254F8034" w14:textId="77777777" w:rsidR="00FC1CC8" w:rsidRPr="00FC1CC8" w:rsidRDefault="00FC1CC8" w:rsidP="00FC1CC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C1C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9) доказ о уплаћеним таксама.</w:t>
            </w:r>
          </w:p>
          <w:p w14:paraId="1506ADFF" w14:textId="75F621BB" w:rsidR="00FC1CC8" w:rsidRPr="00DC2F93" w:rsidRDefault="00FC1CC8" w:rsidP="00FC1CC8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C1C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Акт о додели права на коришћење Еко знака доноси министарство надлежно за послове заштите животне средине у складу са законом којим се уређује заштита животне средине.</w:t>
            </w:r>
          </w:p>
        </w:tc>
      </w:tr>
      <w:tr w:rsidR="00CA1CE9" w:rsidRPr="00DC2F93" w14:paraId="429F5407" w14:textId="77777777" w:rsidTr="5FEC4E5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C2F93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C2F93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DC2F93" w14:paraId="72BD2239" w14:textId="77777777" w:rsidTr="5FEC4E5B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4466487" w14:textId="77777777" w:rsidR="008F5181" w:rsidRPr="008F5181" w:rsidRDefault="008F5181" w:rsidP="008F5181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Директни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трошкови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спровођења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овог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поступка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привредне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субјекте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годишњем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нивоу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369.400,05 РСД.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Усвајање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примена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препорука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ће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донети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привредним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субјектима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годишње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директне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13.469,04 РСД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или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110,75 ЕУР.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Ове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3,65%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укупних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директних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трошкова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привредних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субјеката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поступку</w:t>
            </w:r>
            <w:proofErr w:type="spellEnd"/>
            <w:r w:rsidRPr="008F5181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0B8B69C9" w14:textId="77777777" w:rsidR="00CA1CE9" w:rsidRPr="008F5181" w:rsidRDefault="00CA1CE9" w:rsidP="7F2A17EA">
            <w:pPr>
              <w:shd w:val="clear" w:color="auto" w:fill="FFFFFF" w:themeFill="background1"/>
              <w:rPr>
                <w:rFonts w:ascii="Times New Roman" w:eastAsia="Times New Roman" w:hAnsi="Times New Roman"/>
                <w:color w:val="222222"/>
                <w:sz w:val="22"/>
                <w:szCs w:val="22"/>
              </w:rPr>
            </w:pPr>
          </w:p>
          <w:p w14:paraId="331CCBA4" w14:textId="38A0580F" w:rsidR="008F5181" w:rsidRPr="008F5181" w:rsidRDefault="5FEC4E5B" w:rsidP="5FEC4E5B">
            <w:pPr>
              <w:shd w:val="clear" w:color="auto" w:fill="FFFFFF" w:themeFill="background1"/>
              <w:rPr>
                <w:rFonts w:ascii="Times New Roman" w:eastAsia="Times New Roman" w:hAnsi="Times New Roman"/>
                <w:color w:val="222222"/>
                <w:sz w:val="22"/>
                <w:szCs w:val="22"/>
              </w:rPr>
            </w:pPr>
            <w:r w:rsidRPr="5FEC4E5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Препоруке ће </w:t>
            </w:r>
            <w:proofErr w:type="spellStart"/>
            <w:r w:rsidRPr="5FEC4E5B">
              <w:rPr>
                <w:rFonts w:ascii="Times New Roman" w:hAnsi="Times New Roman"/>
                <w:sz w:val="22"/>
                <w:szCs w:val="22"/>
              </w:rPr>
              <w:t>допринети</w:t>
            </w:r>
            <w:proofErr w:type="spellEnd"/>
            <w:r w:rsidRPr="5FEC4E5B">
              <w:rPr>
                <w:rFonts w:ascii="Times New Roman" w:hAnsi="Times New Roman"/>
                <w:sz w:val="22"/>
                <w:szCs w:val="22"/>
              </w:rPr>
              <w:t xml:space="preserve"> поједностављењу </w:t>
            </w:r>
            <w:proofErr w:type="spellStart"/>
            <w:r w:rsidRPr="5FEC4E5B">
              <w:rPr>
                <w:rFonts w:ascii="Times New Roman" w:hAnsi="Times New Roman"/>
                <w:sz w:val="22"/>
                <w:szCs w:val="22"/>
              </w:rPr>
              <w:t>поступка</w:t>
            </w:r>
            <w:proofErr w:type="spellEnd"/>
            <w:r w:rsidRPr="5FEC4E5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субјекте, смањењу документације.</w:t>
            </w:r>
            <w:r w:rsidRPr="5FEC4E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5FEC4E5B">
              <w:rPr>
                <w:rFonts w:ascii="Times New Roman" w:hAnsi="Times New Roman"/>
                <w:sz w:val="22"/>
                <w:szCs w:val="22"/>
              </w:rPr>
              <w:t>Препорукама</w:t>
            </w:r>
            <w:proofErr w:type="spellEnd"/>
            <w:r w:rsidRPr="5FEC4E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5FEC4E5B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5FEC4E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5FEC4E5B">
              <w:rPr>
                <w:rFonts w:ascii="Times New Roman" w:hAnsi="Times New Roman"/>
                <w:sz w:val="22"/>
                <w:szCs w:val="22"/>
              </w:rPr>
              <w:t>такође</w:t>
            </w:r>
            <w:proofErr w:type="spellEnd"/>
            <w:r w:rsidRPr="5FEC4E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5FEC4E5B">
              <w:rPr>
                <w:rFonts w:ascii="Times New Roman" w:hAnsi="Times New Roman"/>
                <w:sz w:val="22"/>
                <w:szCs w:val="22"/>
              </w:rPr>
              <w:t>утиче</w:t>
            </w:r>
            <w:proofErr w:type="spellEnd"/>
            <w:r w:rsidRPr="5FEC4E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5FEC4E5B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5FEC4E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5FEC4E5B">
              <w:rPr>
                <w:rFonts w:ascii="Times New Roman" w:hAnsi="Times New Roman"/>
                <w:sz w:val="22"/>
                <w:szCs w:val="22"/>
              </w:rPr>
              <w:t>побољшање</w:t>
            </w:r>
            <w:proofErr w:type="spellEnd"/>
            <w:r w:rsidRPr="5FEC4E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5FEC4E5B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5FEC4E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5FEC4E5B">
              <w:rPr>
                <w:rFonts w:ascii="Times New Roman" w:hAnsi="Times New Roman"/>
                <w:sz w:val="22"/>
                <w:szCs w:val="22"/>
              </w:rPr>
              <w:t>амбијента</w:t>
            </w:r>
            <w:proofErr w:type="spellEnd"/>
            <w:r w:rsidRPr="5FEC4E5B">
              <w:rPr>
                <w:rFonts w:ascii="Times New Roman" w:hAnsi="Times New Roman"/>
                <w:sz w:val="22"/>
                <w:szCs w:val="22"/>
                <w:lang w:val="sr-Cyrl-RS"/>
              </w:rPr>
              <w:t>та.</w:t>
            </w:r>
          </w:p>
        </w:tc>
      </w:tr>
    </w:tbl>
    <w:p w14:paraId="5CE5710A" w14:textId="1C5B3A41" w:rsidR="003E3C16" w:rsidRPr="00DC2F93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DC2F93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85D9A4" w14:textId="77777777" w:rsidR="00174A27" w:rsidRDefault="00174A27" w:rsidP="002A202F">
      <w:r>
        <w:separator/>
      </w:r>
    </w:p>
  </w:endnote>
  <w:endnote w:type="continuationSeparator" w:id="0">
    <w:p w14:paraId="3E1ECE77" w14:textId="77777777" w:rsidR="00174A27" w:rsidRDefault="00174A2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AB5C5D0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254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20C00F" w14:textId="77777777" w:rsidR="00174A27" w:rsidRDefault="00174A27" w:rsidP="002A202F">
      <w:r>
        <w:separator/>
      </w:r>
    </w:p>
  </w:footnote>
  <w:footnote w:type="continuationSeparator" w:id="0">
    <w:p w14:paraId="74A52F6A" w14:textId="77777777" w:rsidR="00174A27" w:rsidRDefault="00174A27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0C7814"/>
    <w:multiLevelType w:val="hybridMultilevel"/>
    <w:tmpl w:val="EEB4337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>
    <w:nsid w:val="439C0C45"/>
    <w:multiLevelType w:val="hybridMultilevel"/>
    <w:tmpl w:val="83FCED72"/>
    <w:lvl w:ilvl="0" w:tplc="7C1CA3FC">
      <w:start w:val="134"/>
      <w:numFmt w:val="bullet"/>
      <w:lvlText w:val="-"/>
      <w:lvlJc w:val="left"/>
      <w:pPr>
        <w:ind w:left="33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1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D030CD"/>
    <w:multiLevelType w:val="hybridMultilevel"/>
    <w:tmpl w:val="12DCC6BC"/>
    <w:lvl w:ilvl="0" w:tplc="8BB65D2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767BFC"/>
    <w:multiLevelType w:val="hybridMultilevel"/>
    <w:tmpl w:val="43AED584"/>
    <w:lvl w:ilvl="0" w:tplc="95267FBE">
      <w:start w:val="1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3"/>
  </w:num>
  <w:num w:numId="5">
    <w:abstractNumId w:val="1"/>
  </w:num>
  <w:num w:numId="6">
    <w:abstractNumId w:val="12"/>
  </w:num>
  <w:num w:numId="7">
    <w:abstractNumId w:val="24"/>
  </w:num>
  <w:num w:numId="8">
    <w:abstractNumId w:val="10"/>
  </w:num>
  <w:num w:numId="9">
    <w:abstractNumId w:val="22"/>
  </w:num>
  <w:num w:numId="10">
    <w:abstractNumId w:val="20"/>
  </w:num>
  <w:num w:numId="11">
    <w:abstractNumId w:val="18"/>
  </w:num>
  <w:num w:numId="12">
    <w:abstractNumId w:val="17"/>
  </w:num>
  <w:num w:numId="13">
    <w:abstractNumId w:val="14"/>
  </w:num>
  <w:num w:numId="14">
    <w:abstractNumId w:val="21"/>
  </w:num>
  <w:num w:numId="15">
    <w:abstractNumId w:val="16"/>
  </w:num>
  <w:num w:numId="16">
    <w:abstractNumId w:val="11"/>
  </w:num>
  <w:num w:numId="17">
    <w:abstractNumId w:val="7"/>
  </w:num>
  <w:num w:numId="18">
    <w:abstractNumId w:val="23"/>
  </w:num>
  <w:num w:numId="19">
    <w:abstractNumId w:val="4"/>
  </w:num>
  <w:num w:numId="20">
    <w:abstractNumId w:val="26"/>
  </w:num>
  <w:num w:numId="21">
    <w:abstractNumId w:val="5"/>
  </w:num>
  <w:num w:numId="22">
    <w:abstractNumId w:val="2"/>
  </w:num>
  <w:num w:numId="23">
    <w:abstractNumId w:val="15"/>
  </w:num>
  <w:num w:numId="24">
    <w:abstractNumId w:val="0"/>
  </w:num>
  <w:num w:numId="25">
    <w:abstractNumId w:val="9"/>
  </w:num>
  <w:num w:numId="26">
    <w:abstractNumId w:val="25"/>
  </w:num>
  <w:num w:numId="27">
    <w:abstractNumId w:val="8"/>
  </w:num>
  <w:num w:numId="28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smina Petrović">
    <w15:presenceInfo w15:providerId="AD" w15:userId="S-1-5-21-1487641033-1019195653-2548230883-53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87632"/>
    <w:rsid w:val="00092B84"/>
    <w:rsid w:val="00092F96"/>
    <w:rsid w:val="0009542A"/>
    <w:rsid w:val="000A53F3"/>
    <w:rsid w:val="000A5CDC"/>
    <w:rsid w:val="000B2732"/>
    <w:rsid w:val="000B54D7"/>
    <w:rsid w:val="000D5029"/>
    <w:rsid w:val="000E2036"/>
    <w:rsid w:val="000E4532"/>
    <w:rsid w:val="000F5E72"/>
    <w:rsid w:val="001156BA"/>
    <w:rsid w:val="00131DCD"/>
    <w:rsid w:val="0015182D"/>
    <w:rsid w:val="00161847"/>
    <w:rsid w:val="00170CA7"/>
    <w:rsid w:val="001711C5"/>
    <w:rsid w:val="00174A27"/>
    <w:rsid w:val="0019515F"/>
    <w:rsid w:val="001A023F"/>
    <w:rsid w:val="001A3FAC"/>
    <w:rsid w:val="001A6472"/>
    <w:rsid w:val="001C5538"/>
    <w:rsid w:val="001D0EDE"/>
    <w:rsid w:val="001D20E2"/>
    <w:rsid w:val="001E38DE"/>
    <w:rsid w:val="001F254D"/>
    <w:rsid w:val="001F7B31"/>
    <w:rsid w:val="00202CC4"/>
    <w:rsid w:val="0020601F"/>
    <w:rsid w:val="00212DA5"/>
    <w:rsid w:val="0021347C"/>
    <w:rsid w:val="002323AC"/>
    <w:rsid w:val="002607C5"/>
    <w:rsid w:val="00261404"/>
    <w:rsid w:val="00275E2A"/>
    <w:rsid w:val="00295729"/>
    <w:rsid w:val="00296938"/>
    <w:rsid w:val="002A202F"/>
    <w:rsid w:val="002B19B4"/>
    <w:rsid w:val="002C061F"/>
    <w:rsid w:val="002D1C35"/>
    <w:rsid w:val="002E2AF7"/>
    <w:rsid w:val="002F1BEC"/>
    <w:rsid w:val="002F4757"/>
    <w:rsid w:val="0031341D"/>
    <w:rsid w:val="00322199"/>
    <w:rsid w:val="003223C7"/>
    <w:rsid w:val="003255B5"/>
    <w:rsid w:val="00326555"/>
    <w:rsid w:val="003410E0"/>
    <w:rsid w:val="00345812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C0D2B"/>
    <w:rsid w:val="003C58A7"/>
    <w:rsid w:val="003E2EB1"/>
    <w:rsid w:val="003E3C16"/>
    <w:rsid w:val="00404766"/>
    <w:rsid w:val="00407D96"/>
    <w:rsid w:val="004269EA"/>
    <w:rsid w:val="00432495"/>
    <w:rsid w:val="004403A5"/>
    <w:rsid w:val="0044382A"/>
    <w:rsid w:val="00444DA7"/>
    <w:rsid w:val="0044514B"/>
    <w:rsid w:val="00457882"/>
    <w:rsid w:val="00463CC7"/>
    <w:rsid w:val="004758E9"/>
    <w:rsid w:val="004809C4"/>
    <w:rsid w:val="0048433C"/>
    <w:rsid w:val="004847B1"/>
    <w:rsid w:val="0049545B"/>
    <w:rsid w:val="004A3CED"/>
    <w:rsid w:val="004C67B4"/>
    <w:rsid w:val="004D3BD0"/>
    <w:rsid w:val="004D45B1"/>
    <w:rsid w:val="004D68A7"/>
    <w:rsid w:val="004E29D1"/>
    <w:rsid w:val="004F677A"/>
    <w:rsid w:val="004F7467"/>
    <w:rsid w:val="00500566"/>
    <w:rsid w:val="005073A3"/>
    <w:rsid w:val="00512C1B"/>
    <w:rsid w:val="00523608"/>
    <w:rsid w:val="00525C0A"/>
    <w:rsid w:val="00535608"/>
    <w:rsid w:val="00556688"/>
    <w:rsid w:val="0056162B"/>
    <w:rsid w:val="0056707B"/>
    <w:rsid w:val="005676B4"/>
    <w:rsid w:val="00581A9D"/>
    <w:rsid w:val="005A2503"/>
    <w:rsid w:val="005B4F04"/>
    <w:rsid w:val="005B7CB9"/>
    <w:rsid w:val="005D0023"/>
    <w:rsid w:val="005E065F"/>
    <w:rsid w:val="005E21C4"/>
    <w:rsid w:val="005F4D59"/>
    <w:rsid w:val="005F64EC"/>
    <w:rsid w:val="0060001C"/>
    <w:rsid w:val="00600D31"/>
    <w:rsid w:val="0060786A"/>
    <w:rsid w:val="00615B8F"/>
    <w:rsid w:val="006237FE"/>
    <w:rsid w:val="00627AF7"/>
    <w:rsid w:val="00632540"/>
    <w:rsid w:val="00633F73"/>
    <w:rsid w:val="00645199"/>
    <w:rsid w:val="0064542F"/>
    <w:rsid w:val="00645850"/>
    <w:rsid w:val="006468AF"/>
    <w:rsid w:val="0065035E"/>
    <w:rsid w:val="006507F4"/>
    <w:rsid w:val="00661ECF"/>
    <w:rsid w:val="00672D78"/>
    <w:rsid w:val="00692071"/>
    <w:rsid w:val="00694B28"/>
    <w:rsid w:val="006B6BD1"/>
    <w:rsid w:val="006C5349"/>
    <w:rsid w:val="006C5F2A"/>
    <w:rsid w:val="006C662C"/>
    <w:rsid w:val="006F4A5C"/>
    <w:rsid w:val="00715F5C"/>
    <w:rsid w:val="007278C1"/>
    <w:rsid w:val="00732FCE"/>
    <w:rsid w:val="00733493"/>
    <w:rsid w:val="00737F1D"/>
    <w:rsid w:val="00754BF2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1BEE"/>
    <w:rsid w:val="00804060"/>
    <w:rsid w:val="008166C9"/>
    <w:rsid w:val="00824E43"/>
    <w:rsid w:val="00827FA4"/>
    <w:rsid w:val="00833D8C"/>
    <w:rsid w:val="00834C9A"/>
    <w:rsid w:val="0084708C"/>
    <w:rsid w:val="008503D8"/>
    <w:rsid w:val="00850AD5"/>
    <w:rsid w:val="0085239D"/>
    <w:rsid w:val="00852739"/>
    <w:rsid w:val="008629CC"/>
    <w:rsid w:val="00865EBB"/>
    <w:rsid w:val="00886C36"/>
    <w:rsid w:val="008A1B5E"/>
    <w:rsid w:val="008A2D35"/>
    <w:rsid w:val="008A6AC8"/>
    <w:rsid w:val="008A7593"/>
    <w:rsid w:val="008C5591"/>
    <w:rsid w:val="008D04A6"/>
    <w:rsid w:val="008D4C1A"/>
    <w:rsid w:val="008F0867"/>
    <w:rsid w:val="008F172F"/>
    <w:rsid w:val="008F2044"/>
    <w:rsid w:val="008F2BE1"/>
    <w:rsid w:val="008F4DD1"/>
    <w:rsid w:val="008F5181"/>
    <w:rsid w:val="009056DB"/>
    <w:rsid w:val="00932105"/>
    <w:rsid w:val="00940A12"/>
    <w:rsid w:val="00947592"/>
    <w:rsid w:val="00950280"/>
    <w:rsid w:val="00953793"/>
    <w:rsid w:val="00953AE7"/>
    <w:rsid w:val="00980C8E"/>
    <w:rsid w:val="009907F1"/>
    <w:rsid w:val="00991A18"/>
    <w:rsid w:val="00994A16"/>
    <w:rsid w:val="009A30D3"/>
    <w:rsid w:val="009C5B97"/>
    <w:rsid w:val="009D03A7"/>
    <w:rsid w:val="009E0479"/>
    <w:rsid w:val="00A0102E"/>
    <w:rsid w:val="00A12960"/>
    <w:rsid w:val="00A1570D"/>
    <w:rsid w:val="00A22386"/>
    <w:rsid w:val="00A23BD9"/>
    <w:rsid w:val="00A32276"/>
    <w:rsid w:val="00A44D7D"/>
    <w:rsid w:val="00A45EB7"/>
    <w:rsid w:val="00A56B75"/>
    <w:rsid w:val="00A71C04"/>
    <w:rsid w:val="00A95854"/>
    <w:rsid w:val="00AA0017"/>
    <w:rsid w:val="00AA4BC5"/>
    <w:rsid w:val="00AB09B3"/>
    <w:rsid w:val="00AB578C"/>
    <w:rsid w:val="00AC02D1"/>
    <w:rsid w:val="00AE143D"/>
    <w:rsid w:val="00AE5137"/>
    <w:rsid w:val="00B06019"/>
    <w:rsid w:val="00B07409"/>
    <w:rsid w:val="00B1006E"/>
    <w:rsid w:val="00B178FB"/>
    <w:rsid w:val="00B20E6D"/>
    <w:rsid w:val="00B22D26"/>
    <w:rsid w:val="00B4105E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C6826"/>
    <w:rsid w:val="00BF5F5E"/>
    <w:rsid w:val="00C0295C"/>
    <w:rsid w:val="00C03C06"/>
    <w:rsid w:val="00C121EC"/>
    <w:rsid w:val="00C12C65"/>
    <w:rsid w:val="00C445E2"/>
    <w:rsid w:val="00C453F4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D37EA5"/>
    <w:rsid w:val="00D413D8"/>
    <w:rsid w:val="00D73628"/>
    <w:rsid w:val="00D73918"/>
    <w:rsid w:val="00D967D7"/>
    <w:rsid w:val="00D9698E"/>
    <w:rsid w:val="00DA125D"/>
    <w:rsid w:val="00DB19B9"/>
    <w:rsid w:val="00DC2F93"/>
    <w:rsid w:val="00DC4BC2"/>
    <w:rsid w:val="00DC7DEC"/>
    <w:rsid w:val="00DD6151"/>
    <w:rsid w:val="00DE057D"/>
    <w:rsid w:val="00DF33A4"/>
    <w:rsid w:val="00E0020F"/>
    <w:rsid w:val="00E118C7"/>
    <w:rsid w:val="00E1427B"/>
    <w:rsid w:val="00E14E0D"/>
    <w:rsid w:val="00E22B8B"/>
    <w:rsid w:val="00E317D1"/>
    <w:rsid w:val="00E40DF0"/>
    <w:rsid w:val="00E4267B"/>
    <w:rsid w:val="00E47DAC"/>
    <w:rsid w:val="00E540E0"/>
    <w:rsid w:val="00E63C8A"/>
    <w:rsid w:val="00E70BF6"/>
    <w:rsid w:val="00E77289"/>
    <w:rsid w:val="00E86582"/>
    <w:rsid w:val="00EC4494"/>
    <w:rsid w:val="00F034D9"/>
    <w:rsid w:val="00F11C98"/>
    <w:rsid w:val="00F12E47"/>
    <w:rsid w:val="00F223B2"/>
    <w:rsid w:val="00F53241"/>
    <w:rsid w:val="00F67790"/>
    <w:rsid w:val="00F70D57"/>
    <w:rsid w:val="00FB1A1B"/>
    <w:rsid w:val="00FB3D60"/>
    <w:rsid w:val="00FB3D7A"/>
    <w:rsid w:val="00FB645B"/>
    <w:rsid w:val="00FC09D6"/>
    <w:rsid w:val="00FC1CC8"/>
    <w:rsid w:val="00FC34EC"/>
    <w:rsid w:val="00FC3F69"/>
    <w:rsid w:val="00FC5312"/>
    <w:rsid w:val="00FD3964"/>
    <w:rsid w:val="00FE0B44"/>
    <w:rsid w:val="00FE6286"/>
    <w:rsid w:val="00FF4DB4"/>
    <w:rsid w:val="00FF78E5"/>
    <w:rsid w:val="2CB416E5"/>
    <w:rsid w:val="3B71B3CB"/>
    <w:rsid w:val="5FEC4E5B"/>
    <w:rsid w:val="60461A3E"/>
    <w:rsid w:val="7F2A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0DE59-1A71-45E4-BC39-A75F0DC01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2018-09-05T12:48:00Z</cp:lastPrinted>
  <dcterms:created xsi:type="dcterms:W3CDTF">2019-04-09T07:53:00Z</dcterms:created>
  <dcterms:modified xsi:type="dcterms:W3CDTF">2019-04-09T07:53:00Z</dcterms:modified>
</cp:coreProperties>
</file>