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788421A7" w:rsidR="000E2036" w:rsidRPr="00CB1308" w:rsidRDefault="00ED552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>
        <w:rPr>
          <w:b/>
          <w:szCs w:val="22"/>
          <w:lang w:val="sr-Cyrl-RS"/>
        </w:rPr>
        <w:t>ПОЈЕДНОСТАВЉЕЊЕ ПОСТУПКА</w:t>
      </w:r>
      <w:r w:rsidRPr="00ED5521">
        <w:rPr>
          <w:b/>
          <w:szCs w:val="22"/>
          <w:lang w:val="sr-Cyrl-RS"/>
        </w:rPr>
        <w:t xml:space="preserve"> ИЗДАВАЊА ДОЗВОЛЕ ЗА УВОЗ ЖИВИХ ПРИМЕРАКА АЛОХТОНИХ ДИВЉИХ ВРСТА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0FEAA1" w:rsidR="000E2036" w:rsidRPr="00AB0FC7" w:rsidRDefault="008952B3" w:rsidP="00AB0FC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B0FC7">
              <w:rPr>
                <w:b/>
                <w:sz w:val="22"/>
                <w:szCs w:val="22"/>
                <w:lang w:val="sr-Cyrl-RS"/>
              </w:rPr>
              <w:t>Дозвола за увоз живих примерака алохтоних дивљих врста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A29C27E" w:rsidR="000E2036" w:rsidRPr="00AB0FC7" w:rsidRDefault="008952B3" w:rsidP="00AB0FC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B0FC7">
              <w:rPr>
                <w:b/>
                <w:sz w:val="22"/>
                <w:szCs w:val="22"/>
                <w:lang w:val="sr-Cyrl-RS"/>
              </w:rPr>
              <w:t>134.00.0091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D06BFA2" w:rsidR="00092B84" w:rsidRPr="00AB0FC7" w:rsidRDefault="008952B3" w:rsidP="00AB0FC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B0FC7">
              <w:rPr>
                <w:sz w:val="22"/>
                <w:szCs w:val="22"/>
                <w:lang w:val="sr-Cyrl-RS"/>
              </w:rPr>
              <w:t>Министарство заштите животне средине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7BAFEBC" w:rsidR="003F40A1" w:rsidRPr="00AB0FC7" w:rsidRDefault="008952B3" w:rsidP="00652199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животне средине </w:t>
            </w:r>
            <w:r w:rsidR="0065219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652199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652199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135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>/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04, 36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>/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09, 36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>/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09, 72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>/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09, 43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>/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11, 14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>/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16</w:t>
            </w:r>
            <w:r w:rsidR="0065219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652199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7618</w:t>
            </w:r>
            <w:r w:rsidR="007236E8"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D2FFE8B" w:rsidR="00D73918" w:rsidRPr="00AB0FC7" w:rsidRDefault="009A75B0" w:rsidP="00AB0FC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B0FC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5AA759B" w:rsidR="00804060" w:rsidRPr="00AB0FC7" w:rsidRDefault="007236E8" w:rsidP="00AB0FC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B0FC7">
              <w:rPr>
                <w:sz w:val="22"/>
                <w:szCs w:val="22"/>
                <w:lang w:val="sr-Cyrl-RS"/>
              </w:rPr>
              <w:t>Четврти</w:t>
            </w:r>
            <w:r w:rsidR="00B0193D" w:rsidRPr="00AB0FC7">
              <w:rPr>
                <w:sz w:val="22"/>
                <w:szCs w:val="22"/>
                <w:lang w:val="sr-Cyrl-RS"/>
              </w:rPr>
              <w:t xml:space="preserve"> квартал 2019. године  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AB0FC7" w:rsidRPr="00DB19B9" w14:paraId="4635A4BE" w14:textId="77777777" w:rsidTr="00CA1CE9">
        <w:tc>
          <w:tcPr>
            <w:tcW w:w="9060" w:type="dxa"/>
            <w:gridSpan w:val="2"/>
          </w:tcPr>
          <w:p w14:paraId="5949436C" w14:textId="77777777" w:rsidR="00AB0FC7" w:rsidRDefault="00AB0FC7" w:rsidP="00074478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6AAC5DC0" w14:textId="6F55DF2C" w:rsidR="00AB0FC7" w:rsidRDefault="00AB0FC7" w:rsidP="00074478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пракси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као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проблем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субјекте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јавља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то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прихвата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као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потврду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извештај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промету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рачуну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правног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лица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извршила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платни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промет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странкама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намеће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додатна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обавеза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изискује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додатно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време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овог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0184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83018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1956E95" w14:textId="77777777" w:rsidR="00AB0FC7" w:rsidRDefault="00AB0FC7" w:rsidP="0007447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C0302F" w14:textId="77777777" w:rsidR="00AB0FC7" w:rsidRDefault="00AB0FC7" w:rsidP="00074478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подразумева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лично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надлежном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органу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Још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увек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успостављена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пуна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електронска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управа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нити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поједини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сегменти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82671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A826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BCB02C2" w14:textId="3F83C49B" w:rsidR="00AB0FC7" w:rsidRPr="008952B3" w:rsidRDefault="00AB0FC7" w:rsidP="00CB1308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AB0FC7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8220E84" w:rsidR="00AB0FC7" w:rsidRPr="00DB19B9" w:rsidRDefault="00AB0FC7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AB0FC7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AB0FC7" w:rsidRPr="00DB19B9" w:rsidRDefault="00AB0FC7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AB0FC7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AB0FC7" w:rsidRPr="00DB19B9" w14:paraId="46AAEA74" w14:textId="77777777" w:rsidTr="00652199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D939446" w14:textId="77777777" w:rsidR="00AB0FC7" w:rsidRPr="00DB19B9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1AC35B8" w14:textId="77777777" w:rsidR="00AB0FC7" w:rsidRPr="00DB19B9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695AA16" w14:textId="77777777" w:rsidR="00AB0FC7" w:rsidRPr="00DB19B9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AB0FC7" w:rsidRPr="00DB19B9" w14:paraId="599626EC" w14:textId="77777777" w:rsidTr="00652199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25F14387" w14:textId="77777777" w:rsidR="00AB0FC7" w:rsidRPr="00DB19B9" w:rsidRDefault="00AB0FC7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3B84E49" w14:textId="77777777" w:rsidR="00AB0FC7" w:rsidRPr="00DB19B9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40A021DB" w14:textId="77777777" w:rsidR="00AB0FC7" w:rsidRPr="00DB19B9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5A3FB882" w14:textId="77777777" w:rsidR="00AB0FC7" w:rsidRPr="00DB19B9" w:rsidRDefault="00AB0FC7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B0FC7" w:rsidRPr="00DB19B9" w14:paraId="4BE2B461" w14:textId="1CA3C021" w:rsidTr="00652199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70600173" w14:textId="2F90AE24" w:rsidR="00AB0FC7" w:rsidRDefault="00AB0FC7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2E249130" w14:textId="5C755752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AB0FC7" w:rsidRPr="00DB19B9" w14:paraId="30111BAD" w14:textId="3318FACC" w:rsidTr="00652199">
              <w:trPr>
                <w:trHeight w:val="489"/>
                <w:jc w:val="center"/>
              </w:trPr>
              <w:tc>
                <w:tcPr>
                  <w:tcW w:w="3632" w:type="dxa"/>
                </w:tcPr>
                <w:p w14:paraId="532ED430" w14:textId="24E68A85" w:rsidR="00AB0FC7" w:rsidRDefault="00AB0FC7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468F254E" w14:textId="3B5CE62F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7C970271" w14:textId="31EC0213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4845927A" w14:textId="461873A2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AB0FC7" w:rsidRPr="00DB19B9" w14:paraId="2EAC738C" w14:textId="77777777" w:rsidTr="00652199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1B5F8F05" w14:textId="77777777" w:rsidR="00AB0FC7" w:rsidRDefault="00AB0FC7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784" w:type="dxa"/>
                  <w:vAlign w:val="center"/>
                </w:tcPr>
                <w:p w14:paraId="3BFE7E1F" w14:textId="77777777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D3933CB" w14:textId="77777777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0684C5FF" w14:textId="77777777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  <w:tr w:rsidR="00AB0FC7" w:rsidRPr="00DB19B9" w14:paraId="37D0D54D" w14:textId="77777777" w:rsidTr="00652199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8D98645" w14:textId="77777777" w:rsidR="00AB0FC7" w:rsidRPr="00DB19B9" w:rsidRDefault="00AB0FC7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подношење захтева и докуметације </w:t>
                  </w:r>
                </w:p>
              </w:tc>
              <w:tc>
                <w:tcPr>
                  <w:tcW w:w="1784" w:type="dxa"/>
                  <w:vAlign w:val="center"/>
                </w:tcPr>
                <w:p w14:paraId="3C00D8B0" w14:textId="77777777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785A6B1" w14:textId="77777777" w:rsidR="00AB0FC7" w:rsidRPr="00DB19B9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2D58841B" w14:textId="77777777" w:rsidR="00AB0FC7" w:rsidRDefault="00AB0FC7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</w:tr>
          </w:tbl>
          <w:p w14:paraId="6193CE7A" w14:textId="77777777" w:rsidR="00AB0FC7" w:rsidRDefault="00AB0FC7" w:rsidP="0007447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60441D3D" w:rsidR="00AB0FC7" w:rsidRPr="00DB19B9" w:rsidRDefault="00AB0FC7" w:rsidP="008952B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AB0FC7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03D30016" w:rsidR="00AB0FC7" w:rsidRPr="00DB19B9" w:rsidRDefault="00AB0FC7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AB0FC7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0B6FDF8" w14:textId="479785D9" w:rsidR="00AB0FC7" w:rsidRDefault="00AB0FC7" w:rsidP="00074478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39F2DB" w14:textId="3F6CFCB2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3.1.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25267448" w14:textId="5326FF78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4F47B4E3" w14:textId="0300CC9F" w:rsidR="00AB0FC7" w:rsidRDefault="00AB0FC7" w:rsidP="00074478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CF3544A" w14:textId="50B6A14A" w:rsidR="00AB0FC7" w:rsidRPr="00B55472" w:rsidRDefault="00AB0FC7" w:rsidP="00074478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DF55CF8" w14:textId="40E94329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78FC77DF" w14:textId="77777777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88FA7DE" w14:textId="37883548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3.2. Електронско подношење захтева и документације</w:t>
            </w:r>
          </w:p>
          <w:p w14:paraId="0A279AE3" w14:textId="77777777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C6DA286" w14:textId="77777777" w:rsidR="00AB0FC7" w:rsidRDefault="00AB0FC7" w:rsidP="0007447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63A93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>
              <w:rPr>
                <w:sz w:val="22"/>
                <w:szCs w:val="22"/>
                <w:lang w:val="sr-Cyrl-RS"/>
              </w:rPr>
              <w:t>. Предлаже се примена ове препоруке чим се за то остваре технички услови.</w:t>
            </w:r>
          </w:p>
          <w:p w14:paraId="0500C108" w14:textId="77777777" w:rsidR="00AB0FC7" w:rsidRDefault="00AB0FC7" w:rsidP="0007447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08F9F4ED" w14:textId="77777777" w:rsidR="00AB0FC7" w:rsidRDefault="00AB0FC7" w:rsidP="00074478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3EAB4AF8" w14:textId="095BC751" w:rsidR="00AB0FC7" w:rsidRPr="00DB19B9" w:rsidRDefault="00AB0FC7" w:rsidP="00CB1308">
            <w:pPr>
              <w:pStyle w:val="ListParagraph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AB0FC7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AB0FC7" w:rsidRPr="00DB19B9" w:rsidRDefault="00AB0FC7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AB0FC7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233F815" w14:textId="77777777" w:rsidR="00AB0FC7" w:rsidRDefault="00AB0FC7" w:rsidP="007236E8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58A78029" w:rsidR="00AB0FC7" w:rsidRPr="00B0193D" w:rsidRDefault="00AB0FC7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  <w:tr w:rsidR="00AB0FC7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AB0FC7" w:rsidRPr="00DB19B9" w:rsidRDefault="00AB0FC7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B0FC7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49C2F5" w14:textId="77777777" w:rsidR="00AB0FC7" w:rsidRDefault="00AB0FC7" w:rsidP="007236E8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0117EA3F" w:rsidR="00AB0FC7" w:rsidRPr="00DB19B9" w:rsidRDefault="00AB0FC7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AB0FC7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AB0FC7" w:rsidRPr="00DB19B9" w:rsidRDefault="00AB0FC7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AB0FC7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3927EA" w14:textId="515C080A" w:rsidR="00AB0FC7" w:rsidRDefault="00AB0FC7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79E9F00" w14:textId="0E8DA890" w:rsidR="00AB0FC7" w:rsidRDefault="00BF4D2C" w:rsidP="00BF4D2C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BF4D2C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447.416,05 РСД. Усвајање и примена препорука ће донети привредним субјектима годишње директне уштеде од 66.819,87 РСД или 549,41 ЕУР. Ове уштеде износе 14,93% укупних директних трошкова привредних субјеката у поступку.</w:t>
            </w:r>
          </w:p>
          <w:p w14:paraId="6B884286" w14:textId="0B0C460A" w:rsidR="00BF4D2C" w:rsidRDefault="00BF4D2C" w:rsidP="00BF4D2C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550C3BB9" w14:textId="77777777" w:rsidR="00AB0FC7" w:rsidRDefault="00BF4D2C" w:rsidP="00782812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</w:t>
            </w:r>
            <w:r w:rsidR="0078281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78281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52AD4DAF" w14:textId="77777777" w:rsidR="00782812" w:rsidRDefault="00782812" w:rsidP="00782812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3C81A7B9" w:rsidR="00782812" w:rsidRPr="00DB19B9" w:rsidRDefault="00782812" w:rsidP="00782812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1C853" w14:textId="77777777" w:rsidR="00DB38FE" w:rsidRDefault="00DB38FE" w:rsidP="002A202F">
      <w:r>
        <w:separator/>
      </w:r>
    </w:p>
  </w:endnote>
  <w:endnote w:type="continuationSeparator" w:id="0">
    <w:p w14:paraId="5B7E36E8" w14:textId="77777777" w:rsidR="00DB38FE" w:rsidRDefault="00DB38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500DC4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7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119F6" w14:textId="77777777" w:rsidR="00DB38FE" w:rsidRDefault="00DB38FE" w:rsidP="002A202F">
      <w:r>
        <w:separator/>
      </w:r>
    </w:p>
  </w:footnote>
  <w:footnote w:type="continuationSeparator" w:id="0">
    <w:p w14:paraId="56AA043A" w14:textId="77777777" w:rsidR="00DB38FE" w:rsidRDefault="00DB38F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A71C6"/>
    <w:multiLevelType w:val="hybridMultilevel"/>
    <w:tmpl w:val="29BA4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3"/>
  </w:num>
  <w:num w:numId="8">
    <w:abstractNumId w:val="10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2"/>
  </w:num>
  <w:num w:numId="19">
    <w:abstractNumId w:val="4"/>
  </w:num>
  <w:num w:numId="20">
    <w:abstractNumId w:val="24"/>
  </w:num>
  <w:num w:numId="21">
    <w:abstractNumId w:val="6"/>
  </w:num>
  <w:num w:numId="22">
    <w:abstractNumId w:val="2"/>
  </w:num>
  <w:num w:numId="23">
    <w:abstractNumId w:val="15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9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1E0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32419"/>
    <w:rsid w:val="003410E0"/>
    <w:rsid w:val="00350EAD"/>
    <w:rsid w:val="0035149B"/>
    <w:rsid w:val="003651DB"/>
    <w:rsid w:val="003715A0"/>
    <w:rsid w:val="0037171F"/>
    <w:rsid w:val="0037645B"/>
    <w:rsid w:val="00376FD1"/>
    <w:rsid w:val="0039002C"/>
    <w:rsid w:val="003962C7"/>
    <w:rsid w:val="003B44DB"/>
    <w:rsid w:val="003B4BC9"/>
    <w:rsid w:val="003B6298"/>
    <w:rsid w:val="003E2EB1"/>
    <w:rsid w:val="003E3C16"/>
    <w:rsid w:val="003F40A1"/>
    <w:rsid w:val="00407D96"/>
    <w:rsid w:val="00432495"/>
    <w:rsid w:val="00444DA7"/>
    <w:rsid w:val="00457882"/>
    <w:rsid w:val="00463CC7"/>
    <w:rsid w:val="004715B6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D24"/>
    <w:rsid w:val="00523608"/>
    <w:rsid w:val="00525C0A"/>
    <w:rsid w:val="00535608"/>
    <w:rsid w:val="00556688"/>
    <w:rsid w:val="0056162B"/>
    <w:rsid w:val="0056707B"/>
    <w:rsid w:val="00581A9D"/>
    <w:rsid w:val="0058446E"/>
    <w:rsid w:val="005A2503"/>
    <w:rsid w:val="005A7763"/>
    <w:rsid w:val="005A7BF4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52199"/>
    <w:rsid w:val="00661ECF"/>
    <w:rsid w:val="00690D57"/>
    <w:rsid w:val="00692071"/>
    <w:rsid w:val="00694B28"/>
    <w:rsid w:val="006B67FD"/>
    <w:rsid w:val="006C5349"/>
    <w:rsid w:val="006C5F2A"/>
    <w:rsid w:val="006C662C"/>
    <w:rsid w:val="006D208E"/>
    <w:rsid w:val="006F4A5C"/>
    <w:rsid w:val="006F4E27"/>
    <w:rsid w:val="00715F5C"/>
    <w:rsid w:val="007236E8"/>
    <w:rsid w:val="007278C1"/>
    <w:rsid w:val="00733493"/>
    <w:rsid w:val="00737F1D"/>
    <w:rsid w:val="00782812"/>
    <w:rsid w:val="00782816"/>
    <w:rsid w:val="00785A46"/>
    <w:rsid w:val="007861E3"/>
    <w:rsid w:val="007868C3"/>
    <w:rsid w:val="007940D6"/>
    <w:rsid w:val="007A5F49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952B3"/>
    <w:rsid w:val="008A6AC8"/>
    <w:rsid w:val="008C5591"/>
    <w:rsid w:val="008D04A6"/>
    <w:rsid w:val="008D4457"/>
    <w:rsid w:val="008D4C1A"/>
    <w:rsid w:val="008D548A"/>
    <w:rsid w:val="008F0867"/>
    <w:rsid w:val="008F172F"/>
    <w:rsid w:val="008F2044"/>
    <w:rsid w:val="008F2BE1"/>
    <w:rsid w:val="008F4DD1"/>
    <w:rsid w:val="009056DB"/>
    <w:rsid w:val="009437C6"/>
    <w:rsid w:val="00947592"/>
    <w:rsid w:val="00950280"/>
    <w:rsid w:val="00980390"/>
    <w:rsid w:val="00991A18"/>
    <w:rsid w:val="00994A16"/>
    <w:rsid w:val="009A30D3"/>
    <w:rsid w:val="009A75B0"/>
    <w:rsid w:val="009B6C55"/>
    <w:rsid w:val="009D03A7"/>
    <w:rsid w:val="009E047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B0FC7"/>
    <w:rsid w:val="00AB4A2A"/>
    <w:rsid w:val="00AC02D1"/>
    <w:rsid w:val="00AF4669"/>
    <w:rsid w:val="00B0193D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4265"/>
    <w:rsid w:val="00BF4D2C"/>
    <w:rsid w:val="00C0295C"/>
    <w:rsid w:val="00C03C06"/>
    <w:rsid w:val="00C121EC"/>
    <w:rsid w:val="00C12C65"/>
    <w:rsid w:val="00C445E2"/>
    <w:rsid w:val="00C70F1B"/>
    <w:rsid w:val="00C7129D"/>
    <w:rsid w:val="00C748D1"/>
    <w:rsid w:val="00C83DDE"/>
    <w:rsid w:val="00C91014"/>
    <w:rsid w:val="00CA1CE9"/>
    <w:rsid w:val="00CB1308"/>
    <w:rsid w:val="00CB1A4E"/>
    <w:rsid w:val="00CC29F6"/>
    <w:rsid w:val="00CD2287"/>
    <w:rsid w:val="00CD5BBB"/>
    <w:rsid w:val="00CE0685"/>
    <w:rsid w:val="00D37EA5"/>
    <w:rsid w:val="00D73628"/>
    <w:rsid w:val="00D73918"/>
    <w:rsid w:val="00D967D7"/>
    <w:rsid w:val="00DA125D"/>
    <w:rsid w:val="00DB19B9"/>
    <w:rsid w:val="00DB38FE"/>
    <w:rsid w:val="00DC4BC2"/>
    <w:rsid w:val="00DD1CC0"/>
    <w:rsid w:val="00DE057D"/>
    <w:rsid w:val="00E0020F"/>
    <w:rsid w:val="00E118C7"/>
    <w:rsid w:val="00E1427B"/>
    <w:rsid w:val="00E14E0D"/>
    <w:rsid w:val="00E2143C"/>
    <w:rsid w:val="00E21779"/>
    <w:rsid w:val="00E22B8B"/>
    <w:rsid w:val="00E305EA"/>
    <w:rsid w:val="00E317D1"/>
    <w:rsid w:val="00E40DF0"/>
    <w:rsid w:val="00E4267B"/>
    <w:rsid w:val="00E47DAC"/>
    <w:rsid w:val="00E63C8A"/>
    <w:rsid w:val="00E70BF6"/>
    <w:rsid w:val="00EA32F4"/>
    <w:rsid w:val="00ED5521"/>
    <w:rsid w:val="00ED6084"/>
    <w:rsid w:val="00F11C98"/>
    <w:rsid w:val="00F12E47"/>
    <w:rsid w:val="00F15AB9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BF7088E-2109-4AD1-B91C-BE9456C5A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D13F-EE3B-4FB8-831E-BE2E5309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2020-03-05T13:57:00Z</dcterms:created>
  <dcterms:modified xsi:type="dcterms:W3CDTF">2020-06-04T14:07:00Z</dcterms:modified>
</cp:coreProperties>
</file>