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7676C2D" w:rsidR="000E2036" w:rsidRPr="00541F57" w:rsidRDefault="006B17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41F57">
        <w:rPr>
          <w:b/>
          <w:sz w:val="22"/>
          <w:szCs w:val="22"/>
          <w:lang w:val="sr-Cyrl-RS"/>
        </w:rPr>
        <w:t>ПОЈЕДНОСТАВЉЕЊЕ ПОСТУПКА</w:t>
      </w:r>
      <w:r w:rsidR="00C76CA6" w:rsidRPr="00541F57">
        <w:rPr>
          <w:b/>
          <w:sz w:val="22"/>
          <w:szCs w:val="22"/>
          <w:lang w:val="sr-Latn-RS"/>
        </w:rPr>
        <w:t xml:space="preserve"> </w:t>
      </w:r>
      <w:r w:rsidR="00C76CA6" w:rsidRPr="00541F57">
        <w:rPr>
          <w:b/>
          <w:sz w:val="22"/>
          <w:szCs w:val="22"/>
          <w:lang w:val="sr-Cyrl-RS"/>
        </w:rPr>
        <w:t>ИЗДАВАЊ</w:t>
      </w:r>
      <w:r w:rsidR="00541F57" w:rsidRPr="00541F57">
        <w:rPr>
          <w:b/>
          <w:sz w:val="22"/>
          <w:szCs w:val="22"/>
          <w:lang w:val="sr-Latn-RS"/>
        </w:rPr>
        <w:t>A</w:t>
      </w:r>
      <w:r w:rsidR="00F13F0F" w:rsidRPr="00541F57">
        <w:rPr>
          <w:b/>
          <w:sz w:val="22"/>
          <w:szCs w:val="22"/>
          <w:lang w:val="sr-Cyrl-RS"/>
        </w:rPr>
        <w:t xml:space="preserve"> </w:t>
      </w:r>
      <w:r w:rsidR="001A0670" w:rsidRPr="00541F57">
        <w:rPr>
          <w:b/>
          <w:sz w:val="22"/>
          <w:szCs w:val="22"/>
          <w:lang w:val="sr-Cyrl-RS"/>
        </w:rPr>
        <w:t>ПОТВРД</w:t>
      </w:r>
      <w:r w:rsidR="001A0670" w:rsidRPr="00541F57">
        <w:rPr>
          <w:b/>
          <w:sz w:val="22"/>
          <w:szCs w:val="22"/>
          <w:lang w:val="sr-Latn-RS"/>
        </w:rPr>
        <w:t>E</w:t>
      </w:r>
      <w:r w:rsidR="001A0670" w:rsidRPr="00541F57">
        <w:rPr>
          <w:b/>
          <w:sz w:val="22"/>
          <w:szCs w:val="22"/>
          <w:lang w:val="sr-Cyrl-RS"/>
        </w:rPr>
        <w:t xml:space="preserve"> О ОБЈАВЉЕНИМ РАДОВИМА ЗА ПОТРЕБЕ ОСТВАРИВАЊА АУТОРСКИХ И ДРУГИХ ПРАВА</w:t>
      </w:r>
    </w:p>
    <w:p w14:paraId="299395FC" w14:textId="77777777" w:rsidR="00B1006E" w:rsidRPr="00541F5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41F5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41F5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41F5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24B36CB" w:rsidR="000E2036" w:rsidRPr="00541F57" w:rsidRDefault="001A0670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541F57">
              <w:rPr>
                <w:bCs/>
                <w:sz w:val="22"/>
                <w:szCs w:val="22"/>
                <w:lang w:val="sr-Cyrl-RS"/>
              </w:rPr>
              <w:t>Потврда о објављеним радовима за потребе остваривања ауторских и других права</w:t>
            </w:r>
          </w:p>
        </w:tc>
      </w:tr>
      <w:tr w:rsidR="00850AD5" w:rsidRPr="00541F5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41F5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7ECC13C" w:rsidR="000E2036" w:rsidRPr="00541F57" w:rsidRDefault="004A3A89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541F57">
              <w:rPr>
                <w:bCs/>
                <w:sz w:val="22"/>
                <w:szCs w:val="22"/>
                <w:lang w:val="sr-Cyrl-RS"/>
              </w:rPr>
              <w:t>140.00.000</w:t>
            </w:r>
            <w:r w:rsidR="001A0670" w:rsidRPr="00541F57">
              <w:rPr>
                <w:bCs/>
                <w:sz w:val="22"/>
                <w:szCs w:val="22"/>
                <w:lang w:val="sr-Latn-RS"/>
              </w:rPr>
              <w:t>7</w:t>
            </w:r>
          </w:p>
        </w:tc>
      </w:tr>
      <w:tr w:rsidR="00850AD5" w:rsidRPr="00541F57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41F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41F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CBC3973" w14:textId="78DB1EB6" w:rsidR="004A3A89" w:rsidRPr="00541F57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41F57">
              <w:rPr>
                <w:sz w:val="22"/>
                <w:szCs w:val="22"/>
                <w:lang w:val="sr-Cyrl-RS"/>
              </w:rPr>
              <w:t>Министарство културе и информисања</w:t>
            </w:r>
          </w:p>
          <w:p w14:paraId="5795E7E6" w14:textId="5F341952" w:rsidR="00092B84" w:rsidRPr="00541F57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41F57">
              <w:rPr>
                <w:sz w:val="22"/>
                <w:szCs w:val="22"/>
                <w:lang w:val="sr-Cyrl-RS"/>
              </w:rPr>
              <w:t>Народна библиотека Србије</w:t>
            </w:r>
          </w:p>
        </w:tc>
      </w:tr>
      <w:tr w:rsidR="00850AD5" w:rsidRPr="00541F5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41F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41F5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41F5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6A84EFD" w14:textId="7262EAF4" w:rsidR="001A0670" w:rsidRPr="00541F57" w:rsidRDefault="00C76CA6" w:rsidP="001A067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1A0670"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о библиотечко-информационој делатност</w:t>
            </w:r>
            <w:r w:rsidR="00541F57" w:rsidRPr="00541F5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</w:t>
            </w:r>
            <w:r w:rsidR="001A0670" w:rsidRPr="00541F57">
              <w:rPr>
                <w:rFonts w:ascii="Times New Roman" w:hAnsi="Times New Roman"/>
                <w:sz w:val="22"/>
                <w:szCs w:val="22"/>
                <w:lang w:val="sr-Latn-RS"/>
              </w:rPr>
              <w:t>oj 52/11</w:t>
            </w: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1EB0A76" w:rsidR="001A0670" w:rsidRPr="00541F57" w:rsidRDefault="001A0670" w:rsidP="001A067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коришћењу библиотечко информационе грађе, извора и пружању информационих услуга корисницима</w:t>
            </w:r>
          </w:p>
        </w:tc>
      </w:tr>
      <w:tr w:rsidR="00850AD5" w:rsidRPr="00541F5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41F5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41F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41F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41F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41F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41F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5A5CDF1" w:rsidR="00D73918" w:rsidRPr="00541F57" w:rsidRDefault="006B1797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541F57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41F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41F5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5B02AD1" w:rsidR="00804060" w:rsidRPr="00541F57" w:rsidRDefault="00722B6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22B6E">
              <w:rPr>
                <w:sz w:val="22"/>
                <w:szCs w:val="22"/>
                <w:lang w:val="sr-Cyrl-RS"/>
              </w:rPr>
              <w:t>Први квартал 2021. године</w:t>
            </w:r>
            <w:bookmarkStart w:id="0" w:name="_GoBack"/>
            <w:bookmarkEnd w:id="0"/>
          </w:p>
        </w:tc>
      </w:tr>
      <w:tr w:rsidR="00275E2A" w:rsidRPr="00541F5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41F5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41F57" w14:paraId="4635A4BE" w14:textId="77777777" w:rsidTr="00CA1CE9">
        <w:tc>
          <w:tcPr>
            <w:tcW w:w="9060" w:type="dxa"/>
            <w:gridSpan w:val="2"/>
          </w:tcPr>
          <w:p w14:paraId="4BCB02C2" w14:textId="6C0986EB" w:rsidR="0009542A" w:rsidRPr="00541F57" w:rsidRDefault="00F13F0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спроводи ефикасно и економично, али би </w:t>
            </w:r>
            <w:r w:rsidR="00541F57"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</w:t>
            </w:r>
            <w:r w:rsidR="009F63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41F57"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спровођењ</w:t>
            </w:r>
            <w:r w:rsidR="009F6371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541F57"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поступка</w:t>
            </w:r>
            <w:r w:rsidR="00881D0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целости</w:t>
            </w:r>
            <w:r w:rsidR="009F637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још више допринело томе</w:t>
            </w:r>
            <w:r w:rsidR="00D30E2B"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Такође, не постоји регистар/евиденција издатих аката, иако постоји обавеза органа да воде евиденције у електронском облику. </w:t>
            </w:r>
          </w:p>
        </w:tc>
      </w:tr>
      <w:tr w:rsidR="00275E2A" w:rsidRPr="00541F5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41F5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41F57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41F5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41F5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C70F1B" w:rsidRPr="00541F57" w14:paraId="30C2F8E8" w14:textId="77777777" w:rsidTr="00541F57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41F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41F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41F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41F57" w14:paraId="2B15C487" w14:textId="77777777" w:rsidTr="00541F57">
              <w:trPr>
                <w:trHeight w:val="260"/>
              </w:trPr>
              <w:tc>
                <w:tcPr>
                  <w:tcW w:w="3348" w:type="dxa"/>
                  <w:vMerge/>
                </w:tcPr>
                <w:p w14:paraId="42D3BC1D" w14:textId="77777777" w:rsidR="00C70F1B" w:rsidRPr="00541F5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541F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541F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21FE126E" w14:textId="77777777" w:rsidR="00C70F1B" w:rsidRPr="00541F5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41F57" w:rsidRPr="00541F57" w14:paraId="0CBA0C92" w14:textId="77777777" w:rsidTr="00705614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7D880564" w14:textId="77777777" w:rsidR="00541F57" w:rsidRPr="00541F57" w:rsidRDefault="00541F57" w:rsidP="00705614">
                  <w:pPr>
                    <w:pStyle w:val="NormalWeb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541F57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643D10D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2B7C626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F398541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41F57" w:rsidRPr="00541F57" w14:paraId="7EF29E8E" w14:textId="77777777" w:rsidTr="00705614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7A5121A0" w14:textId="77777777" w:rsidR="00541F57" w:rsidRPr="00541F57" w:rsidRDefault="00541F57" w:rsidP="0070561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1583DE44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41F57" w:rsidRPr="00541F57" w14:paraId="0DE3608D" w14:textId="77777777" w:rsidTr="00705614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CB9B535" w14:textId="77777777" w:rsidR="00541F57" w:rsidRPr="00541F57" w:rsidRDefault="00541F57" w:rsidP="0070561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Успостављање евиденције  издатих аката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B698367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E2D564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41F5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6E214866" w14:textId="77777777" w:rsidR="00541F57" w:rsidRPr="00541F57" w:rsidRDefault="00541F57" w:rsidP="0070561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659F2" w:rsidRPr="00DE097B" w14:paraId="65628DEA" w14:textId="77777777" w:rsidTr="00A91D9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F66E384" w14:textId="77777777" w:rsidR="00D659F2" w:rsidRPr="00DE097B" w:rsidRDefault="00D659F2" w:rsidP="00A91D9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79" w:type="dxa"/>
                  <w:gridSpan w:val="3"/>
                </w:tcPr>
                <w:p w14:paraId="69330563" w14:textId="77777777" w:rsidR="00D659F2" w:rsidRPr="00DE097B" w:rsidRDefault="00D659F2" w:rsidP="00A91D9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659F2" w:rsidRPr="00DE097B" w14:paraId="68103857" w14:textId="77777777" w:rsidTr="00A91D9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10EB39E1" w14:textId="77777777" w:rsidR="00D659F2" w:rsidRPr="00DE097B" w:rsidRDefault="00D659F2" w:rsidP="00A91D9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Прихватање доказа о електронској уплати таксе без печата банке</w:t>
                  </w:r>
                </w:p>
              </w:tc>
              <w:tc>
                <w:tcPr>
                  <w:tcW w:w="1948" w:type="dxa"/>
                </w:tcPr>
                <w:p w14:paraId="2B18277C" w14:textId="77777777" w:rsidR="00D659F2" w:rsidRPr="00DE097B" w:rsidRDefault="00D659F2" w:rsidP="00A91D9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8AF831B" w14:textId="77777777" w:rsidR="00D659F2" w:rsidRPr="00DE097B" w:rsidRDefault="00D659F2" w:rsidP="00A91D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</w:tcPr>
                <w:p w14:paraId="60459273" w14:textId="77777777" w:rsidR="00D659F2" w:rsidRPr="00DE097B" w:rsidRDefault="00D659F2" w:rsidP="00A91D9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5483D" w:rsidRPr="00DE097B" w14:paraId="2D60E037" w14:textId="77777777" w:rsidTr="0051155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054542C2" w14:textId="479729B8" w:rsidR="00D5483D" w:rsidRPr="00D5483D" w:rsidRDefault="00D5483D" w:rsidP="0051155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</w:t>
                  </w:r>
                  <w:r w:rsidR="003F1D0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административног </w:t>
                  </w: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захтева</w:t>
                  </w:r>
                </w:p>
              </w:tc>
              <w:tc>
                <w:tcPr>
                  <w:tcW w:w="5479" w:type="dxa"/>
                  <w:gridSpan w:val="3"/>
                </w:tcPr>
                <w:p w14:paraId="4D1EB05E" w14:textId="77777777" w:rsidR="00D5483D" w:rsidRPr="00DE097B" w:rsidRDefault="00D5483D" w:rsidP="0051155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5483D" w:rsidRPr="00DE097B" w14:paraId="58B1E718" w14:textId="77777777" w:rsidTr="0051155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78865E31" w14:textId="203D6508" w:rsidR="00D5483D" w:rsidRPr="00DE097B" w:rsidRDefault="00D5483D" w:rsidP="00511550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55D87130" w14:textId="77777777" w:rsidR="00D5483D" w:rsidRPr="00DE097B" w:rsidRDefault="00D5483D" w:rsidP="0051155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B7B3426" w14:textId="77777777" w:rsidR="00D5483D" w:rsidRPr="00DE097B" w:rsidRDefault="00D5483D" w:rsidP="0051155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</w:tcPr>
                <w:p w14:paraId="708C7D5A" w14:textId="77777777" w:rsidR="00D5483D" w:rsidRPr="00DE097B" w:rsidRDefault="00D5483D" w:rsidP="0051155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1D0011" w:rsidR="00CA1CE9" w:rsidRPr="00541F5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41F5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41F5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41F5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EA2D2D6" w14:textId="77777777" w:rsidR="00D659F2" w:rsidRPr="00D659F2" w:rsidRDefault="00D659F2" w:rsidP="00D659F2">
            <w:pPr>
              <w:jc w:val="left"/>
              <w:rPr>
                <w:rFonts w:ascii="Times New Roman" w:eastAsia="Times New Roman" w:hAnsi="Times New Roman"/>
                <w:b/>
                <w:bCs/>
                <w:iCs/>
                <w:u w:val="single"/>
                <w:lang w:val="sr-Cyrl-RS"/>
              </w:rPr>
            </w:pPr>
          </w:p>
          <w:p w14:paraId="2DC48EA6" w14:textId="3FB855E6" w:rsidR="0008399A" w:rsidRPr="00541F57" w:rsidRDefault="00541F57" w:rsidP="0008399A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У</w:t>
            </w:r>
            <w:r w:rsidR="0008399A" w:rsidRPr="00541F57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вођење е-управе</w:t>
            </w:r>
            <w:r w:rsidR="00627CBC"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 </w:t>
            </w:r>
          </w:p>
          <w:p w14:paraId="37524761" w14:textId="4ADAC32E" w:rsidR="00541F57" w:rsidRPr="00541F57" w:rsidRDefault="00541F57" w:rsidP="00541F5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поштом, лично или електронским путем, али се достављање акта подносиоцу захтева </w:t>
            </w:r>
            <w:r w:rsidR="002927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врши</w:t>
            </w:r>
            <w:r w:rsidRPr="00541F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6A892156" w14:textId="77777777" w:rsidR="00541F57" w:rsidRPr="00541F57" w:rsidRDefault="00541F57" w:rsidP="00541F5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968933" w14:textId="2FF136C8" w:rsidR="00541F57" w:rsidRPr="00541F57" w:rsidRDefault="00541F57" w:rsidP="00541F5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541F57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</w:t>
            </w:r>
            <w:r w:rsidR="0007630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76303" w:rsidRPr="00076303">
              <w:rPr>
                <w:rFonts w:ascii="Times New Roman" w:hAnsi="Times New Roman"/>
                <w:sz w:val="22"/>
                <w:szCs w:val="22"/>
                <w:lang w:val="sr-Cyrl-RS"/>
              </w:rPr>
              <w:t>када се стекну услови за примену препоруке</w:t>
            </w:r>
            <w:r w:rsidRPr="00541F57">
              <w:rPr>
                <w:rFonts w:ascii="Times New Roman" w:hAnsi="Times New Roman"/>
                <w:sz w:val="22"/>
                <w:szCs w:val="22"/>
                <w:lang w:val="sr-Cyrl-RS"/>
              </w:rPr>
              <w:t>, тако што ће се омогућити спровођење поступка електронским путем у целости.</w:t>
            </w:r>
          </w:p>
          <w:p w14:paraId="08F495C8" w14:textId="5F2E31F1" w:rsidR="00F93FE6" w:rsidRDefault="00F93FE6" w:rsidP="00F93FE6">
            <w:pPr>
              <w:pStyle w:val="gmail-odluka-zakon"/>
              <w:jc w:val="both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3A54D89" w14:textId="4DA57F2A" w:rsidR="00541F57" w:rsidRPr="00541F57" w:rsidRDefault="00541F57" w:rsidP="00541F57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41F5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Успостављање евиденције издатих аката</w:t>
            </w:r>
          </w:p>
          <w:p w14:paraId="05E6F3C7" w14:textId="0822D7B6" w:rsidR="00D30E2B" w:rsidRPr="00541F57" w:rsidRDefault="00D30E2B" w:rsidP="00D30E2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BBA205B" w14:textId="7289E935" w:rsidR="00D30E2B" w:rsidRPr="00541F57" w:rsidRDefault="00D30E2B" w:rsidP="00D30E2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sr-Cyrl-RS"/>
              </w:rPr>
            </w:pPr>
            <w:r w:rsidRPr="00541F57">
              <w:rPr>
                <w:bCs/>
                <w:sz w:val="22"/>
                <w:szCs w:val="22"/>
                <w:lang w:val="sr-Cyrl-RS"/>
              </w:rPr>
              <w:t xml:space="preserve">Надлежни орган не води регистар о издатим </w:t>
            </w:r>
            <w:r w:rsidR="0008399A" w:rsidRPr="00541F57">
              <w:rPr>
                <w:bCs/>
                <w:sz w:val="22"/>
                <w:szCs w:val="22"/>
                <w:lang w:val="sr-Cyrl-RS"/>
              </w:rPr>
              <w:t>потврдама о објављеним радовима за потребе остваривања ауторских и других права.</w:t>
            </w:r>
          </w:p>
          <w:p w14:paraId="124FD81B" w14:textId="77777777" w:rsidR="00F93FE6" w:rsidRPr="00541F57" w:rsidRDefault="00F93FE6" w:rsidP="00F93FE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603E78F7" w14:textId="5AE1B3B8" w:rsidR="00541F57" w:rsidRPr="00541F57" w:rsidRDefault="00541F57" w:rsidP="00541F5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41F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да се регистар/евиденција података о издатим актима води у електронском облику односно у отвореном, машински читљивом облику (база података), у складу са чланом 10. Закона о електронској управи (</w:t>
            </w:r>
            <w:r w:rsidR="00CA37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541F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</w:t>
            </w:r>
            <w:r w:rsidR="00CA37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541F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57B37292" w14:textId="77777777" w:rsidR="00541F57" w:rsidRPr="00541F57" w:rsidRDefault="00541F57" w:rsidP="00541F5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F5EBC9" w14:textId="0D90FF7D" w:rsidR="00F93FE6" w:rsidRDefault="00541F57" w:rsidP="00541F5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color w:val="000000" w:themeColor="text1"/>
                <w:sz w:val="22"/>
                <w:szCs w:val="22"/>
                <w:lang w:val="sr-Cyrl-RS"/>
              </w:rPr>
            </w:pPr>
            <w:r w:rsidRPr="00541F57">
              <w:rPr>
                <w:rFonts w:eastAsia="Calibri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Pr="00541F57">
              <w:rPr>
                <w:rFonts w:eastAsia="Calibri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69C357B5" w14:textId="0DF8C8C6" w:rsidR="00D659F2" w:rsidRDefault="00D659F2" w:rsidP="00541F57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</w:p>
          <w:p w14:paraId="0D0E0EBF" w14:textId="6F585AA0" w:rsidR="00D659F2" w:rsidRDefault="00D659F2" w:rsidP="00541F57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</w:p>
          <w:p w14:paraId="21945BEC" w14:textId="5A315B37" w:rsidR="00D659F2" w:rsidRPr="00D659F2" w:rsidRDefault="00D659F2" w:rsidP="00D659F2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659F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таксе без печата банке</w:t>
            </w:r>
          </w:p>
          <w:p w14:paraId="539725D4" w14:textId="77777777" w:rsidR="00D659F2" w:rsidRPr="00DE097B" w:rsidRDefault="00D659F2" w:rsidP="00D659F2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8931F96" w14:textId="027C1C11" w:rsidR="00D659F2" w:rsidRPr="0085508A" w:rsidRDefault="00D659F2" w:rsidP="00D659F2">
            <w:pPr>
              <w:ind w:left="72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</w:pPr>
            <w:r w:rsidRPr="0085508A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Документ 1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 xml:space="preserve"> - </w:t>
            </w:r>
            <w:r w:rsidRPr="00D659F2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Доказ о уплати накнаде</w:t>
            </w:r>
          </w:p>
          <w:p w14:paraId="6F2FBB12" w14:textId="77777777" w:rsidR="00D659F2" w:rsidRPr="00DE097B" w:rsidRDefault="00D659F2" w:rsidP="00D659F2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Ради спровођења поступка, подносилац захтева доставља органу доказ о уплати накнаде у оригиналу или копији издат од стране банке или поште. </w:t>
            </w:r>
          </w:p>
          <w:p w14:paraId="15288BDE" w14:textId="77777777" w:rsidR="00D659F2" w:rsidRPr="00DE097B" w:rsidRDefault="00D659F2" w:rsidP="00D659F2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промена форме докумената - доказа о уплати накнаде, из оригинала и копије у обичну копију, односно 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омогућавање подношења</w:t>
            </w: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 извод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6798F70B" w14:textId="1C3B127F" w:rsidR="00D659F2" w:rsidRDefault="00D659F2" w:rsidP="00627CBC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258EEC1B" w14:textId="77777777" w:rsidR="00D659F2" w:rsidRDefault="00D659F2" w:rsidP="00D659F2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BCA9797" w14:textId="7704852C" w:rsidR="00D659F2" w:rsidRPr="00D659F2" w:rsidRDefault="00D659F2" w:rsidP="00D659F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jc w:val="both"/>
              <w:rPr>
                <w:rFonts w:eastAsia="Calibri"/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D659F2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0375E020" w14:textId="5C23D7E8" w:rsidR="00D659F2" w:rsidRPr="003F1D05" w:rsidRDefault="00D659F2" w:rsidP="00D659F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9D56C15" w14:textId="73385382" w:rsidR="00D659F2" w:rsidRPr="003F1D05" w:rsidRDefault="00D659F2" w:rsidP="00D659F2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3F1D0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Тренутно се захтев подноси писано у слободној форми. Не постоји образац </w:t>
            </w:r>
            <w:r w:rsidR="003F1D0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административног </w:t>
            </w:r>
            <w:r w:rsidRPr="003F1D0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захтева. </w:t>
            </w:r>
          </w:p>
          <w:p w14:paraId="2BA01B8D" w14:textId="77777777" w:rsidR="00D659F2" w:rsidRPr="003F1D05" w:rsidRDefault="00D659F2" w:rsidP="00D659F2">
            <w:pPr>
              <w:contextualSpacing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196BC07A" w14:textId="7A700EF9" w:rsidR="00D659F2" w:rsidRPr="003F1D05" w:rsidRDefault="00D659F2" w:rsidP="003F1D05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</w:t>
            </w:r>
            <w:r w:rsid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основне информације потребне за </w:t>
            </w:r>
            <w:r w:rsid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решавање поступка: </w:t>
            </w:r>
            <w:r w:rsidR="003F1D05" w:rsidRP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подаци о аутору</w:t>
            </w:r>
            <w:r w:rsid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-</w:t>
            </w:r>
            <w:r w:rsidR="003F1D05" w:rsidRP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име и презиме, датум рођења, псеудоним</w:t>
            </w:r>
            <w:r w:rsid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</w:t>
            </w:r>
            <w:r w:rsidR="003F1D05" w:rsidRP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област којом се бави</w:t>
            </w:r>
            <w:r w:rsidR="003F1D0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6C595501" w14:textId="77777777" w:rsidR="00D659F2" w:rsidRPr="003F1D05" w:rsidRDefault="00D659F2" w:rsidP="00D659F2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661EC688" w14:textId="37FB50EE" w:rsidR="00D659F2" w:rsidRPr="003F1D05" w:rsidRDefault="00D659F2" w:rsidP="003F1D05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F1D05">
              <w:rPr>
                <w:rFonts w:ascii="Times New Roman" w:hAnsi="Times New Roman"/>
                <w:bCs/>
                <w:sz w:val="22"/>
                <w:szCs w:val="22"/>
                <w:lang w:val="sr-Cyrl-RS" w:eastAsia="en-GB"/>
              </w:rPr>
              <w:t>Предлаже се о</w:t>
            </w:r>
            <w:r w:rsidRPr="003F1D0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3EAB4AF8" w14:textId="21415F51" w:rsidR="00665E8D" w:rsidRPr="00627CBC" w:rsidRDefault="00D659F2" w:rsidP="00627CBC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541F5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41F57" w:rsidRDefault="00CA1CE9" w:rsidP="00D659F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41F5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9C4DB10" w:rsidR="00CA1CE9" w:rsidRPr="00541F57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41F5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 за спровођење препоруке</w:t>
            </w:r>
          </w:p>
        </w:tc>
      </w:tr>
      <w:tr w:rsidR="00CA1CE9" w:rsidRPr="00541F5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41F57" w:rsidRDefault="00CA1CE9" w:rsidP="00D659F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41F5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1CD4D3D" w:rsidR="00CA1CE9" w:rsidRPr="00541F57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41F5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  <w:r w:rsidRPr="00541F5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1F5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препоруке</w:t>
            </w:r>
          </w:p>
        </w:tc>
      </w:tr>
      <w:tr w:rsidR="00CA1CE9" w:rsidRPr="00541F5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41F57" w:rsidRDefault="00CA1CE9" w:rsidP="00D659F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41F5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41F57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11947E" w14:textId="6176C254" w:rsidR="00CD5937" w:rsidRPr="00CD5937" w:rsidRDefault="00CD5937" w:rsidP="00CD5937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D5937">
              <w:rPr>
                <w:rFonts w:ascii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29.389,78 РСД. Усвајање и примена препорука ће донети привредним субјектима годишње директне уштеде од 2.482,35 РСД или 20,41 ЕУР. Ове уштеде износе 8,45% укупних директних трошкова привредних субјеката у поступку.</w:t>
            </w:r>
          </w:p>
          <w:p w14:paraId="4602CA6B" w14:textId="77777777" w:rsidR="00CD5937" w:rsidRPr="00CD5937" w:rsidRDefault="00CD5937" w:rsidP="00CD5937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331CCBA4" w14:textId="647FD56A" w:rsidR="00CA1CE9" w:rsidRPr="00541F57" w:rsidRDefault="00CD5937" w:rsidP="00CD593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593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</w:t>
            </w:r>
            <w:r w:rsidR="00430145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 истоветности поступања</w:t>
            </w:r>
            <w:r w:rsidRPr="00CD5937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и побољшању пословног амбијента.</w:t>
            </w:r>
          </w:p>
        </w:tc>
      </w:tr>
    </w:tbl>
    <w:p w14:paraId="5CE5710A" w14:textId="1C5B3A41" w:rsidR="003E3C16" w:rsidRPr="00541F5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41F5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B7D34" w14:textId="77777777" w:rsidR="00FE02A6" w:rsidRDefault="00FE02A6" w:rsidP="002A202F">
      <w:r>
        <w:separator/>
      </w:r>
    </w:p>
  </w:endnote>
  <w:endnote w:type="continuationSeparator" w:id="0">
    <w:p w14:paraId="576F851C" w14:textId="77777777" w:rsidR="00FE02A6" w:rsidRDefault="00FE02A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BBD5F9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B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DDA8F" w14:textId="77777777" w:rsidR="00FE02A6" w:rsidRDefault="00FE02A6" w:rsidP="002A202F">
      <w:r>
        <w:separator/>
      </w:r>
    </w:p>
  </w:footnote>
  <w:footnote w:type="continuationSeparator" w:id="0">
    <w:p w14:paraId="282154C7" w14:textId="77777777" w:rsidR="00FE02A6" w:rsidRDefault="00FE02A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2B722E"/>
    <w:multiLevelType w:val="hybridMultilevel"/>
    <w:tmpl w:val="4C1C2A7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014A6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54F97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7"/>
  </w:num>
  <w:num w:numId="5">
    <w:abstractNumId w:val="3"/>
  </w:num>
  <w:num w:numId="6">
    <w:abstractNumId w:val="16"/>
  </w:num>
  <w:num w:numId="7">
    <w:abstractNumId w:val="28"/>
  </w:num>
  <w:num w:numId="8">
    <w:abstractNumId w:val="13"/>
  </w:num>
  <w:num w:numId="9">
    <w:abstractNumId w:val="26"/>
  </w:num>
  <w:num w:numId="10">
    <w:abstractNumId w:val="24"/>
  </w:num>
  <w:num w:numId="11">
    <w:abstractNumId w:val="22"/>
  </w:num>
  <w:num w:numId="12">
    <w:abstractNumId w:val="21"/>
  </w:num>
  <w:num w:numId="13">
    <w:abstractNumId w:val="18"/>
  </w:num>
  <w:num w:numId="14">
    <w:abstractNumId w:val="25"/>
  </w:num>
  <w:num w:numId="15">
    <w:abstractNumId w:val="20"/>
  </w:num>
  <w:num w:numId="16">
    <w:abstractNumId w:val="14"/>
  </w:num>
  <w:num w:numId="17">
    <w:abstractNumId w:val="12"/>
  </w:num>
  <w:num w:numId="18">
    <w:abstractNumId w:val="27"/>
  </w:num>
  <w:num w:numId="19">
    <w:abstractNumId w:val="8"/>
  </w:num>
  <w:num w:numId="20">
    <w:abstractNumId w:val="30"/>
  </w:num>
  <w:num w:numId="21">
    <w:abstractNumId w:val="9"/>
  </w:num>
  <w:num w:numId="22">
    <w:abstractNumId w:val="5"/>
  </w:num>
  <w:num w:numId="23">
    <w:abstractNumId w:val="19"/>
  </w:num>
  <w:num w:numId="24">
    <w:abstractNumId w:val="0"/>
  </w:num>
  <w:num w:numId="25">
    <w:abstractNumId w:val="10"/>
  </w:num>
  <w:num w:numId="26">
    <w:abstractNumId w:val="1"/>
  </w:num>
  <w:num w:numId="27">
    <w:abstractNumId w:val="6"/>
  </w:num>
  <w:num w:numId="28">
    <w:abstractNumId w:val="2"/>
  </w:num>
  <w:num w:numId="29">
    <w:abstractNumId w:val="15"/>
  </w:num>
  <w:num w:numId="30">
    <w:abstractNumId w:val="29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565F1"/>
    <w:rsid w:val="00061070"/>
    <w:rsid w:val="00076303"/>
    <w:rsid w:val="000829B8"/>
    <w:rsid w:val="00083993"/>
    <w:rsid w:val="0008399A"/>
    <w:rsid w:val="00092B84"/>
    <w:rsid w:val="0009542A"/>
    <w:rsid w:val="000A53F3"/>
    <w:rsid w:val="000A5CDC"/>
    <w:rsid w:val="000B18CA"/>
    <w:rsid w:val="000B54D7"/>
    <w:rsid w:val="000D5029"/>
    <w:rsid w:val="000E2036"/>
    <w:rsid w:val="000F5E72"/>
    <w:rsid w:val="001156BA"/>
    <w:rsid w:val="0015182D"/>
    <w:rsid w:val="00161847"/>
    <w:rsid w:val="00163DE1"/>
    <w:rsid w:val="00170CA7"/>
    <w:rsid w:val="001711C5"/>
    <w:rsid w:val="00177847"/>
    <w:rsid w:val="001A023F"/>
    <w:rsid w:val="001A0670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27CF"/>
    <w:rsid w:val="00296938"/>
    <w:rsid w:val="002A202F"/>
    <w:rsid w:val="002B19B4"/>
    <w:rsid w:val="002F1BEC"/>
    <w:rsid w:val="002F4757"/>
    <w:rsid w:val="0030207B"/>
    <w:rsid w:val="0031032F"/>
    <w:rsid w:val="003173EB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008E"/>
    <w:rsid w:val="003B44DB"/>
    <w:rsid w:val="003B4BC9"/>
    <w:rsid w:val="003B6298"/>
    <w:rsid w:val="003D2973"/>
    <w:rsid w:val="003E2EB1"/>
    <w:rsid w:val="003E3C16"/>
    <w:rsid w:val="003F1D05"/>
    <w:rsid w:val="00407D96"/>
    <w:rsid w:val="00430145"/>
    <w:rsid w:val="00432495"/>
    <w:rsid w:val="0043298C"/>
    <w:rsid w:val="00444DA7"/>
    <w:rsid w:val="004502DB"/>
    <w:rsid w:val="00457882"/>
    <w:rsid w:val="00463CC7"/>
    <w:rsid w:val="004809C4"/>
    <w:rsid w:val="0048433C"/>
    <w:rsid w:val="004847B1"/>
    <w:rsid w:val="00492312"/>
    <w:rsid w:val="0049545B"/>
    <w:rsid w:val="004A3A89"/>
    <w:rsid w:val="004C29DD"/>
    <w:rsid w:val="004C316C"/>
    <w:rsid w:val="004C62ED"/>
    <w:rsid w:val="004D3BD0"/>
    <w:rsid w:val="004D45B1"/>
    <w:rsid w:val="004D68A7"/>
    <w:rsid w:val="004E29D1"/>
    <w:rsid w:val="00500566"/>
    <w:rsid w:val="00501285"/>
    <w:rsid w:val="005047B4"/>
    <w:rsid w:val="005073A3"/>
    <w:rsid w:val="00523608"/>
    <w:rsid w:val="00525C0A"/>
    <w:rsid w:val="00535608"/>
    <w:rsid w:val="00541F57"/>
    <w:rsid w:val="00556688"/>
    <w:rsid w:val="0056162B"/>
    <w:rsid w:val="0056707B"/>
    <w:rsid w:val="00581A9D"/>
    <w:rsid w:val="005A2503"/>
    <w:rsid w:val="005A770A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27CBC"/>
    <w:rsid w:val="00632540"/>
    <w:rsid w:val="00633F73"/>
    <w:rsid w:val="00645199"/>
    <w:rsid w:val="00645850"/>
    <w:rsid w:val="00661ECF"/>
    <w:rsid w:val="00665E8D"/>
    <w:rsid w:val="00692071"/>
    <w:rsid w:val="00694B28"/>
    <w:rsid w:val="006B1797"/>
    <w:rsid w:val="006C5349"/>
    <w:rsid w:val="006C5F2A"/>
    <w:rsid w:val="006C662C"/>
    <w:rsid w:val="006F4A5C"/>
    <w:rsid w:val="00715F5C"/>
    <w:rsid w:val="00722B6E"/>
    <w:rsid w:val="0072396F"/>
    <w:rsid w:val="007278C1"/>
    <w:rsid w:val="00733493"/>
    <w:rsid w:val="00737F1D"/>
    <w:rsid w:val="0077286F"/>
    <w:rsid w:val="00782816"/>
    <w:rsid w:val="00785A46"/>
    <w:rsid w:val="007861E3"/>
    <w:rsid w:val="007940D6"/>
    <w:rsid w:val="007B1740"/>
    <w:rsid w:val="007C61B5"/>
    <w:rsid w:val="007C7BB9"/>
    <w:rsid w:val="007D3889"/>
    <w:rsid w:val="007D39E4"/>
    <w:rsid w:val="007D43A7"/>
    <w:rsid w:val="007E1695"/>
    <w:rsid w:val="007F204C"/>
    <w:rsid w:val="00804060"/>
    <w:rsid w:val="008166C9"/>
    <w:rsid w:val="00816A77"/>
    <w:rsid w:val="00824E43"/>
    <w:rsid w:val="00833D8C"/>
    <w:rsid w:val="00834C9A"/>
    <w:rsid w:val="0084708C"/>
    <w:rsid w:val="00850AD5"/>
    <w:rsid w:val="00852739"/>
    <w:rsid w:val="00856A4C"/>
    <w:rsid w:val="008629CC"/>
    <w:rsid w:val="00865EBB"/>
    <w:rsid w:val="00874F21"/>
    <w:rsid w:val="00881D06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1948"/>
    <w:rsid w:val="00947592"/>
    <w:rsid w:val="00950280"/>
    <w:rsid w:val="00963E43"/>
    <w:rsid w:val="00991A18"/>
    <w:rsid w:val="00994A16"/>
    <w:rsid w:val="009A30D3"/>
    <w:rsid w:val="009A3AFF"/>
    <w:rsid w:val="009C3F76"/>
    <w:rsid w:val="009D03A7"/>
    <w:rsid w:val="009E0479"/>
    <w:rsid w:val="009E094A"/>
    <w:rsid w:val="009F6371"/>
    <w:rsid w:val="00A0102E"/>
    <w:rsid w:val="00A12320"/>
    <w:rsid w:val="00A12960"/>
    <w:rsid w:val="00A1570D"/>
    <w:rsid w:val="00A22386"/>
    <w:rsid w:val="00A55839"/>
    <w:rsid w:val="00A56B75"/>
    <w:rsid w:val="00A67E9C"/>
    <w:rsid w:val="00A71C04"/>
    <w:rsid w:val="00AA0017"/>
    <w:rsid w:val="00AA4BC5"/>
    <w:rsid w:val="00AB09B3"/>
    <w:rsid w:val="00AC02D1"/>
    <w:rsid w:val="00AC1A2D"/>
    <w:rsid w:val="00B06019"/>
    <w:rsid w:val="00B07409"/>
    <w:rsid w:val="00B1006E"/>
    <w:rsid w:val="00B15735"/>
    <w:rsid w:val="00B178FB"/>
    <w:rsid w:val="00B5252A"/>
    <w:rsid w:val="00B62FE4"/>
    <w:rsid w:val="00B63DB1"/>
    <w:rsid w:val="00B65972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2E4A"/>
    <w:rsid w:val="00BF326D"/>
    <w:rsid w:val="00C0295C"/>
    <w:rsid w:val="00C03C06"/>
    <w:rsid w:val="00C121EC"/>
    <w:rsid w:val="00C12C65"/>
    <w:rsid w:val="00C445E2"/>
    <w:rsid w:val="00C70F1B"/>
    <w:rsid w:val="00C7129D"/>
    <w:rsid w:val="00C748D1"/>
    <w:rsid w:val="00C76CA6"/>
    <w:rsid w:val="00C80A7F"/>
    <w:rsid w:val="00C91014"/>
    <w:rsid w:val="00C950B3"/>
    <w:rsid w:val="00C97D53"/>
    <w:rsid w:val="00CA1CE9"/>
    <w:rsid w:val="00CA3728"/>
    <w:rsid w:val="00CB1A4E"/>
    <w:rsid w:val="00CC29F6"/>
    <w:rsid w:val="00CD2287"/>
    <w:rsid w:val="00CD5937"/>
    <w:rsid w:val="00CD5BBB"/>
    <w:rsid w:val="00CE0685"/>
    <w:rsid w:val="00CE0CEC"/>
    <w:rsid w:val="00CE71E8"/>
    <w:rsid w:val="00D30E2B"/>
    <w:rsid w:val="00D37EA5"/>
    <w:rsid w:val="00D5483D"/>
    <w:rsid w:val="00D659F2"/>
    <w:rsid w:val="00D73628"/>
    <w:rsid w:val="00D73918"/>
    <w:rsid w:val="00D76571"/>
    <w:rsid w:val="00D829E6"/>
    <w:rsid w:val="00D967D7"/>
    <w:rsid w:val="00DA125D"/>
    <w:rsid w:val="00DB19B9"/>
    <w:rsid w:val="00DC4BC2"/>
    <w:rsid w:val="00DE057D"/>
    <w:rsid w:val="00DE4DBB"/>
    <w:rsid w:val="00DE5120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12B1"/>
    <w:rsid w:val="00E826A9"/>
    <w:rsid w:val="00F11C98"/>
    <w:rsid w:val="00F12E47"/>
    <w:rsid w:val="00F13F0F"/>
    <w:rsid w:val="00F223B2"/>
    <w:rsid w:val="00F37C08"/>
    <w:rsid w:val="00F53241"/>
    <w:rsid w:val="00F67790"/>
    <w:rsid w:val="00F74B60"/>
    <w:rsid w:val="00F93FE6"/>
    <w:rsid w:val="00FB1A1B"/>
    <w:rsid w:val="00FB645B"/>
    <w:rsid w:val="00FC09D6"/>
    <w:rsid w:val="00FC34EC"/>
    <w:rsid w:val="00FC3F69"/>
    <w:rsid w:val="00FC5312"/>
    <w:rsid w:val="00FD3964"/>
    <w:rsid w:val="00FE02A6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uiPriority w:val="99"/>
    <w:semiHidden/>
    <w:rsid w:val="00F93FE6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C0265-E334-4048-ABC4-CC9076469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29</cp:revision>
  <cp:lastPrinted>2018-09-05T12:48:00Z</cp:lastPrinted>
  <dcterms:created xsi:type="dcterms:W3CDTF">2019-09-13T13:01:00Z</dcterms:created>
  <dcterms:modified xsi:type="dcterms:W3CDTF">2020-06-02T13:29:00Z</dcterms:modified>
</cp:coreProperties>
</file>