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3E" w:rsidRPr="008653B7" w:rsidRDefault="002244DF" w:rsidP="002244D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bookmarkStart w:id="0" w:name="_GoBack"/>
      <w:bookmarkEnd w:id="0"/>
      <w:r w:rsidRPr="008653B7">
        <w:rPr>
          <w:b/>
          <w:sz w:val="22"/>
          <w:szCs w:val="22"/>
          <w:lang/>
        </w:rPr>
        <w:t>ПОЈЕДНОСТАВЉЕЊЕ ПОСТУПКА БРИСАЊА ИЗ РЕГИСТРА ПРОИЗВОЂАЧА ВИНА</w:t>
      </w:r>
    </w:p>
    <w:p w:rsidR="002244DF" w:rsidRPr="008653B7" w:rsidRDefault="002244DF" w:rsidP="002244D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EF50C6" w:rsidRPr="002C79FE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653B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8653B7" w:rsidRDefault="00C720E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Брисање из Регистра произвођача вина</w:t>
            </w:r>
          </w:p>
        </w:tc>
      </w:tr>
      <w:tr w:rsidR="00EF50C6" w:rsidRPr="008653B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653B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8653B7" w:rsidRDefault="00C720E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16.00.0097</w:t>
            </w:r>
          </w:p>
        </w:tc>
      </w:tr>
      <w:tr w:rsidR="00EF50C6" w:rsidRPr="002C79F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653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275E2A" w:rsidRPr="008653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92B84" w:rsidRPr="008653B7" w:rsidRDefault="00C720E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8653B7">
              <w:rPr>
                <w:sz w:val="22"/>
                <w:szCs w:val="22"/>
                <w:lang/>
              </w:rPr>
              <w:t>Министарство пољопривреде, шумарства и водопривреде</w:t>
            </w:r>
          </w:p>
        </w:tc>
      </w:tr>
      <w:tr w:rsidR="00EF50C6" w:rsidRPr="008653B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653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Правни о</w:t>
            </w:r>
            <w:r w:rsidR="00B903AE" w:rsidRPr="008653B7">
              <w:rPr>
                <w:b/>
                <w:sz w:val="22"/>
                <w:szCs w:val="22"/>
                <w:lang/>
              </w:rPr>
              <w:t>квир</w:t>
            </w:r>
            <w:r w:rsidR="00DC4BC2" w:rsidRPr="008653B7">
              <w:rPr>
                <w:b/>
                <w:sz w:val="22"/>
                <w:szCs w:val="22"/>
                <w:lang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FC644F" w:rsidRPr="008653B7" w:rsidRDefault="00782F3E" w:rsidP="00F13333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Закон о вину („Сл. Гласник РС“, бр. 41/2009-140, 93/2012-28)  </w:t>
            </w:r>
          </w:p>
          <w:p w:rsidR="00645199" w:rsidRPr="008653B7" w:rsidRDefault="00FC644F" w:rsidP="00782F3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Правилник о садржини и начину вођења Винарског регистра, као и о обрасцу захтева за упис у Bинарски регистар </w:t>
            </w:r>
            <w:r w:rsidR="00782F3E" w:rsidRPr="008653B7">
              <w:rPr>
                <w:rFonts w:ascii="Times New Roman" w:hAnsi="Times New Roman"/>
                <w:sz w:val="22"/>
                <w:szCs w:val="22"/>
                <w:lang/>
              </w:rPr>
              <w:t>(„Сл. Гласник РС“, бр. 67/11</w:t>
            </w:r>
            <w:r w:rsidR="00782F3E" w:rsidRPr="008653B7">
              <w:rPr>
                <w:rFonts w:ascii="Times New Roman" w:hAnsi="Times New Roman"/>
                <w:sz w:val="22"/>
                <w:szCs w:val="22"/>
                <w:lang/>
              </w:rPr>
              <w:t>, 61/17</w:t>
            </w:r>
            <w:r w:rsidR="00782F3E" w:rsidRPr="008653B7">
              <w:rPr>
                <w:rFonts w:ascii="Times New Roman" w:hAnsi="Times New Roman"/>
                <w:sz w:val="22"/>
                <w:szCs w:val="22"/>
                <w:lang/>
              </w:rPr>
              <w:t>)</w:t>
            </w:r>
          </w:p>
        </w:tc>
      </w:tr>
      <w:tr w:rsidR="00EF50C6" w:rsidRPr="008653B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8653B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</w:pPr>
            <w:r w:rsidRPr="008653B7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8653B7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804060" w:rsidRPr="008653B7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/донети/укинути</w:t>
            </w:r>
            <w:r w:rsidR="00804060" w:rsidRPr="008653B7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8653B7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8653B7" w:rsidRDefault="00DC7970" w:rsidP="00782F3E">
            <w:pPr>
              <w:pStyle w:val="ListParagraph"/>
              <w:numPr>
                <w:ilvl w:val="0"/>
                <w:numId w:val="31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Правилник о садржини и начину вођења Винарског регистра, као и о обрасцу захтева за упис у Bинарски регистар </w:t>
            </w:r>
            <w:r w:rsidR="00782F3E" w:rsidRPr="008653B7">
              <w:rPr>
                <w:rFonts w:ascii="Times New Roman" w:hAnsi="Times New Roman"/>
                <w:sz w:val="22"/>
                <w:szCs w:val="22"/>
                <w:lang/>
              </w:rPr>
              <w:t>(„Сл. Гласник РС“, бр. 67/11</w:t>
            </w:r>
            <w:r w:rsidR="00782F3E" w:rsidRPr="008653B7">
              <w:rPr>
                <w:rFonts w:ascii="Times New Roman" w:hAnsi="Times New Roman"/>
                <w:sz w:val="22"/>
                <w:szCs w:val="22"/>
                <w:lang/>
              </w:rPr>
              <w:t>, 61/17</w:t>
            </w:r>
            <w:r w:rsidR="00782F3E"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)  </w:t>
            </w:r>
          </w:p>
        </w:tc>
      </w:tr>
      <w:tr w:rsidR="00EF50C6" w:rsidRPr="0063255C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8653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Рок за спровођење препорук</w:t>
            </w:r>
            <w:r w:rsidR="00D73918" w:rsidRPr="008653B7">
              <w:rPr>
                <w:b/>
                <w:sz w:val="22"/>
                <w:szCs w:val="22"/>
                <w:lang/>
              </w:rPr>
              <w:t>а</w:t>
            </w:r>
          </w:p>
        </w:tc>
        <w:tc>
          <w:tcPr>
            <w:tcW w:w="6371" w:type="dxa"/>
            <w:vAlign w:val="center"/>
          </w:tcPr>
          <w:p w:rsidR="00303CBA" w:rsidRPr="00113F80" w:rsidRDefault="00113F80" w:rsidP="006325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ru-RU"/>
              </w:rPr>
            </w:pPr>
            <w:r w:rsidRPr="00113F80">
              <w:rPr>
                <w:color w:val="000000"/>
                <w:sz w:val="22"/>
                <w:szCs w:val="22"/>
              </w:rPr>
              <w:t>Први квартал 2021. године</w:t>
            </w:r>
          </w:p>
        </w:tc>
      </w:tr>
      <w:tr w:rsidR="00EF50C6" w:rsidRPr="0063255C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8653B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EF50C6" w:rsidRPr="002C79FE" w:rsidTr="00CA1CE9">
        <w:tc>
          <w:tcPr>
            <w:tcW w:w="9060" w:type="dxa"/>
            <w:gridSpan w:val="2"/>
          </w:tcPr>
          <w:p w:rsidR="000A3393" w:rsidRPr="008653B7" w:rsidRDefault="000A3393" w:rsidP="000A3393">
            <w:pPr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Подношење захтева / обавештења за брисање из регистра увек за последицу има браисање из регистра, а спроводи</w:t>
            </w:r>
            <w:r w:rsidR="00D032D7"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 се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 једноставним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повлачењем дијагоналне линије преко свих рубрика осим рубрике "промене" у коју се уноси број и датум акта на основу кога је извршена промена, односно </w:t>
            </w:r>
            <w:r w:rsidR="00CA4129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брисање произвођача из Регистра. </w:t>
            </w:r>
            <w:r w:rsidR="00D032D7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Рок за решавање захтева је 60 дана, те се предлаже увођење нотификације, чиме ће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се дан предаје нотификације којом произвођач обавештава Министарство о престанку обављања делатности сматра</w:t>
            </w:r>
            <w:r w:rsidR="00D032D7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ти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даном престанка обављања делатности. </w:t>
            </w:r>
          </w:p>
          <w:p w:rsidR="00DC7970" w:rsidRPr="008653B7" w:rsidRDefault="0061785F" w:rsidP="00DC797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</w:t>
            </w:r>
            <w:r w:rsidR="00DC7970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:rsidR="0009542A" w:rsidRPr="008653B7" w:rsidRDefault="00DC7970" w:rsidP="00D032D7">
            <w:pPr>
              <w:pStyle w:val="NormalWeb"/>
              <w:jc w:val="both"/>
              <w:rPr>
                <w:sz w:val="22"/>
                <w:szCs w:val="22"/>
                <w:lang/>
              </w:rPr>
            </w:pPr>
            <w:r w:rsidRPr="008653B7">
              <w:rPr>
                <w:sz w:val="22"/>
                <w:szCs w:val="22"/>
                <w:lang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EF50C6" w:rsidRPr="008653B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8653B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EF50C6" w:rsidRPr="008653B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8653B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EF50C6" w:rsidRPr="008653B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447"/>
              <w:gridCol w:w="1948"/>
              <w:gridCol w:w="1952"/>
              <w:gridCol w:w="1487"/>
            </w:tblGrid>
            <w:tr w:rsidR="00EF50C6" w:rsidRPr="002C79FE" w:rsidTr="001C3766">
              <w:trPr>
                <w:trHeight w:val="749"/>
              </w:trPr>
              <w:tc>
                <w:tcPr>
                  <w:tcW w:w="3447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8653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8653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7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8653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EF50C6" w:rsidRPr="008653B7" w:rsidTr="001C3766">
              <w:trPr>
                <w:trHeight w:val="260"/>
              </w:trPr>
              <w:tc>
                <w:tcPr>
                  <w:tcW w:w="3447" w:type="dxa"/>
                  <w:vMerge/>
                </w:tcPr>
                <w:p w:rsidR="00C70F1B" w:rsidRPr="008653B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C70F1B" w:rsidRPr="008653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C70F1B" w:rsidRPr="008653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487" w:type="dxa"/>
                  <w:vMerge/>
                </w:tcPr>
                <w:p w:rsidR="00C70F1B" w:rsidRPr="008653B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B50014" w:rsidRPr="008653B7" w:rsidTr="00B50014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B50014" w:rsidP="00B5001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Увођење подношења нотификације и тиме поједностављење/елиминација корака у оквиру процеса одлучивања</w:t>
                  </w:r>
                </w:p>
              </w:tc>
              <w:tc>
                <w:tcPr>
                  <w:tcW w:w="1948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487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hAnsi="Times New Roman"/>
                      <w:sz w:val="22"/>
                      <w:szCs w:val="22"/>
                      <w:lang/>
                    </w:rPr>
                    <w:t>1</w:t>
                  </w:r>
                </w:p>
              </w:tc>
            </w:tr>
            <w:tr w:rsidR="00B50014" w:rsidRPr="008653B7" w:rsidTr="001C3766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B50014" w:rsidP="00B5001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7" w:type="dxa"/>
                  <w:gridSpan w:val="3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B50014" w:rsidRPr="008653B7" w:rsidTr="001C3766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4B49AF" w:rsidP="00B5001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Увођење / модификација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:rsidR="00B50014" w:rsidRPr="008653B7" w:rsidRDefault="00083A20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487" w:type="dxa"/>
                </w:tcPr>
                <w:p w:rsidR="00B50014" w:rsidRPr="008653B7" w:rsidRDefault="00083A20" w:rsidP="00D00C93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  <w:t>1</w:t>
                  </w:r>
                </w:p>
              </w:tc>
            </w:tr>
            <w:tr w:rsidR="00B50014" w:rsidRPr="008653B7" w:rsidTr="00AF70E1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B50014" w:rsidP="00B5001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hAnsi="Times New Roman"/>
                      <w:i/>
                      <w:sz w:val="22"/>
                      <w:szCs w:val="22"/>
                      <w:lang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487" w:type="dxa"/>
                  <w:vAlign w:val="center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B50014" w:rsidRPr="008653B7" w:rsidTr="001C3766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B50014" w:rsidP="00B5001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:rsidR="00B50014" w:rsidRPr="008653B7" w:rsidRDefault="00833C6B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487" w:type="dxa"/>
                </w:tcPr>
                <w:p w:rsidR="00B50014" w:rsidRPr="00605365" w:rsidRDefault="00833C6B" w:rsidP="00D00C93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en-GB"/>
                    </w:rPr>
                  </w:pPr>
                  <w:r w:rsidRPr="00605365">
                    <w:rPr>
                      <w:rFonts w:ascii="Times New Roman" w:eastAsia="Times New Roman" w:hAnsi="Times New Roman"/>
                      <w:sz w:val="22"/>
                      <w:szCs w:val="22"/>
                      <w:lang w:val="en-GB"/>
                    </w:rPr>
                    <w:t>1</w:t>
                  </w:r>
                </w:p>
              </w:tc>
            </w:tr>
            <w:tr w:rsidR="00B50014" w:rsidRPr="008653B7" w:rsidTr="006E3E05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B50014" w:rsidP="00B5001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Документација</w:t>
                  </w:r>
                </w:p>
              </w:tc>
              <w:tc>
                <w:tcPr>
                  <w:tcW w:w="5387" w:type="dxa"/>
                  <w:gridSpan w:val="3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B50014" w:rsidRPr="008653B7" w:rsidTr="001C3766">
              <w:trPr>
                <w:trHeight w:val="489"/>
              </w:trPr>
              <w:tc>
                <w:tcPr>
                  <w:tcW w:w="3447" w:type="dxa"/>
                  <w:vAlign w:val="center"/>
                </w:tcPr>
                <w:p w:rsidR="00B50014" w:rsidRPr="008653B7" w:rsidRDefault="00B50014" w:rsidP="00B5001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653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487" w:type="dxa"/>
                </w:tcPr>
                <w:p w:rsidR="00B50014" w:rsidRPr="008653B7" w:rsidRDefault="00B50014" w:rsidP="00D00C93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CA1CE9" w:rsidRPr="008653B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EF50C6" w:rsidRPr="008653B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653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EF50C6" w:rsidRPr="002C79F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202800" w:rsidRPr="008653B7" w:rsidRDefault="00202800" w:rsidP="00202800">
            <w:pPr>
              <w:pStyle w:val="ListParagraph"/>
              <w:ind w:left="360"/>
              <w:rPr>
                <w:rFonts w:ascii="Times New Roman" w:eastAsia="Times New Roman" w:hAnsi="Times New Roman"/>
                <w:color w:val="0070C0"/>
                <w:sz w:val="22"/>
                <w:szCs w:val="22"/>
                <w:lang/>
              </w:rPr>
            </w:pPr>
          </w:p>
          <w:p w:rsidR="00202800" w:rsidRPr="008653B7" w:rsidRDefault="00202800" w:rsidP="004B49AF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Увођење подношења нотификације</w:t>
            </w:r>
          </w:p>
          <w:p w:rsidR="00EF50C6" w:rsidRPr="008653B7" w:rsidRDefault="00EF50C6" w:rsidP="00EF50C6">
            <w:pPr>
              <w:pStyle w:val="ListParagraph"/>
              <w:ind w:left="454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Како се брисање из Регистра спроводи  једноствним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повлачењем дијагоналне линије преко свих рубрика осим рубрике "промене" у коју се уноси број и датум акта на основу кога је извршена промена, односно брисање произвођача из Регистра, предлаже се елиминисање рока од 60 дана за решавање по захтеву и увођење нотификације. Такође, предлаже се да се дан предаје нотификације којом произвођач обавештава Министарство о престанку обављања делатности сматра даном престанка обављања делатности, а о чему решење доноси министар.</w:t>
            </w:r>
          </w:p>
          <w:p w:rsidR="00202800" w:rsidRPr="008653B7" w:rsidRDefault="00202800" w:rsidP="00202800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EF50C6" w:rsidRPr="008653B7" w:rsidRDefault="00202800" w:rsidP="00202800">
            <w:pPr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За примену ове препоруке, потребно је изменити и допунити </w:t>
            </w:r>
            <w:r w:rsidR="00EF50C6"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Правилник о садржини и начину вођења Винарског регистра, као и о обрасцу захтева за упис у Bинарски регистар </w:t>
            </w:r>
            <w:r w:rsidR="00782F3E"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(„Сл. Гласник РС“, бр. 67/11, 61/17)</w:t>
            </w:r>
            <w:r w:rsidR="00EF50C6"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.</w:t>
            </w:r>
          </w:p>
          <w:p w:rsidR="00202800" w:rsidRPr="008653B7" w:rsidRDefault="00202800" w:rsidP="00202800">
            <w:pPr>
              <w:pStyle w:val="ListParagraph"/>
              <w:spacing w:before="120" w:line="276" w:lineRule="auto"/>
              <w:rPr>
                <w:rFonts w:ascii="Times New Roman" w:eastAsia="Times New Roman" w:hAnsi="Times New Roman"/>
                <w:b/>
                <w:color w:val="0070C0"/>
                <w:sz w:val="22"/>
                <w:szCs w:val="22"/>
                <w:lang/>
              </w:rPr>
            </w:pPr>
          </w:p>
          <w:p w:rsidR="00F42D14" w:rsidRPr="008653B7" w:rsidRDefault="00F42D14" w:rsidP="004B49AF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 xml:space="preserve">Увођење / модификација обрасца административног захтева </w:t>
            </w:r>
          </w:p>
          <w:p w:rsidR="00F42D14" w:rsidRPr="008653B7" w:rsidRDefault="00F42D14" w:rsidP="00F42D14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Предлаже се </w:t>
            </w:r>
            <w:r w:rsidR="0061785F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модификовање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Шифру административног поступка или назив обрасца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-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може да стоји у горњем десном углу обрасца;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 (управна ствар која је предмет поступка);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004B49AF" w:rsidRPr="008653B7" w:rsidRDefault="004B49AF" w:rsidP="004B49A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004B49AF" w:rsidRPr="008653B7" w:rsidRDefault="004B49AF" w:rsidP="004B49A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форма докумената (оригинал, копија, оверена копија, копија уз оригинал на увид), 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ab/>
              <w:t>уколико се документација подноси у папиру</w:t>
            </w:r>
          </w:p>
          <w:p w:rsidR="004B49AF" w:rsidRPr="008653B7" w:rsidRDefault="004B49AF" w:rsidP="004B49A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004B49AF" w:rsidRPr="008653B7" w:rsidRDefault="004B49AF" w:rsidP="004B49A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специфичности у вези документа, ако их има (нпр. број потребних примерака, 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lastRenderedPageBreak/>
              <w:tab/>
              <w:t xml:space="preserve">уколико се документација подноси у папиру и у више од једног примерка или нпр. 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ab/>
              <w:t>документ подносе само привредна друштва и сл.);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004B49AF" w:rsidRPr="008653B7" w:rsidRDefault="004B49AF" w:rsidP="004B49A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1. ДА</w:t>
            </w:r>
          </w:p>
          <w:p w:rsidR="004B49AF" w:rsidRPr="008653B7" w:rsidRDefault="004B49AF" w:rsidP="004B49A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004B49AF" w:rsidRPr="008653B7" w:rsidRDefault="004B49AF" w:rsidP="004B49A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004B49AF" w:rsidRPr="008653B7" w:rsidRDefault="004B49AF" w:rsidP="004B49AF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захтева; 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ind w:left="885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4B49AF" w:rsidRPr="008653B7" w:rsidRDefault="004B49AF" w:rsidP="004B49AF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4B49AF" w:rsidRPr="008653B7" w:rsidRDefault="004B49AF" w:rsidP="004B49AF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4B49AF" w:rsidRPr="008653B7" w:rsidRDefault="004B49AF" w:rsidP="004B49AF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4B49AF" w:rsidRPr="008653B7" w:rsidRDefault="004B49AF" w:rsidP="004B49AF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4B49AF" w:rsidRPr="008653B7" w:rsidRDefault="004B49AF" w:rsidP="004B49A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4B49AF" w:rsidRPr="008653B7" w:rsidRDefault="004B49AF" w:rsidP="004B49A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4B49AF" w:rsidRPr="008653B7" w:rsidRDefault="004B49AF" w:rsidP="004B49A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4B49AF" w:rsidRPr="008653B7" w:rsidRDefault="004B49AF" w:rsidP="004B49A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4B49AF" w:rsidRPr="008653B7" w:rsidRDefault="004B49AF" w:rsidP="004B49A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4B49AF" w:rsidRPr="008653B7" w:rsidRDefault="004B49AF" w:rsidP="004B49A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008653B7" w:rsidRPr="008653B7" w:rsidRDefault="008653B7" w:rsidP="005F388E">
            <w:pPr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  <w:p w:rsidR="005F388E" w:rsidRPr="008653B7" w:rsidRDefault="005F388E" w:rsidP="005F388E">
            <w:pPr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За примену ове препоруке, потребн</w:t>
            </w:r>
            <w:r w:rsidR="0061785F"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а</w:t>
            </w: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 је измен</w:t>
            </w:r>
            <w:r w:rsidR="0061785F"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а</w:t>
            </w: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 Правилник</w:t>
            </w:r>
            <w:r w:rsidR="0061785F"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а</w:t>
            </w: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  <w:p w:rsidR="00B50014" w:rsidRPr="008653B7" w:rsidRDefault="00B50014" w:rsidP="00F42D14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  <w:p w:rsidR="00F42D14" w:rsidRPr="008653B7" w:rsidRDefault="00F42D14" w:rsidP="004B49AF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Престанак употребе печата на обрасцу захтева</w:t>
            </w:r>
          </w:p>
          <w:p w:rsidR="00F42D14" w:rsidRPr="008653B7" w:rsidRDefault="00F42D14" w:rsidP="00F42D14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F42D14" w:rsidRPr="008653B7" w:rsidRDefault="00F42D14" w:rsidP="00F42D14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:rsidR="00F42D14" w:rsidRPr="008653B7" w:rsidRDefault="00F42D14" w:rsidP="00F42D14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4B49AF" w:rsidRDefault="004B49AF" w:rsidP="004B49AF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За примену ове препоруке потребно је изменити Правилник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  <w:p w:rsidR="00165FAB" w:rsidRPr="008653B7" w:rsidRDefault="00165FAB" w:rsidP="004B49AF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  <w:p w:rsidR="0063255C" w:rsidRPr="0063255C" w:rsidRDefault="0063255C" w:rsidP="0063255C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3255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Министарство пољопривреде, шумарства и водопривреде 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2C79F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</w:t>
            </w:r>
            <w:r w:rsidRPr="0063255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 Закона о привредним друштвима, чиме ће се обезбедити спровођење препоруке.</w:t>
            </w:r>
          </w:p>
          <w:p w:rsidR="00CA1CE9" w:rsidRPr="008653B7" w:rsidRDefault="00CA1CE9" w:rsidP="00D032D7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EF50C6" w:rsidRPr="002C79F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653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F50C6" w:rsidRPr="008653B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44331" w:rsidRPr="008653B7" w:rsidRDefault="003049F1" w:rsidP="00344331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1.</w:t>
            </w:r>
          </w:p>
          <w:p w:rsidR="00AB6253" w:rsidRPr="008653B7" w:rsidRDefault="00E443EE" w:rsidP="00AB6253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НАЦРТ</w:t>
            </w:r>
            <w:r w:rsidR="00344331"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 xml:space="preserve"> </w:t>
            </w:r>
          </w:p>
          <w:p w:rsidR="00E443EE" w:rsidRPr="008653B7" w:rsidRDefault="00E443EE" w:rsidP="00344331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ПРАВИЛНИК О ИЗМЕНАМА ПРАВИЛНИКА О САДРЖИНИ И НАЧИНУ ВОЂЕЊА ВИНАРСКОГ РЕГИСТРА</w:t>
            </w:r>
          </w:p>
          <w:p w:rsidR="00E443EE" w:rsidRPr="008653B7" w:rsidRDefault="00E443EE" w:rsidP="00E443EE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Члан 1.</w:t>
            </w:r>
          </w:p>
          <w:p w:rsidR="00344331" w:rsidRPr="008653B7" w:rsidRDefault="00344331" w:rsidP="00344331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 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Правилнику о садржини и начину вођења Винарског регистра, као и о обрасцу захтева за упис у Bинарски регистар 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(„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Сл. Гласник РС“, број 67/11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, 61/17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) у члану 8. у ставу 1. речи: „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решења министра надлежног за послове пољопривреде, ако поднесе захтев за брисање на основу одлуке о престанку обављања делатности“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  замењују се речима: „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нотификације којом произвођач обавештава Министарство о престанку обављања делатности, а дан предаје нотификације се сматра даном</w:t>
            </w:r>
            <w:r w:rsidR="006A4D6D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престанка обављања делатности,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о чему решење доноси министар“</w:t>
            </w:r>
            <w:r w:rsidR="00992B69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.</w:t>
            </w:r>
          </w:p>
          <w:p w:rsidR="00E443EE" w:rsidRPr="008653B7" w:rsidRDefault="00E443EE" w:rsidP="00E443EE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Члан 2.</w:t>
            </w:r>
          </w:p>
          <w:p w:rsidR="00E443EE" w:rsidRPr="008653B7" w:rsidRDefault="00EE2275" w:rsidP="00E443EE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Овај</w:t>
            </w:r>
            <w:r w:rsidR="00E443EE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закон ступа на снагу осмог дана  од дана објављивања у „Службеном гласнику Републике Србије“.</w:t>
            </w:r>
          </w:p>
          <w:p w:rsidR="00CA1CE9" w:rsidRPr="008653B7" w:rsidRDefault="00CA1CE9" w:rsidP="00ED04B8">
            <w:pPr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3049F1" w:rsidRPr="008653B7" w:rsidRDefault="003049F1" w:rsidP="003049F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2.</w:t>
            </w:r>
          </w:p>
          <w:p w:rsidR="003049F1" w:rsidRPr="008653B7" w:rsidRDefault="003049F1" w:rsidP="00ED04B8">
            <w:pPr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5F388E" w:rsidRPr="008653B7" w:rsidRDefault="005F388E" w:rsidP="00DA370D">
            <w:pPr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За примену препоруке </w:t>
            </w:r>
            <w:r w:rsidR="003049F1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3.2 Увођење / модификација обрасца административног захтева</w:t>
            </w:r>
            <w:r w:rsidR="003049F1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  <w:r w:rsidR="004B49AF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 3.4. Престанак употребе печата на обрасцу захтева </w:t>
            </w:r>
            <w:r w:rsidR="003049F1" w:rsidRPr="008653B7">
              <w:rPr>
                <w:rFonts w:ascii="Times New Roman" w:hAnsi="Times New Roman"/>
                <w:sz w:val="22"/>
                <w:szCs w:val="22"/>
                <w:lang/>
              </w:rPr>
              <w:t>потребн</w:t>
            </w:r>
            <w:r w:rsidR="00DA370D" w:rsidRPr="008653B7">
              <w:rPr>
                <w:rFonts w:ascii="Times New Roman" w:hAnsi="Times New Roman"/>
                <w:sz w:val="22"/>
                <w:szCs w:val="22"/>
                <w:lang/>
              </w:rPr>
              <w:t>а је измена</w:t>
            </w:r>
            <w:r w:rsidR="003049F1"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 Правилник</w:t>
            </w:r>
            <w:r w:rsidR="00DA370D" w:rsidRPr="008653B7">
              <w:rPr>
                <w:rFonts w:ascii="Times New Roman" w:hAnsi="Times New Roman"/>
                <w:sz w:val="22"/>
                <w:szCs w:val="22"/>
                <w:lang/>
              </w:rPr>
              <w:t>а</w:t>
            </w:r>
            <w:r w:rsidR="003049F1" w:rsidRPr="008653B7">
              <w:rPr>
                <w:rFonts w:ascii="Times New Roman" w:hAnsi="Times New Roman"/>
                <w:sz w:val="22"/>
                <w:szCs w:val="22"/>
                <w:lang/>
              </w:rPr>
              <w:t xml:space="preserve">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</w:tc>
      </w:tr>
      <w:tr w:rsidR="00EF50C6" w:rsidRPr="0063255C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653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t>ПРЕГЛЕД ОДРЕДБИ ПРОПИСА ЧИЈА СЕ ИЗМЕНА ПРЕДЛАЖЕ</w:t>
            </w:r>
          </w:p>
        </w:tc>
      </w:tr>
      <w:tr w:rsidR="00EF50C6" w:rsidRPr="008653B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E443EE" w:rsidRPr="008653B7" w:rsidRDefault="003049F1" w:rsidP="003049F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1.</w:t>
            </w:r>
          </w:p>
          <w:p w:rsidR="00083A20" w:rsidRPr="008653B7" w:rsidRDefault="00083A20" w:rsidP="003049F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  <w:p w:rsidR="00E443EE" w:rsidRPr="008653B7" w:rsidRDefault="00E443EE" w:rsidP="00E443EE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:rsidR="00E443EE" w:rsidRPr="008653B7" w:rsidRDefault="00E443EE" w:rsidP="00E443EE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/>
              </w:rPr>
              <w:t>ПРАВИЛНИКА О САДРЖИНИ И НАЧИНУ ВОЂЕЊА ВИНАРСКОГ РЕГИСТРА КОЈЕ СЕ МЕЊАЈУ</w:t>
            </w:r>
          </w:p>
          <w:p w:rsidR="00B46B30" w:rsidRPr="008653B7" w:rsidRDefault="00E443EE" w:rsidP="00E443EE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Члан 8.</w:t>
            </w:r>
          </w:p>
          <w:p w:rsidR="00B46B30" w:rsidRPr="008653B7" w:rsidRDefault="00B31329" w:rsidP="00B46B30">
            <w:pPr>
              <w:ind w:left="454" w:right="73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Произвођач се брише из Регистра, на основу</w:t>
            </w:r>
            <w:r w:rsidRPr="008653B7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 xml:space="preserve"> решења министра надлежног за послове пољопривреде, ако поднесе захтев за брисање на основу одлуке </w:t>
            </w:r>
            <w:r w:rsidR="00D032D7" w:rsidRPr="008653B7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о престанку обављања делатности</w:t>
            </w:r>
            <w:r w:rsidR="00D032D7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  <w:r w:rsidR="00B46B30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НОТИФИКАЦИЈЕ КОЈОМ ПРОИЗВОЂАЧ ОБАВЕШТАВА МИНИСТАРСТВО О ПРЕСТАНКУ ОБАВЉАЊА ДЕЛАТНОСТИ, А ДАН ПРЕДАЈЕ НОТИФИКАЦИЈЕ СЕ СМАТРА ДАНОМ </w:t>
            </w:r>
            <w:r w:rsidR="006A4D6D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ПРЕСТАНКА ОБАВЉАЊА ДЕЛАТНОСТИ,</w:t>
            </w:r>
            <w:r w:rsidR="00B46B30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О ЧЕМУ РЕШЕЊЕ ДОНОСИ МИНИСТАР. </w:t>
            </w:r>
          </w:p>
          <w:p w:rsidR="00B31329" w:rsidRPr="008653B7" w:rsidRDefault="00B31329" w:rsidP="00202800">
            <w:pPr>
              <w:ind w:left="454" w:right="73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Министарство може и по службеној дужности да покрене поступак за брисање из Регистра.</w:t>
            </w:r>
          </w:p>
          <w:p w:rsidR="00CA1CE9" w:rsidRPr="008653B7" w:rsidRDefault="00B31329" w:rsidP="00202800">
            <w:pPr>
              <w:ind w:left="454" w:right="73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Брисање из Регистра врши се повлачењем дијагоналне линије преко свих рубрика осим рубрике "промене" у коју се уноси број и датум акта на основу кога је извршена промена, односно брисање произвођача из Регистра.</w:t>
            </w:r>
          </w:p>
          <w:p w:rsidR="00446794" w:rsidRPr="008653B7" w:rsidRDefault="00446794" w:rsidP="00202800">
            <w:pPr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3049F1" w:rsidRPr="008653B7" w:rsidRDefault="003049F1" w:rsidP="003049F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2.</w:t>
            </w:r>
          </w:p>
          <w:p w:rsidR="003049F1" w:rsidRPr="008653B7" w:rsidRDefault="003049F1" w:rsidP="003049F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3049F1" w:rsidRPr="008653B7" w:rsidRDefault="00DA370D" w:rsidP="003049F1">
            <w:pPr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 xml:space="preserve">За примену препоруке  3.2 Увођење / модификација обрасца административног захтева </w:t>
            </w:r>
            <w:r w:rsidR="004B49AF"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 3.4. Престанак употребе печата на обрасцу захтева </w:t>
            </w:r>
            <w:r w:rsidRPr="008653B7">
              <w:rPr>
                <w:rFonts w:ascii="Times New Roman" w:hAnsi="Times New Roman"/>
                <w:sz w:val="22"/>
                <w:szCs w:val="22"/>
                <w:lang/>
              </w:rPr>
              <w:t>потребна је измениа Правилника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</w:tc>
      </w:tr>
      <w:tr w:rsidR="00EF50C6" w:rsidRPr="008653B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8653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653B7">
              <w:rPr>
                <w:b/>
                <w:sz w:val="22"/>
                <w:szCs w:val="22"/>
                <w:lang/>
              </w:rPr>
              <w:lastRenderedPageBreak/>
              <w:t>АНАЛИЗА ЕФЕКАТА ПРЕПОРУКЕ (АЕП)</w:t>
            </w:r>
          </w:p>
        </w:tc>
      </w:tr>
      <w:tr w:rsidR="00CA1CE9" w:rsidRPr="008653B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45555E" w:rsidRPr="008653B7" w:rsidRDefault="0045555E" w:rsidP="0045555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:rsidR="00CA1CE9" w:rsidRPr="008653B7" w:rsidRDefault="0045555E" w:rsidP="0045555E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8653B7">
              <w:rPr>
                <w:rFonts w:ascii="Times New Roman" w:eastAsia="Times New Roman" w:hAnsi="Times New Roman"/>
                <w:sz w:val="22"/>
                <w:szCs w:val="22"/>
                <w:lang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:rsidR="003E3C16" w:rsidRPr="008653B7" w:rsidRDefault="003E3C16" w:rsidP="00AB6253">
      <w:pPr>
        <w:rPr>
          <w:rFonts w:ascii="Times New Roman" w:eastAsia="Times New Roman" w:hAnsi="Times New Roman"/>
          <w:lang/>
        </w:rPr>
      </w:pPr>
    </w:p>
    <w:sectPr w:rsidR="003E3C16" w:rsidRPr="008653B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773" w:rsidRDefault="002C1773" w:rsidP="002A202F">
      <w:r>
        <w:separator/>
      </w:r>
    </w:p>
  </w:endnote>
  <w:endnote w:type="continuationSeparator" w:id="0">
    <w:p w:rsidR="002C1773" w:rsidRDefault="002C1773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961CD9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113F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773" w:rsidRDefault="002C1773" w:rsidP="002A202F">
      <w:r>
        <w:separator/>
      </w:r>
    </w:p>
  </w:footnote>
  <w:footnote w:type="continuationSeparator" w:id="0">
    <w:p w:rsidR="002C1773" w:rsidRDefault="002C1773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90DB6"/>
    <w:multiLevelType w:val="multilevel"/>
    <w:tmpl w:val="CA8633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905C7"/>
    <w:multiLevelType w:val="hybridMultilevel"/>
    <w:tmpl w:val="A6626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B540E"/>
    <w:multiLevelType w:val="multilevel"/>
    <w:tmpl w:val="642A33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2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78378E"/>
    <w:multiLevelType w:val="hybridMultilevel"/>
    <w:tmpl w:val="0EB0EEF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106B6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29"/>
  </w:num>
  <w:num w:numId="8">
    <w:abstractNumId w:val="12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8"/>
  </w:num>
  <w:num w:numId="14">
    <w:abstractNumId w:val="25"/>
  </w:num>
  <w:num w:numId="15">
    <w:abstractNumId w:val="20"/>
  </w:num>
  <w:num w:numId="16">
    <w:abstractNumId w:val="13"/>
  </w:num>
  <w:num w:numId="17">
    <w:abstractNumId w:val="10"/>
  </w:num>
  <w:num w:numId="18">
    <w:abstractNumId w:val="27"/>
  </w:num>
  <w:num w:numId="19">
    <w:abstractNumId w:val="6"/>
  </w:num>
  <w:num w:numId="20">
    <w:abstractNumId w:val="30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  <w:num w:numId="25">
    <w:abstractNumId w:val="9"/>
  </w:num>
  <w:num w:numId="26">
    <w:abstractNumId w:val="28"/>
  </w:num>
  <w:num w:numId="27">
    <w:abstractNumId w:val="3"/>
  </w:num>
  <w:num w:numId="28">
    <w:abstractNumId w:val="17"/>
  </w:num>
  <w:num w:numId="29">
    <w:abstractNumId w:val="1"/>
  </w:num>
  <w:num w:numId="30">
    <w:abstractNumId w:val="21"/>
  </w:num>
  <w:num w:numId="31">
    <w:abstractNumId w:val="16"/>
  </w:num>
  <w:num w:numId="32">
    <w:abstractNumId w:val="1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259F"/>
    <w:rsid w:val="00057B4D"/>
    <w:rsid w:val="00061070"/>
    <w:rsid w:val="000661AE"/>
    <w:rsid w:val="000667C4"/>
    <w:rsid w:val="00083567"/>
    <w:rsid w:val="00083993"/>
    <w:rsid w:val="00083A20"/>
    <w:rsid w:val="00092B84"/>
    <w:rsid w:val="0009542A"/>
    <w:rsid w:val="00096183"/>
    <w:rsid w:val="000A3393"/>
    <w:rsid w:val="000A53F3"/>
    <w:rsid w:val="000A5CDC"/>
    <w:rsid w:val="000B54D7"/>
    <w:rsid w:val="000D5029"/>
    <w:rsid w:val="000E2036"/>
    <w:rsid w:val="000E30E9"/>
    <w:rsid w:val="000F5E72"/>
    <w:rsid w:val="00101EC8"/>
    <w:rsid w:val="00113F80"/>
    <w:rsid w:val="001156BA"/>
    <w:rsid w:val="0015182D"/>
    <w:rsid w:val="00161847"/>
    <w:rsid w:val="00165FAB"/>
    <w:rsid w:val="00170CA7"/>
    <w:rsid w:val="001711C5"/>
    <w:rsid w:val="0018284C"/>
    <w:rsid w:val="001A023F"/>
    <w:rsid w:val="001A3FAC"/>
    <w:rsid w:val="001A6472"/>
    <w:rsid w:val="001B1B73"/>
    <w:rsid w:val="001C3766"/>
    <w:rsid w:val="001C5538"/>
    <w:rsid w:val="001D0EDE"/>
    <w:rsid w:val="001D20E2"/>
    <w:rsid w:val="001E38DE"/>
    <w:rsid w:val="001F7B31"/>
    <w:rsid w:val="00202800"/>
    <w:rsid w:val="0020601F"/>
    <w:rsid w:val="00212DA5"/>
    <w:rsid w:val="0021347C"/>
    <w:rsid w:val="002244DF"/>
    <w:rsid w:val="002323AC"/>
    <w:rsid w:val="002508B0"/>
    <w:rsid w:val="00261404"/>
    <w:rsid w:val="002673B0"/>
    <w:rsid w:val="00275E2A"/>
    <w:rsid w:val="00296938"/>
    <w:rsid w:val="002A202F"/>
    <w:rsid w:val="002B05B0"/>
    <w:rsid w:val="002B0B80"/>
    <w:rsid w:val="002B19B4"/>
    <w:rsid w:val="002C1773"/>
    <w:rsid w:val="002C79FE"/>
    <w:rsid w:val="002E0E2E"/>
    <w:rsid w:val="002F1BEC"/>
    <w:rsid w:val="002F4757"/>
    <w:rsid w:val="00303CBA"/>
    <w:rsid w:val="003049F1"/>
    <w:rsid w:val="0031568C"/>
    <w:rsid w:val="00322199"/>
    <w:rsid w:val="003223C7"/>
    <w:rsid w:val="00326555"/>
    <w:rsid w:val="003410E0"/>
    <w:rsid w:val="00344331"/>
    <w:rsid w:val="00344F21"/>
    <w:rsid w:val="00350EAD"/>
    <w:rsid w:val="003651DB"/>
    <w:rsid w:val="003715A0"/>
    <w:rsid w:val="0037171F"/>
    <w:rsid w:val="00376FD1"/>
    <w:rsid w:val="0039002C"/>
    <w:rsid w:val="003B38F8"/>
    <w:rsid w:val="003B44DB"/>
    <w:rsid w:val="003B4BC9"/>
    <w:rsid w:val="003B6298"/>
    <w:rsid w:val="003E2EB1"/>
    <w:rsid w:val="003E3C16"/>
    <w:rsid w:val="0040560B"/>
    <w:rsid w:val="00407D96"/>
    <w:rsid w:val="00432495"/>
    <w:rsid w:val="00444DA7"/>
    <w:rsid w:val="00446794"/>
    <w:rsid w:val="0045555E"/>
    <w:rsid w:val="00457882"/>
    <w:rsid w:val="00463CC7"/>
    <w:rsid w:val="004809C4"/>
    <w:rsid w:val="0048433C"/>
    <w:rsid w:val="004847B1"/>
    <w:rsid w:val="0049545B"/>
    <w:rsid w:val="00497E46"/>
    <w:rsid w:val="004A05B4"/>
    <w:rsid w:val="004B49AF"/>
    <w:rsid w:val="004D06AB"/>
    <w:rsid w:val="004D3BD0"/>
    <w:rsid w:val="004D45B1"/>
    <w:rsid w:val="004D68A7"/>
    <w:rsid w:val="004E29D1"/>
    <w:rsid w:val="00500566"/>
    <w:rsid w:val="00504495"/>
    <w:rsid w:val="005073A3"/>
    <w:rsid w:val="00523148"/>
    <w:rsid w:val="00523608"/>
    <w:rsid w:val="00525C0A"/>
    <w:rsid w:val="00535608"/>
    <w:rsid w:val="00556688"/>
    <w:rsid w:val="0056162B"/>
    <w:rsid w:val="0056707B"/>
    <w:rsid w:val="005809CE"/>
    <w:rsid w:val="00581A9D"/>
    <w:rsid w:val="005A2503"/>
    <w:rsid w:val="005B4F04"/>
    <w:rsid w:val="005B7CB9"/>
    <w:rsid w:val="005D0023"/>
    <w:rsid w:val="005E0900"/>
    <w:rsid w:val="005E21C4"/>
    <w:rsid w:val="005E6D66"/>
    <w:rsid w:val="005F08D7"/>
    <w:rsid w:val="005F388E"/>
    <w:rsid w:val="005F4D59"/>
    <w:rsid w:val="0060001C"/>
    <w:rsid w:val="00600D31"/>
    <w:rsid w:val="00605365"/>
    <w:rsid w:val="0060786A"/>
    <w:rsid w:val="0061785F"/>
    <w:rsid w:val="006237FE"/>
    <w:rsid w:val="00627AF7"/>
    <w:rsid w:val="00632540"/>
    <w:rsid w:val="0063255C"/>
    <w:rsid w:val="00633F73"/>
    <w:rsid w:val="00645199"/>
    <w:rsid w:val="00645850"/>
    <w:rsid w:val="00661ECF"/>
    <w:rsid w:val="00687D50"/>
    <w:rsid w:val="00692071"/>
    <w:rsid w:val="00694B28"/>
    <w:rsid w:val="006A4D6D"/>
    <w:rsid w:val="006C5349"/>
    <w:rsid w:val="006C5F2A"/>
    <w:rsid w:val="006C662C"/>
    <w:rsid w:val="006F2A08"/>
    <w:rsid w:val="006F2EC2"/>
    <w:rsid w:val="006F4A5C"/>
    <w:rsid w:val="00715F5C"/>
    <w:rsid w:val="007278C1"/>
    <w:rsid w:val="00733493"/>
    <w:rsid w:val="00737F1D"/>
    <w:rsid w:val="007618A3"/>
    <w:rsid w:val="007623D0"/>
    <w:rsid w:val="00775C37"/>
    <w:rsid w:val="00782816"/>
    <w:rsid w:val="00782F3E"/>
    <w:rsid w:val="00785A46"/>
    <w:rsid w:val="00785CE1"/>
    <w:rsid w:val="007861E3"/>
    <w:rsid w:val="007940D6"/>
    <w:rsid w:val="007A0C29"/>
    <w:rsid w:val="007B1740"/>
    <w:rsid w:val="007C44CF"/>
    <w:rsid w:val="007C61B5"/>
    <w:rsid w:val="007D3889"/>
    <w:rsid w:val="007D39E4"/>
    <w:rsid w:val="007D43A7"/>
    <w:rsid w:val="007E1695"/>
    <w:rsid w:val="007E52C6"/>
    <w:rsid w:val="007F204C"/>
    <w:rsid w:val="008009C5"/>
    <w:rsid w:val="00804060"/>
    <w:rsid w:val="00813EB8"/>
    <w:rsid w:val="008166C9"/>
    <w:rsid w:val="00824E43"/>
    <w:rsid w:val="00833C6B"/>
    <w:rsid w:val="00833D8C"/>
    <w:rsid w:val="00834C9A"/>
    <w:rsid w:val="0084708C"/>
    <w:rsid w:val="00850AD5"/>
    <w:rsid w:val="00852739"/>
    <w:rsid w:val="008629CC"/>
    <w:rsid w:val="008653B7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1BD9"/>
    <w:rsid w:val="00947592"/>
    <w:rsid w:val="00950280"/>
    <w:rsid w:val="00961CD9"/>
    <w:rsid w:val="00977514"/>
    <w:rsid w:val="00991A18"/>
    <w:rsid w:val="00992B69"/>
    <w:rsid w:val="00994A16"/>
    <w:rsid w:val="009A30D3"/>
    <w:rsid w:val="009C26BE"/>
    <w:rsid w:val="009D03A7"/>
    <w:rsid w:val="009E0479"/>
    <w:rsid w:val="00A0102E"/>
    <w:rsid w:val="00A12960"/>
    <w:rsid w:val="00A1570D"/>
    <w:rsid w:val="00A22386"/>
    <w:rsid w:val="00A56B75"/>
    <w:rsid w:val="00A63237"/>
    <w:rsid w:val="00A71C04"/>
    <w:rsid w:val="00AA0017"/>
    <w:rsid w:val="00AA4BC5"/>
    <w:rsid w:val="00AB09B3"/>
    <w:rsid w:val="00AB6253"/>
    <w:rsid w:val="00AC02D1"/>
    <w:rsid w:val="00B06019"/>
    <w:rsid w:val="00B07409"/>
    <w:rsid w:val="00B1006E"/>
    <w:rsid w:val="00B12D0A"/>
    <w:rsid w:val="00B178FB"/>
    <w:rsid w:val="00B31329"/>
    <w:rsid w:val="00B412BF"/>
    <w:rsid w:val="00B46B30"/>
    <w:rsid w:val="00B50014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3803"/>
    <w:rsid w:val="00BC6826"/>
    <w:rsid w:val="00C0295C"/>
    <w:rsid w:val="00C03C06"/>
    <w:rsid w:val="00C121EC"/>
    <w:rsid w:val="00C12C65"/>
    <w:rsid w:val="00C17610"/>
    <w:rsid w:val="00C2586C"/>
    <w:rsid w:val="00C445E2"/>
    <w:rsid w:val="00C70F1B"/>
    <w:rsid w:val="00C7129D"/>
    <w:rsid w:val="00C720EE"/>
    <w:rsid w:val="00C748D1"/>
    <w:rsid w:val="00C82422"/>
    <w:rsid w:val="00C91014"/>
    <w:rsid w:val="00CA1CBA"/>
    <w:rsid w:val="00CA1CE9"/>
    <w:rsid w:val="00CA4129"/>
    <w:rsid w:val="00CB1A4E"/>
    <w:rsid w:val="00CC1083"/>
    <w:rsid w:val="00CC29F6"/>
    <w:rsid w:val="00CD2287"/>
    <w:rsid w:val="00CD5BBB"/>
    <w:rsid w:val="00CE0685"/>
    <w:rsid w:val="00D00C93"/>
    <w:rsid w:val="00D032D7"/>
    <w:rsid w:val="00D21171"/>
    <w:rsid w:val="00D337F9"/>
    <w:rsid w:val="00D37EA5"/>
    <w:rsid w:val="00D67582"/>
    <w:rsid w:val="00D73628"/>
    <w:rsid w:val="00D73918"/>
    <w:rsid w:val="00D967D7"/>
    <w:rsid w:val="00DA125D"/>
    <w:rsid w:val="00DA1EA0"/>
    <w:rsid w:val="00DA370D"/>
    <w:rsid w:val="00DB12B6"/>
    <w:rsid w:val="00DB19B9"/>
    <w:rsid w:val="00DC4BC2"/>
    <w:rsid w:val="00DC7970"/>
    <w:rsid w:val="00DE057D"/>
    <w:rsid w:val="00DE5E4B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3EE"/>
    <w:rsid w:val="00E47DAC"/>
    <w:rsid w:val="00E63C8A"/>
    <w:rsid w:val="00E70BF6"/>
    <w:rsid w:val="00E8776F"/>
    <w:rsid w:val="00E928A5"/>
    <w:rsid w:val="00EA2988"/>
    <w:rsid w:val="00EA3E04"/>
    <w:rsid w:val="00ED04B8"/>
    <w:rsid w:val="00EE2275"/>
    <w:rsid w:val="00EF50C6"/>
    <w:rsid w:val="00F0664C"/>
    <w:rsid w:val="00F11C98"/>
    <w:rsid w:val="00F12E47"/>
    <w:rsid w:val="00F13333"/>
    <w:rsid w:val="00F223B2"/>
    <w:rsid w:val="00F42D14"/>
    <w:rsid w:val="00F43CCA"/>
    <w:rsid w:val="00F53241"/>
    <w:rsid w:val="00F67790"/>
    <w:rsid w:val="00FB1A1B"/>
    <w:rsid w:val="00FB645B"/>
    <w:rsid w:val="00FC09D6"/>
    <w:rsid w:val="00FC34EC"/>
    <w:rsid w:val="00FC3F69"/>
    <w:rsid w:val="00FC5312"/>
    <w:rsid w:val="00FC644F"/>
    <w:rsid w:val="00FD3749"/>
    <w:rsid w:val="00FD3964"/>
    <w:rsid w:val="00FF4DB4"/>
    <w:rsid w:val="00F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F42D1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52AAD-42D7-426D-AC2A-401529CE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2020-07-05T19:54:00Z</dcterms:created>
  <dcterms:modified xsi:type="dcterms:W3CDTF">2020-07-05T19:54:00Z</dcterms:modified>
</cp:coreProperties>
</file>