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FE2A5" w14:textId="0DDAACCA" w:rsidR="00446BB9" w:rsidRDefault="00034916" w:rsidP="162AC148">
      <w:pPr>
        <w:pStyle w:val="NormalWeb"/>
        <w:spacing w:before="0" w:beforeAutospacing="0" w:after="0" w:afterAutospacing="0" w:line="336" w:lineRule="atLeast"/>
        <w:jc w:val="center"/>
        <w:rPr>
          <w:b/>
          <w:bCs/>
          <w:sz w:val="22"/>
          <w:szCs w:val="22"/>
          <w:lang w:val="sr-Cyrl-RS"/>
        </w:rPr>
      </w:pPr>
      <w:bookmarkStart w:id="0" w:name="_GoBack"/>
      <w:bookmarkEnd w:id="0"/>
      <w:r w:rsidRPr="00034916">
        <w:rPr>
          <w:b/>
          <w:bCs/>
          <w:sz w:val="22"/>
          <w:szCs w:val="22"/>
          <w:lang w:val="sr-Cyrl-RS"/>
        </w:rPr>
        <w:t>УКИДАЊЕ ПОСТУПКА УТВРЂИВАЊА ИСПУЊЕНОСТИ УСЛОВА ЗА КОРИШЋЕЊЕ ОЗНАКА ЗА ВИНА СА ГЕОГРАФСКИМ ПОРЕКЛОМ ИЗ ДАТЕ ГОДИНЕ БЕРБЕ</w:t>
      </w:r>
    </w:p>
    <w:p w14:paraId="1923790F" w14:textId="77777777" w:rsidR="00463717" w:rsidRPr="00404395" w:rsidRDefault="00463717" w:rsidP="162AC148">
      <w:pPr>
        <w:pStyle w:val="NormalWeb"/>
        <w:spacing w:before="0" w:beforeAutospacing="0" w:after="0" w:afterAutospacing="0" w:line="336" w:lineRule="atLeast"/>
        <w:jc w:val="center"/>
        <w:rPr>
          <w:b/>
          <w:bCs/>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404395" w14:paraId="1976FB87" w14:textId="77777777" w:rsidTr="53D78EC6">
        <w:trPr>
          <w:trHeight w:val="888"/>
        </w:trPr>
        <w:tc>
          <w:tcPr>
            <w:tcW w:w="2689" w:type="dxa"/>
            <w:shd w:val="clear" w:color="auto" w:fill="DBE5F1" w:themeFill="accent1" w:themeFillTint="33"/>
            <w:vAlign w:val="center"/>
          </w:tcPr>
          <w:p w14:paraId="11F785D1" w14:textId="77777777" w:rsidR="000E2036" w:rsidRPr="00404395" w:rsidRDefault="000E2036" w:rsidP="00850AD5">
            <w:pPr>
              <w:jc w:val="left"/>
              <w:rPr>
                <w:rFonts w:ascii="Times New Roman" w:hAnsi="Times New Roman"/>
                <w:b/>
                <w:sz w:val="22"/>
                <w:szCs w:val="22"/>
                <w:lang w:val="sr-Cyrl-RS"/>
              </w:rPr>
            </w:pPr>
            <w:r w:rsidRPr="00404395">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6B0460BB" w:rsidR="000E2036" w:rsidRPr="00404395" w:rsidRDefault="00B27393" w:rsidP="009A58A4">
            <w:pPr>
              <w:pStyle w:val="NormalWeb"/>
              <w:spacing w:before="120" w:beforeAutospacing="0" w:after="120" w:afterAutospacing="0"/>
              <w:jc w:val="both"/>
              <w:rPr>
                <w:sz w:val="22"/>
                <w:szCs w:val="22"/>
                <w:lang w:val="sr-Cyrl-RS"/>
              </w:rPr>
            </w:pPr>
            <w:r w:rsidRPr="00404395">
              <w:rPr>
                <w:sz w:val="22"/>
                <w:szCs w:val="22"/>
                <w:lang w:val="sr-Cyrl-RS"/>
              </w:rPr>
              <w:t>Утврђивање испуњености услова за коришћење ознака за вина са географским пореклом из дате године бербе</w:t>
            </w:r>
          </w:p>
        </w:tc>
      </w:tr>
      <w:tr w:rsidR="00DC6965" w:rsidRPr="00404395" w14:paraId="7A6AA442" w14:textId="77777777" w:rsidTr="53D78EC6">
        <w:trPr>
          <w:trHeight w:val="418"/>
        </w:trPr>
        <w:tc>
          <w:tcPr>
            <w:tcW w:w="2689" w:type="dxa"/>
            <w:shd w:val="clear" w:color="auto" w:fill="DBE5F1" w:themeFill="accent1" w:themeFillTint="33"/>
            <w:vAlign w:val="center"/>
          </w:tcPr>
          <w:p w14:paraId="049C2EAE" w14:textId="77777777" w:rsidR="00DC6965" w:rsidRPr="00404395" w:rsidRDefault="00DC6965" w:rsidP="00DC6965">
            <w:pPr>
              <w:pStyle w:val="NormalWeb"/>
              <w:spacing w:before="0" w:beforeAutospacing="0" w:after="0" w:afterAutospacing="0"/>
              <w:rPr>
                <w:b/>
                <w:sz w:val="22"/>
                <w:szCs w:val="22"/>
                <w:lang w:val="sr-Cyrl-RS"/>
              </w:rPr>
            </w:pPr>
            <w:r w:rsidRPr="00404395">
              <w:rPr>
                <w:b/>
                <w:sz w:val="22"/>
                <w:szCs w:val="22"/>
                <w:lang w:val="sr-Cyrl-RS"/>
              </w:rPr>
              <w:t>Шифра поступка</w:t>
            </w:r>
          </w:p>
        </w:tc>
        <w:tc>
          <w:tcPr>
            <w:tcW w:w="6371" w:type="dxa"/>
            <w:vAlign w:val="center"/>
          </w:tcPr>
          <w:p w14:paraId="76B78B5F" w14:textId="43760231" w:rsidR="00DC6965" w:rsidRPr="00404395" w:rsidRDefault="162AC148" w:rsidP="162AC148">
            <w:pPr>
              <w:pStyle w:val="NormalWeb"/>
              <w:spacing w:before="120" w:beforeAutospacing="0" w:after="120" w:afterAutospacing="0"/>
              <w:rPr>
                <w:sz w:val="22"/>
                <w:szCs w:val="22"/>
                <w:lang w:val="sr-Cyrl-RS"/>
              </w:rPr>
            </w:pPr>
            <w:r w:rsidRPr="162AC148">
              <w:rPr>
                <w:sz w:val="22"/>
                <w:szCs w:val="22"/>
                <w:lang w:val="sr-Cyrl-RS"/>
              </w:rPr>
              <w:t>16.00.0132</w:t>
            </w:r>
          </w:p>
        </w:tc>
      </w:tr>
      <w:tr w:rsidR="00DC6965" w:rsidRPr="00404395" w14:paraId="2CEE52A6" w14:textId="77777777" w:rsidTr="53D78EC6">
        <w:tc>
          <w:tcPr>
            <w:tcW w:w="2689" w:type="dxa"/>
            <w:shd w:val="clear" w:color="auto" w:fill="DBE5F1" w:themeFill="accent1" w:themeFillTint="33"/>
            <w:vAlign w:val="center"/>
          </w:tcPr>
          <w:p w14:paraId="682C75C7" w14:textId="77777777" w:rsidR="00DC6965" w:rsidRPr="00404395" w:rsidRDefault="00DC6965" w:rsidP="00DC6965">
            <w:pPr>
              <w:pStyle w:val="NormalWeb"/>
              <w:spacing w:before="0" w:beforeAutospacing="0" w:after="0" w:afterAutospacing="0"/>
              <w:rPr>
                <w:b/>
                <w:sz w:val="22"/>
                <w:szCs w:val="22"/>
                <w:lang w:val="sr-Cyrl-RS"/>
              </w:rPr>
            </w:pPr>
            <w:r w:rsidRPr="00404395">
              <w:rPr>
                <w:b/>
                <w:sz w:val="22"/>
                <w:szCs w:val="22"/>
                <w:lang w:val="sr-Cyrl-RS"/>
              </w:rPr>
              <w:t>Регулаторно тело</w:t>
            </w:r>
          </w:p>
          <w:p w14:paraId="0CAF5299" w14:textId="77777777" w:rsidR="00DC6965" w:rsidRPr="00404395" w:rsidRDefault="00DC6965" w:rsidP="00DC6965">
            <w:pPr>
              <w:pStyle w:val="NormalWeb"/>
              <w:spacing w:before="0" w:beforeAutospacing="0" w:after="0" w:afterAutospacing="0"/>
              <w:rPr>
                <w:b/>
                <w:sz w:val="22"/>
                <w:szCs w:val="22"/>
                <w:lang w:val="sr-Cyrl-RS"/>
              </w:rPr>
            </w:pPr>
            <w:r w:rsidRPr="00404395">
              <w:rPr>
                <w:b/>
                <w:sz w:val="22"/>
                <w:szCs w:val="22"/>
                <w:lang w:val="sr-Cyrl-RS"/>
              </w:rPr>
              <w:t>(надлежно за спровођење препоруке)</w:t>
            </w:r>
          </w:p>
        </w:tc>
        <w:tc>
          <w:tcPr>
            <w:tcW w:w="6371" w:type="dxa"/>
            <w:vAlign w:val="center"/>
          </w:tcPr>
          <w:p w14:paraId="5795E7E6" w14:textId="18701716" w:rsidR="00573591" w:rsidRPr="00404395" w:rsidRDefault="00573591" w:rsidP="009A58A4">
            <w:pPr>
              <w:pStyle w:val="NormalWeb"/>
              <w:spacing w:before="120" w:beforeAutospacing="0" w:after="120" w:afterAutospacing="0"/>
              <w:jc w:val="both"/>
              <w:rPr>
                <w:sz w:val="22"/>
                <w:szCs w:val="22"/>
                <w:lang w:val="sr-Cyrl-RS"/>
              </w:rPr>
            </w:pPr>
            <w:r w:rsidRPr="00404395">
              <w:rPr>
                <w:sz w:val="22"/>
                <w:szCs w:val="22"/>
                <w:lang w:val="sr-Cyrl-RS"/>
              </w:rPr>
              <w:t>Министарство пољопривреде</w:t>
            </w:r>
            <w:r w:rsidR="00160FED" w:rsidRPr="00404395">
              <w:rPr>
                <w:sz w:val="22"/>
                <w:szCs w:val="22"/>
                <w:lang w:val="sr-Cyrl-RS"/>
              </w:rPr>
              <w:t>, шумарства и водопривреде</w:t>
            </w:r>
          </w:p>
        </w:tc>
      </w:tr>
      <w:tr w:rsidR="00DC6965" w:rsidRPr="00404395" w14:paraId="10DA1CD3" w14:textId="77777777" w:rsidTr="53D78EC6">
        <w:tc>
          <w:tcPr>
            <w:tcW w:w="2689" w:type="dxa"/>
            <w:shd w:val="clear" w:color="auto" w:fill="DBE5F1" w:themeFill="accent1" w:themeFillTint="33"/>
            <w:vAlign w:val="center"/>
          </w:tcPr>
          <w:p w14:paraId="4DE579F4" w14:textId="77777777" w:rsidR="00DC6965" w:rsidRPr="00404395" w:rsidRDefault="00DC6965" w:rsidP="00DC6965">
            <w:pPr>
              <w:pStyle w:val="NormalWeb"/>
              <w:spacing w:before="0" w:beforeAutospacing="0" w:after="0" w:afterAutospacing="0"/>
              <w:rPr>
                <w:b/>
                <w:sz w:val="22"/>
                <w:szCs w:val="22"/>
                <w:lang w:val="sr-Cyrl-RS"/>
              </w:rPr>
            </w:pPr>
            <w:r w:rsidRPr="00404395">
              <w:rPr>
                <w:b/>
                <w:sz w:val="22"/>
                <w:szCs w:val="22"/>
                <w:lang w:val="sr-Cyrl-RS"/>
              </w:rPr>
              <w:t>Правни оквир којим је уређен административни поступак</w:t>
            </w:r>
          </w:p>
        </w:tc>
        <w:tc>
          <w:tcPr>
            <w:tcW w:w="6371" w:type="dxa"/>
            <w:vAlign w:val="center"/>
          </w:tcPr>
          <w:p w14:paraId="2E4A3074" w14:textId="5D2C6BB5" w:rsidR="00843FBC" w:rsidRPr="009A58A4" w:rsidRDefault="162AC148" w:rsidP="162AC148">
            <w:pPr>
              <w:pStyle w:val="ListParagraph"/>
              <w:numPr>
                <w:ilvl w:val="0"/>
                <w:numId w:val="34"/>
              </w:numPr>
              <w:spacing w:after="60"/>
              <w:ind w:left="350"/>
              <w:rPr>
                <w:rFonts w:ascii="Times New Roman" w:hAnsi="Times New Roman"/>
                <w:sz w:val="22"/>
                <w:szCs w:val="22"/>
                <w:lang w:val="sr-Cyrl-RS"/>
              </w:rPr>
            </w:pPr>
            <w:r w:rsidRPr="162AC148">
              <w:rPr>
                <w:rFonts w:ascii="Times New Roman" w:hAnsi="Times New Roman"/>
                <w:sz w:val="22"/>
                <w:szCs w:val="22"/>
                <w:lang w:val="sr-Cyrl-RS"/>
              </w:rPr>
              <w:t>Закон о вину („Сл</w:t>
            </w:r>
            <w:r w:rsidR="00B96ACB">
              <w:rPr>
                <w:rFonts w:ascii="Times New Roman" w:hAnsi="Times New Roman"/>
                <w:sz w:val="22"/>
                <w:szCs w:val="22"/>
                <w:lang w:val="sr-Cyrl-RS"/>
              </w:rPr>
              <w:t>ужбени гласник</w:t>
            </w:r>
            <w:r w:rsidRPr="162AC148">
              <w:rPr>
                <w:rFonts w:ascii="Times New Roman" w:hAnsi="Times New Roman"/>
                <w:sz w:val="22"/>
                <w:szCs w:val="22"/>
                <w:lang w:val="sr-Cyrl-RS"/>
              </w:rPr>
              <w:t xml:space="preserve"> РС“ бр. 41/09 и 93/12)</w:t>
            </w:r>
          </w:p>
          <w:p w14:paraId="2CCB5DCC" w14:textId="0C2CDE84" w:rsidR="00C42158" w:rsidRPr="009A58A4" w:rsidRDefault="162AC148" w:rsidP="162AC148">
            <w:pPr>
              <w:pStyle w:val="ListParagraph"/>
              <w:numPr>
                <w:ilvl w:val="0"/>
                <w:numId w:val="34"/>
              </w:numPr>
              <w:spacing w:after="60"/>
              <w:ind w:left="350"/>
              <w:rPr>
                <w:rFonts w:ascii="Times New Roman" w:hAnsi="Times New Roman"/>
                <w:lang w:val="sr-Cyrl-RS"/>
              </w:rPr>
            </w:pPr>
            <w:r w:rsidRPr="162AC148">
              <w:rPr>
                <w:rFonts w:ascii="Times New Roman" w:hAnsi="Times New Roman"/>
                <w:sz w:val="22"/>
                <w:szCs w:val="22"/>
                <w:lang w:val="sr-Cyrl-RS"/>
              </w:rPr>
              <w:t>Правилник о условима које треба да испуни контролна организација, као и начину и поступку рада контролне организације („Сл</w:t>
            </w:r>
            <w:r w:rsidR="00B96ACB">
              <w:rPr>
                <w:rFonts w:ascii="Times New Roman" w:hAnsi="Times New Roman"/>
                <w:sz w:val="22"/>
                <w:szCs w:val="22"/>
                <w:lang w:val="sr-Cyrl-RS"/>
              </w:rPr>
              <w:t>ужбени</w:t>
            </w:r>
            <w:r w:rsidRPr="162AC148">
              <w:rPr>
                <w:rFonts w:ascii="Times New Roman" w:hAnsi="Times New Roman"/>
                <w:sz w:val="22"/>
                <w:szCs w:val="22"/>
                <w:lang w:val="sr-Cyrl-RS"/>
              </w:rPr>
              <w:t xml:space="preserve"> гласник РС“ бр. 30/17)</w:t>
            </w:r>
          </w:p>
        </w:tc>
      </w:tr>
      <w:tr w:rsidR="00566DDB" w:rsidRPr="00404395" w14:paraId="724CF23D" w14:textId="77777777" w:rsidTr="53D78EC6">
        <w:tc>
          <w:tcPr>
            <w:tcW w:w="2689" w:type="dxa"/>
            <w:shd w:val="clear" w:color="auto" w:fill="DBE5F1" w:themeFill="accent1" w:themeFillTint="33"/>
            <w:vAlign w:val="center"/>
          </w:tcPr>
          <w:p w14:paraId="1A908998" w14:textId="11A1AF2D" w:rsidR="00566DDB" w:rsidRPr="00404395" w:rsidRDefault="00566DDB" w:rsidP="00566DDB">
            <w:pPr>
              <w:pStyle w:val="NormalWeb"/>
              <w:spacing w:before="0" w:beforeAutospacing="0" w:after="0" w:afterAutospacing="0"/>
              <w:rPr>
                <w:rFonts w:eastAsiaTheme="minorHAnsi"/>
                <w:b/>
                <w:bCs/>
                <w:color w:val="000000" w:themeColor="text1"/>
                <w:sz w:val="22"/>
                <w:szCs w:val="22"/>
                <w:lang w:val="sr-Cyrl-RS" w:eastAsia="en-GB"/>
              </w:rPr>
            </w:pPr>
            <w:r w:rsidRPr="00404395">
              <w:rPr>
                <w:rFonts w:eastAsiaTheme="minorHAnsi"/>
                <w:b/>
                <w:bCs/>
                <w:color w:val="000000" w:themeColor="text1"/>
                <w:sz w:val="22"/>
                <w:szCs w:val="22"/>
                <w:lang w:val="sr-Cyrl-RS" w:eastAsia="en-GB"/>
              </w:rPr>
              <w:t>Прописи које треба променити</w:t>
            </w:r>
            <w:r w:rsidRPr="00404395">
              <w:rPr>
                <w:rFonts w:eastAsiaTheme="minorHAnsi"/>
                <w:b/>
                <w:bCs/>
                <w:color w:val="000000" w:themeColor="text1"/>
                <w:sz w:val="22"/>
                <w:szCs w:val="22"/>
                <w:lang w:val="sr-Latn-RS" w:eastAsia="en-GB"/>
              </w:rPr>
              <w:t xml:space="preserve"> </w:t>
            </w:r>
            <w:r w:rsidRPr="00404395">
              <w:rPr>
                <w:rFonts w:eastAsiaTheme="minorHAnsi"/>
                <w:b/>
                <w:bCs/>
                <w:color w:val="000000" w:themeColor="text1"/>
                <w:sz w:val="22"/>
                <w:szCs w:val="22"/>
                <w:lang w:val="sr-Cyrl-RS" w:eastAsia="en-GB"/>
              </w:rPr>
              <w:t>/донети/укинути</w:t>
            </w:r>
            <w:r w:rsidRPr="00404395">
              <w:rPr>
                <w:rFonts w:eastAsiaTheme="minorHAnsi"/>
                <w:b/>
                <w:bCs/>
                <w:color w:val="000000" w:themeColor="text1"/>
                <w:sz w:val="22"/>
                <w:szCs w:val="22"/>
                <w:lang w:val="sr-Latn-RS" w:eastAsia="en-GB"/>
              </w:rPr>
              <w:t xml:space="preserve"> </w:t>
            </w:r>
            <w:r w:rsidRPr="00404395">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306126AD" w:rsidR="00566DDB" w:rsidRPr="008A4EA6" w:rsidRDefault="162AC148" w:rsidP="162AC148">
            <w:pPr>
              <w:spacing w:after="60"/>
              <w:ind w:left="-29"/>
              <w:rPr>
                <w:rFonts w:ascii="Times New Roman" w:hAnsi="Times New Roman"/>
                <w:sz w:val="22"/>
                <w:szCs w:val="22"/>
                <w:lang w:val="sr-Cyrl-RS"/>
              </w:rPr>
            </w:pPr>
            <w:r w:rsidRPr="162AC148">
              <w:rPr>
                <w:rFonts w:ascii="Times New Roman" w:hAnsi="Times New Roman"/>
                <w:sz w:val="22"/>
                <w:szCs w:val="22"/>
                <w:lang w:val="sr-Cyrl-RS"/>
              </w:rPr>
              <w:t>1. Закон о вину („Сл</w:t>
            </w:r>
            <w:r w:rsidR="00B96ACB">
              <w:rPr>
                <w:rFonts w:ascii="Times New Roman" w:hAnsi="Times New Roman"/>
                <w:sz w:val="22"/>
                <w:szCs w:val="22"/>
                <w:lang w:val="sr-Cyrl-RS"/>
              </w:rPr>
              <w:t>ужбени</w:t>
            </w:r>
            <w:r w:rsidRPr="162AC148">
              <w:rPr>
                <w:rFonts w:ascii="Times New Roman" w:hAnsi="Times New Roman"/>
                <w:sz w:val="22"/>
                <w:szCs w:val="22"/>
                <w:lang w:val="sr-Cyrl-RS"/>
              </w:rPr>
              <w:t xml:space="preserve"> гласник РС“ бр. 41/09 и 93/12)</w:t>
            </w:r>
          </w:p>
        </w:tc>
      </w:tr>
      <w:tr w:rsidR="00566DDB" w:rsidRPr="00404395" w14:paraId="58812BCA" w14:textId="77777777" w:rsidTr="53D78EC6">
        <w:tc>
          <w:tcPr>
            <w:tcW w:w="2689" w:type="dxa"/>
            <w:shd w:val="clear" w:color="auto" w:fill="DBE5F1" w:themeFill="accent1" w:themeFillTint="33"/>
            <w:vAlign w:val="center"/>
          </w:tcPr>
          <w:p w14:paraId="0CF6011B" w14:textId="0E1BBDD3" w:rsidR="00566DDB" w:rsidRPr="00404395" w:rsidRDefault="00566DDB" w:rsidP="00566DDB">
            <w:pPr>
              <w:pStyle w:val="NormalWeb"/>
              <w:spacing w:before="0" w:beforeAutospacing="0" w:after="0" w:afterAutospacing="0"/>
              <w:rPr>
                <w:b/>
                <w:sz w:val="22"/>
                <w:szCs w:val="22"/>
                <w:lang w:val="sr-Cyrl-RS"/>
              </w:rPr>
            </w:pPr>
            <w:r w:rsidRPr="00404395">
              <w:rPr>
                <w:b/>
                <w:sz w:val="22"/>
                <w:szCs w:val="22"/>
                <w:lang w:val="sr-Cyrl-RS"/>
              </w:rPr>
              <w:t>Рок за спровођење препорука</w:t>
            </w:r>
          </w:p>
        </w:tc>
        <w:tc>
          <w:tcPr>
            <w:tcW w:w="6371" w:type="dxa"/>
            <w:vAlign w:val="center"/>
          </w:tcPr>
          <w:p w14:paraId="19A48B50" w14:textId="7CB4695F" w:rsidR="00566DDB" w:rsidRPr="00404395" w:rsidRDefault="162AC148" w:rsidP="162AC148">
            <w:pPr>
              <w:pStyle w:val="NormalWeb"/>
              <w:spacing w:before="120" w:beforeAutospacing="0" w:after="120" w:afterAutospacing="0"/>
              <w:jc w:val="both"/>
              <w:rPr>
                <w:sz w:val="22"/>
                <w:szCs w:val="22"/>
                <w:lang w:val="sr-Cyrl-RS"/>
              </w:rPr>
            </w:pPr>
            <w:r w:rsidRPr="162AC148">
              <w:rPr>
                <w:sz w:val="22"/>
                <w:szCs w:val="22"/>
                <w:lang w:val="sr-Cyrl-RS"/>
              </w:rPr>
              <w:t>Четврти квартал 2019. године</w:t>
            </w:r>
          </w:p>
        </w:tc>
      </w:tr>
      <w:tr w:rsidR="00566DDB" w:rsidRPr="00404395" w14:paraId="539113B1" w14:textId="77777777" w:rsidTr="53D78EC6">
        <w:trPr>
          <w:trHeight w:val="409"/>
        </w:trPr>
        <w:tc>
          <w:tcPr>
            <w:tcW w:w="9060" w:type="dxa"/>
            <w:gridSpan w:val="2"/>
            <w:shd w:val="clear" w:color="auto" w:fill="DBE5F1" w:themeFill="accent1" w:themeFillTint="33"/>
            <w:vAlign w:val="center"/>
          </w:tcPr>
          <w:p w14:paraId="6E79D945" w14:textId="77777777" w:rsidR="00566DDB" w:rsidRPr="00404395" w:rsidRDefault="00566DDB" w:rsidP="00566DDB">
            <w:pPr>
              <w:pStyle w:val="NormalWeb"/>
              <w:numPr>
                <w:ilvl w:val="0"/>
                <w:numId w:val="23"/>
              </w:numPr>
              <w:spacing w:before="120" w:beforeAutospacing="0" w:after="120" w:afterAutospacing="0"/>
              <w:jc w:val="center"/>
              <w:rPr>
                <w:b/>
                <w:sz w:val="22"/>
                <w:szCs w:val="22"/>
                <w:lang w:val="sr-Cyrl-RS"/>
              </w:rPr>
            </w:pPr>
            <w:r w:rsidRPr="00404395">
              <w:rPr>
                <w:b/>
                <w:sz w:val="22"/>
                <w:szCs w:val="22"/>
                <w:lang w:val="sr-Cyrl-RS"/>
              </w:rPr>
              <w:t>КРАТАК ОПИС ПРОБЛЕМА</w:t>
            </w:r>
          </w:p>
        </w:tc>
      </w:tr>
      <w:tr w:rsidR="00566DDB" w:rsidRPr="00404395" w14:paraId="4635A4BE" w14:textId="77777777" w:rsidTr="53D78EC6">
        <w:tc>
          <w:tcPr>
            <w:tcW w:w="9060" w:type="dxa"/>
            <w:gridSpan w:val="2"/>
          </w:tcPr>
          <w:p w14:paraId="4BCB02C2" w14:textId="1CD71A5F" w:rsidR="001D2561" w:rsidRPr="00140EF4" w:rsidRDefault="162AC148" w:rsidP="162AC148">
            <w:pPr>
              <w:spacing w:before="120" w:after="120"/>
              <w:rPr>
                <w:rFonts w:ascii="Times New Roman" w:hAnsi="Times New Roman"/>
                <w:sz w:val="22"/>
                <w:szCs w:val="22"/>
                <w:lang w:val="sr-Cyrl-RS"/>
              </w:rPr>
            </w:pPr>
            <w:r w:rsidRPr="162AC148">
              <w:rPr>
                <w:rFonts w:ascii="Times New Roman" w:hAnsi="Times New Roman"/>
                <w:sz w:val="22"/>
                <w:szCs w:val="22"/>
                <w:lang w:val="sr-Cyrl-RS"/>
              </w:rPr>
              <w:t>Произвођач вина се обраћа захтевом за утврђивање испуњености услова за коришћење ознака за вина са географским пореклом из дате године бербе Министарству чак и када контролу усаглашености врши контролна организација која  тај посао обавља као поверен. Будући да је позитиван извештај контролне организације практично једини услов који је потребно испунити за коришћење ознака за вина са географским пореклом из дате године бербе, овим се Министарству утврђује улога (доношење решења у управном поступку) која му представља непотребно административно оптерећење. Имајући у виду да се утврђивање испуњености услова за коришћење ознака за вина са географским пореклом врши стручном контролом производње грожђа и вина, као и квалитета вина, односно оценом усаглашености производње и квалитета са спецификацијом производа за дату ознаку, у циљу ефикаснијег спровођења поступка предлаже се стварање могућности да поступак спроводе сертификациона тела која су акредитована од стране Акредитационог тела Србије у складу са стандардом за оцењивање усаглашености – Захтеви за тела која сертификују производе, процесе и услуге SRPS ISO/IEC 17065.</w:t>
            </w:r>
          </w:p>
        </w:tc>
      </w:tr>
      <w:tr w:rsidR="00566DDB" w:rsidRPr="00404395" w14:paraId="31663FC5" w14:textId="77777777" w:rsidTr="53D78EC6">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77777777" w:rsidR="00566DDB" w:rsidRPr="00404395" w:rsidRDefault="00566DDB" w:rsidP="00566DDB">
            <w:pPr>
              <w:pStyle w:val="NormalWeb"/>
              <w:numPr>
                <w:ilvl w:val="0"/>
                <w:numId w:val="26"/>
              </w:numPr>
              <w:spacing w:before="120" w:beforeAutospacing="0" w:after="120" w:afterAutospacing="0"/>
              <w:jc w:val="center"/>
              <w:rPr>
                <w:b/>
                <w:sz w:val="22"/>
                <w:szCs w:val="22"/>
                <w:lang w:val="sr-Cyrl-RS"/>
              </w:rPr>
            </w:pPr>
            <w:r w:rsidRPr="00404395">
              <w:rPr>
                <w:b/>
                <w:sz w:val="22"/>
                <w:szCs w:val="22"/>
                <w:lang w:val="sr-Cyrl-RS"/>
              </w:rPr>
              <w:t>САЖЕТАК ПРЕПОРУКА</w:t>
            </w:r>
          </w:p>
        </w:tc>
      </w:tr>
      <w:tr w:rsidR="00566DDB" w:rsidRPr="00404395" w14:paraId="66715B57" w14:textId="77777777" w:rsidTr="53D78EC6">
        <w:trPr>
          <w:trHeight w:val="454"/>
        </w:trPr>
        <w:tc>
          <w:tcPr>
            <w:tcW w:w="9060" w:type="dxa"/>
            <w:gridSpan w:val="2"/>
            <w:tcBorders>
              <w:bottom w:val="nil"/>
            </w:tcBorders>
            <w:shd w:val="clear" w:color="auto" w:fill="FFFFFF" w:themeFill="background1"/>
            <w:vAlign w:val="center"/>
          </w:tcPr>
          <w:p w14:paraId="43426D8C" w14:textId="77777777" w:rsidR="00566DDB" w:rsidRPr="00404395" w:rsidRDefault="00566DDB" w:rsidP="00566DDB">
            <w:pPr>
              <w:pStyle w:val="NormalWeb"/>
              <w:spacing w:before="120" w:beforeAutospacing="0" w:after="120" w:afterAutospacing="0"/>
              <w:rPr>
                <w:b/>
                <w:sz w:val="22"/>
                <w:szCs w:val="22"/>
                <w:lang w:val="sr-Cyrl-RS"/>
              </w:rPr>
            </w:pPr>
          </w:p>
        </w:tc>
      </w:tr>
      <w:tr w:rsidR="00566DDB" w:rsidRPr="00404395" w14:paraId="3010E605" w14:textId="77777777" w:rsidTr="53D78EC6">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448"/>
              <w:gridCol w:w="1948"/>
              <w:gridCol w:w="1952"/>
              <w:gridCol w:w="1486"/>
            </w:tblGrid>
            <w:tr w:rsidR="00566DDB" w:rsidRPr="00404395" w14:paraId="30C2F8E8" w14:textId="77777777" w:rsidTr="53D78EC6">
              <w:trPr>
                <w:trHeight w:val="749"/>
              </w:trPr>
              <w:tc>
                <w:tcPr>
                  <w:tcW w:w="3448" w:type="dxa"/>
                  <w:vMerge w:val="restart"/>
                  <w:shd w:val="clear" w:color="auto" w:fill="F2F2F2" w:themeFill="background1" w:themeFillShade="F2"/>
                  <w:vAlign w:val="center"/>
                </w:tcPr>
                <w:p w14:paraId="1CF0BC7A" w14:textId="20607AAF" w:rsidR="00566DDB" w:rsidRPr="00404395" w:rsidRDefault="00566DDB" w:rsidP="00566DDB">
                  <w:pPr>
                    <w:jc w:val="center"/>
                    <w:rPr>
                      <w:rFonts w:ascii="Times New Roman" w:eastAsia="Times New Roman" w:hAnsi="Times New Roman"/>
                      <w:b/>
                      <w:sz w:val="22"/>
                      <w:szCs w:val="22"/>
                      <w:lang w:val="sr-Cyrl-RS"/>
                    </w:rPr>
                  </w:pPr>
                  <w:r w:rsidRPr="00404395">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5A7B4B51" w14:textId="77777777" w:rsidR="00566DDB" w:rsidRPr="00404395" w:rsidRDefault="00566DDB" w:rsidP="00566DDB">
                  <w:pPr>
                    <w:jc w:val="center"/>
                    <w:rPr>
                      <w:rFonts w:ascii="Times New Roman" w:eastAsia="Times New Roman" w:hAnsi="Times New Roman"/>
                      <w:b/>
                      <w:sz w:val="22"/>
                      <w:szCs w:val="22"/>
                      <w:lang w:val="sr-Cyrl-RS"/>
                    </w:rPr>
                  </w:pPr>
                  <w:r w:rsidRPr="00404395">
                    <w:rPr>
                      <w:rFonts w:ascii="Times New Roman" w:eastAsia="Times New Roman" w:hAnsi="Times New Roman"/>
                      <w:b/>
                      <w:sz w:val="22"/>
                      <w:szCs w:val="22"/>
                      <w:lang w:val="sr-Cyrl-RS"/>
                    </w:rPr>
                    <w:t>ПОТРЕБНА ИЗМЕНА/УКИДАЊЕ/ДОНОШЕЊЕ ПРОПИСА</w:t>
                  </w:r>
                </w:p>
              </w:tc>
              <w:tc>
                <w:tcPr>
                  <w:tcW w:w="1486" w:type="dxa"/>
                  <w:vMerge w:val="restart"/>
                  <w:shd w:val="clear" w:color="auto" w:fill="F2F2F2" w:themeFill="background1" w:themeFillShade="F2"/>
                  <w:vAlign w:val="center"/>
                </w:tcPr>
                <w:p w14:paraId="470548B4" w14:textId="77777777" w:rsidR="00566DDB" w:rsidRPr="00404395" w:rsidRDefault="00566DDB" w:rsidP="00566DDB">
                  <w:pPr>
                    <w:jc w:val="center"/>
                    <w:rPr>
                      <w:rFonts w:ascii="Times New Roman" w:eastAsia="Times New Roman" w:hAnsi="Times New Roman"/>
                      <w:b/>
                      <w:sz w:val="22"/>
                      <w:szCs w:val="22"/>
                      <w:lang w:val="sr-Cyrl-RS"/>
                    </w:rPr>
                  </w:pPr>
                  <w:r w:rsidRPr="00404395">
                    <w:rPr>
                      <w:rFonts w:ascii="Times New Roman" w:eastAsia="Times New Roman" w:hAnsi="Times New Roman"/>
                      <w:b/>
                      <w:sz w:val="22"/>
                      <w:szCs w:val="22"/>
                      <w:lang w:val="sr-Cyrl-RS"/>
                    </w:rPr>
                    <w:t>УКОЛИКО ЈЕ ОДГОВОР ДА, КОЈИХ</w:t>
                  </w:r>
                </w:p>
              </w:tc>
            </w:tr>
            <w:tr w:rsidR="00566DDB" w:rsidRPr="00404395" w14:paraId="2B15C487" w14:textId="77777777" w:rsidTr="53D78EC6">
              <w:trPr>
                <w:trHeight w:val="260"/>
              </w:trPr>
              <w:tc>
                <w:tcPr>
                  <w:tcW w:w="3448" w:type="dxa"/>
                  <w:vMerge/>
                </w:tcPr>
                <w:p w14:paraId="42D3BC1D" w14:textId="77777777" w:rsidR="00566DDB" w:rsidRPr="00404395" w:rsidRDefault="00566DDB" w:rsidP="00566DDB">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4FE48A96" w14:textId="77777777" w:rsidR="00566DDB" w:rsidRPr="00404395" w:rsidRDefault="00566DDB" w:rsidP="00566DDB">
                  <w:pPr>
                    <w:jc w:val="center"/>
                    <w:rPr>
                      <w:rFonts w:ascii="Times New Roman" w:eastAsia="Times New Roman" w:hAnsi="Times New Roman"/>
                      <w:b/>
                      <w:sz w:val="22"/>
                      <w:szCs w:val="22"/>
                      <w:lang w:val="sr-Cyrl-RS"/>
                    </w:rPr>
                  </w:pPr>
                  <w:r w:rsidRPr="00404395">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0DA58578" w14:textId="77777777" w:rsidR="00566DDB" w:rsidRPr="00404395" w:rsidRDefault="00566DDB" w:rsidP="00566DDB">
                  <w:pPr>
                    <w:jc w:val="center"/>
                    <w:rPr>
                      <w:rFonts w:ascii="Times New Roman" w:eastAsia="Times New Roman" w:hAnsi="Times New Roman"/>
                      <w:b/>
                      <w:sz w:val="22"/>
                      <w:szCs w:val="22"/>
                      <w:lang w:val="sr-Cyrl-RS"/>
                    </w:rPr>
                  </w:pPr>
                  <w:r w:rsidRPr="00404395">
                    <w:rPr>
                      <w:rFonts w:ascii="Times New Roman" w:eastAsia="Times New Roman" w:hAnsi="Times New Roman"/>
                      <w:b/>
                      <w:sz w:val="22"/>
                      <w:szCs w:val="22"/>
                      <w:lang w:val="sr-Cyrl-RS"/>
                    </w:rPr>
                    <w:t>Не</w:t>
                  </w:r>
                </w:p>
              </w:tc>
              <w:tc>
                <w:tcPr>
                  <w:tcW w:w="1486" w:type="dxa"/>
                  <w:vMerge/>
                </w:tcPr>
                <w:p w14:paraId="21FE126E" w14:textId="77777777" w:rsidR="00566DDB" w:rsidRPr="00404395" w:rsidRDefault="00566DDB" w:rsidP="00566DDB">
                  <w:pPr>
                    <w:jc w:val="left"/>
                    <w:rPr>
                      <w:rFonts w:ascii="Times New Roman" w:eastAsia="Times New Roman" w:hAnsi="Times New Roman"/>
                      <w:b/>
                      <w:sz w:val="22"/>
                      <w:szCs w:val="22"/>
                      <w:lang w:val="sr-Cyrl-RS"/>
                    </w:rPr>
                  </w:pPr>
                </w:p>
              </w:tc>
            </w:tr>
            <w:tr w:rsidR="00566DDB" w:rsidRPr="00404395" w14:paraId="385EF523" w14:textId="77777777" w:rsidTr="53D78EC6">
              <w:trPr>
                <w:trHeight w:val="489"/>
              </w:trPr>
              <w:tc>
                <w:tcPr>
                  <w:tcW w:w="3448" w:type="dxa"/>
                  <w:vAlign w:val="center"/>
                </w:tcPr>
                <w:p w14:paraId="7F100DA0" w14:textId="0F42DD89" w:rsidR="00566DDB" w:rsidRPr="00995979" w:rsidRDefault="162AC148" w:rsidP="162AC148">
                  <w:pPr>
                    <w:jc w:val="left"/>
                    <w:rPr>
                      <w:rFonts w:ascii="Times New Roman" w:eastAsia="Times New Roman" w:hAnsi="Times New Roman"/>
                      <w:b/>
                      <w:bCs/>
                      <w:sz w:val="22"/>
                      <w:szCs w:val="22"/>
                      <w:lang w:val="sr-Cyrl-RS"/>
                    </w:rPr>
                  </w:pPr>
                  <w:r w:rsidRPr="162AC148">
                    <w:rPr>
                      <w:rFonts w:ascii="Times New Roman" w:eastAsia="Times New Roman" w:hAnsi="Times New Roman"/>
                      <w:b/>
                      <w:bCs/>
                      <w:sz w:val="22"/>
                      <w:szCs w:val="22"/>
                      <w:lang w:val="sr-Cyrl-RS"/>
                    </w:rPr>
                    <w:t>Укидање поступка</w:t>
                  </w:r>
                </w:p>
              </w:tc>
              <w:tc>
                <w:tcPr>
                  <w:tcW w:w="1948" w:type="dxa"/>
                  <w:vAlign w:val="center"/>
                </w:tcPr>
                <w:p w14:paraId="25E7B8E0" w14:textId="172737B7" w:rsidR="00566DDB" w:rsidRPr="0043386E" w:rsidRDefault="00025700" w:rsidP="00566DDB">
                  <w:pPr>
                    <w:jc w:val="center"/>
                    <w:rPr>
                      <w:rFonts w:ascii="Times New Roman" w:eastAsia="Times New Roman" w:hAnsi="Times New Roman"/>
                      <w:b/>
                      <w:sz w:val="22"/>
                      <w:szCs w:val="22"/>
                      <w:lang w:val="sr-Cyrl-RS"/>
                    </w:rPr>
                  </w:pPr>
                  <w:r w:rsidRPr="0043386E">
                    <w:rPr>
                      <w:rFonts w:ascii="Times New Roman" w:eastAsia="Times New Roman" w:hAnsi="Times New Roman"/>
                      <w:b/>
                      <w:sz w:val="22"/>
                      <w:szCs w:val="22"/>
                      <w:lang w:val="sr-Cyrl-RS"/>
                    </w:rPr>
                    <w:t>Х</w:t>
                  </w:r>
                </w:p>
              </w:tc>
              <w:tc>
                <w:tcPr>
                  <w:tcW w:w="1952" w:type="dxa"/>
                </w:tcPr>
                <w:p w14:paraId="45AC25B1" w14:textId="77777777" w:rsidR="00566DDB" w:rsidRPr="0043386E" w:rsidRDefault="00566DDB" w:rsidP="00566DDB">
                  <w:pPr>
                    <w:jc w:val="left"/>
                    <w:rPr>
                      <w:rFonts w:ascii="Times New Roman" w:eastAsia="Times New Roman" w:hAnsi="Times New Roman"/>
                      <w:b/>
                      <w:sz w:val="22"/>
                      <w:szCs w:val="22"/>
                      <w:lang w:val="sr-Cyrl-RS"/>
                    </w:rPr>
                  </w:pPr>
                </w:p>
              </w:tc>
              <w:tc>
                <w:tcPr>
                  <w:tcW w:w="1486" w:type="dxa"/>
                  <w:vAlign w:val="center"/>
                </w:tcPr>
                <w:p w14:paraId="782ED99B" w14:textId="75741682" w:rsidR="00566DDB" w:rsidRPr="0043386E" w:rsidRDefault="53D78EC6" w:rsidP="53D78EC6">
                  <w:pPr>
                    <w:jc w:val="center"/>
                    <w:rPr>
                      <w:rFonts w:ascii="Times New Roman" w:eastAsia="Times New Roman" w:hAnsi="Times New Roman"/>
                      <w:b/>
                      <w:bCs/>
                      <w:sz w:val="22"/>
                      <w:szCs w:val="22"/>
                      <w:lang w:val="sr-Cyrl-RS"/>
                    </w:rPr>
                  </w:pPr>
                  <w:r w:rsidRPr="53D78EC6">
                    <w:rPr>
                      <w:rFonts w:ascii="Times New Roman" w:hAnsi="Times New Roman"/>
                      <w:b/>
                      <w:bCs/>
                      <w:sz w:val="22"/>
                      <w:szCs w:val="22"/>
                      <w:lang w:val="sr-Cyrl-RS"/>
                    </w:rPr>
                    <w:t>1.</w:t>
                  </w:r>
                </w:p>
              </w:tc>
            </w:tr>
          </w:tbl>
          <w:p w14:paraId="6E28D8C5" w14:textId="1672B8E5" w:rsidR="00566DDB" w:rsidRPr="00404395" w:rsidRDefault="00566DDB" w:rsidP="00566DDB">
            <w:pPr>
              <w:pStyle w:val="NormalWeb"/>
              <w:spacing w:before="120" w:beforeAutospacing="0" w:after="120" w:afterAutospacing="0"/>
              <w:jc w:val="both"/>
              <w:rPr>
                <w:b/>
                <w:sz w:val="22"/>
                <w:szCs w:val="22"/>
                <w:lang w:val="sr-Cyrl-RS"/>
              </w:rPr>
            </w:pPr>
          </w:p>
        </w:tc>
      </w:tr>
      <w:tr w:rsidR="00566DDB" w:rsidRPr="00404395" w14:paraId="0B4EEBB8" w14:textId="77777777" w:rsidTr="53D78EC6">
        <w:trPr>
          <w:trHeight w:val="454"/>
        </w:trPr>
        <w:tc>
          <w:tcPr>
            <w:tcW w:w="9060" w:type="dxa"/>
            <w:gridSpan w:val="2"/>
            <w:shd w:val="clear" w:color="auto" w:fill="DBE5F1" w:themeFill="accent1" w:themeFillTint="33"/>
            <w:vAlign w:val="center"/>
          </w:tcPr>
          <w:p w14:paraId="30CB88E1" w14:textId="18030B78" w:rsidR="00566DDB" w:rsidRPr="00404395" w:rsidRDefault="00566DDB" w:rsidP="00566DDB">
            <w:pPr>
              <w:pStyle w:val="NormalWeb"/>
              <w:numPr>
                <w:ilvl w:val="0"/>
                <w:numId w:val="26"/>
              </w:numPr>
              <w:spacing w:before="120" w:beforeAutospacing="0" w:after="120" w:afterAutospacing="0"/>
              <w:jc w:val="center"/>
              <w:rPr>
                <w:b/>
                <w:sz w:val="22"/>
                <w:szCs w:val="22"/>
                <w:lang w:val="sr-Cyrl-RS"/>
              </w:rPr>
            </w:pPr>
            <w:r w:rsidRPr="00404395">
              <w:rPr>
                <w:b/>
                <w:sz w:val="22"/>
                <w:szCs w:val="22"/>
                <w:lang w:val="sr-Cyrl-RS"/>
              </w:rPr>
              <w:t>ОБРАЗЛОЖЕЊЕ</w:t>
            </w:r>
          </w:p>
        </w:tc>
      </w:tr>
      <w:tr w:rsidR="00566DDB" w:rsidRPr="00404395" w14:paraId="4C67EFD3" w14:textId="77777777" w:rsidTr="53D78EC6">
        <w:trPr>
          <w:trHeight w:val="454"/>
        </w:trPr>
        <w:tc>
          <w:tcPr>
            <w:tcW w:w="9060" w:type="dxa"/>
            <w:gridSpan w:val="2"/>
            <w:shd w:val="clear" w:color="auto" w:fill="auto"/>
          </w:tcPr>
          <w:p w14:paraId="1E32F7C1" w14:textId="6416E666" w:rsidR="00404395" w:rsidRPr="0043386E" w:rsidRDefault="162AC148" w:rsidP="162AC148">
            <w:pPr>
              <w:spacing w:before="120" w:after="60"/>
              <w:rPr>
                <w:rFonts w:ascii="Times New Roman" w:hAnsi="Times New Roman"/>
                <w:b/>
                <w:bCs/>
                <w:iCs/>
                <w:sz w:val="22"/>
                <w:szCs w:val="22"/>
                <w:u w:val="single"/>
                <w:lang w:val="sr-Cyrl-RS"/>
              </w:rPr>
            </w:pPr>
            <w:r w:rsidRPr="0043386E">
              <w:rPr>
                <w:rFonts w:ascii="Times New Roman" w:hAnsi="Times New Roman"/>
                <w:b/>
                <w:bCs/>
                <w:iCs/>
                <w:sz w:val="22"/>
                <w:szCs w:val="22"/>
                <w:u w:val="single"/>
                <w:lang w:val="sr-Cyrl-RS"/>
              </w:rPr>
              <w:t>3.1. Укидање поступка</w:t>
            </w:r>
          </w:p>
          <w:p w14:paraId="6D2C1A79" w14:textId="496F8B23" w:rsidR="00404395" w:rsidRDefault="162AC148" w:rsidP="162AC148">
            <w:pPr>
              <w:spacing w:before="120" w:after="60"/>
              <w:rPr>
                <w:rFonts w:ascii="Times New Roman" w:hAnsi="Times New Roman"/>
                <w:sz w:val="22"/>
                <w:szCs w:val="22"/>
                <w:lang w:val="sr-Cyrl-RS"/>
              </w:rPr>
            </w:pPr>
            <w:r w:rsidRPr="162AC148">
              <w:rPr>
                <w:rFonts w:ascii="Times New Roman" w:hAnsi="Times New Roman"/>
                <w:sz w:val="22"/>
                <w:szCs w:val="22"/>
                <w:lang w:val="sr-Cyrl-RS"/>
              </w:rPr>
              <w:lastRenderedPageBreak/>
              <w:t>Имајући у виду да се утврђивање испуњености услова за коришћење ознака за вина са географским пореклом врши стручном контролом производње грожђа и вина, као и квалитета вина, односно оценом усаглашености производње и квалитета са спецификацијом производа за дату ознаку, у циљу ефикаснијег спровођења поступка предлаже се стварање могућности да поступак спроводе сертификациона тела која су акредитована од стране Акредитационог тела Србије у складу са стандардом за оцењивање усаглашености – Захтеви за тела која сертификују производе, процесе и услуге SRPS ISO/IEC 17065.</w:t>
            </w:r>
          </w:p>
          <w:p w14:paraId="24A8A415" w14:textId="0937545C" w:rsidR="00D27136" w:rsidRDefault="00404395" w:rsidP="00404395">
            <w:pPr>
              <w:spacing w:before="120" w:after="60"/>
              <w:rPr>
                <w:rFonts w:ascii="Times New Roman" w:hAnsi="Times New Roman"/>
                <w:sz w:val="22"/>
                <w:lang w:val="sr-Cyrl-RS"/>
              </w:rPr>
            </w:pPr>
            <w:r>
              <w:rPr>
                <w:rFonts w:ascii="Times New Roman" w:hAnsi="Times New Roman"/>
                <w:sz w:val="22"/>
                <w:lang w:val="sr-Cyrl-RS"/>
              </w:rPr>
              <w:t xml:space="preserve">На овај начин ће се органи државне управе растеретити обавезе спровођења ове процедуре у форми управног поступка, а заштита јавног интереса неће трпети, јер ће се провера испуњености услова </w:t>
            </w:r>
            <w:r w:rsidRPr="00404395">
              <w:rPr>
                <w:rFonts w:ascii="Times New Roman" w:hAnsi="Times New Roman"/>
                <w:sz w:val="22"/>
                <w:lang w:val="sr-Cyrl-RS"/>
              </w:rPr>
              <w:t>за коришћење ознака за вина са географским пореклом врши</w:t>
            </w:r>
            <w:r w:rsidR="00D27136">
              <w:rPr>
                <w:rFonts w:ascii="Times New Roman" w:hAnsi="Times New Roman"/>
                <w:sz w:val="22"/>
                <w:lang w:val="sr-Cyrl-RS"/>
              </w:rPr>
              <w:t xml:space="preserve">ти и даље, и то од стране </w:t>
            </w:r>
            <w:r w:rsidR="00D27136" w:rsidRPr="00D27136">
              <w:rPr>
                <w:rFonts w:ascii="Times New Roman" w:hAnsi="Times New Roman"/>
                <w:sz w:val="22"/>
                <w:lang w:val="sr-Cyrl-RS"/>
              </w:rPr>
              <w:t>сертификацион</w:t>
            </w:r>
            <w:r w:rsidR="00D27136">
              <w:rPr>
                <w:rFonts w:ascii="Times New Roman" w:hAnsi="Times New Roman"/>
                <w:sz w:val="22"/>
                <w:lang w:val="sr-Cyrl-RS"/>
              </w:rPr>
              <w:t>их</w:t>
            </w:r>
            <w:r w:rsidR="00D27136" w:rsidRPr="00D27136">
              <w:rPr>
                <w:rFonts w:ascii="Times New Roman" w:hAnsi="Times New Roman"/>
                <w:sz w:val="22"/>
                <w:lang w:val="sr-Cyrl-RS"/>
              </w:rPr>
              <w:t xml:space="preserve"> тела која су акредитована од стране Акредитационог тела Србије</w:t>
            </w:r>
            <w:r w:rsidR="00D27136">
              <w:rPr>
                <w:rFonts w:ascii="Times New Roman" w:hAnsi="Times New Roman"/>
                <w:sz w:val="22"/>
                <w:lang w:val="sr-Cyrl-RS"/>
              </w:rPr>
              <w:t>.</w:t>
            </w:r>
          </w:p>
          <w:p w14:paraId="3EAB4AF8" w14:textId="21E7D608" w:rsidR="00566DDB" w:rsidRPr="00404395" w:rsidRDefault="53D78EC6" w:rsidP="53D78EC6">
            <w:pPr>
              <w:spacing w:before="120" w:after="60"/>
              <w:rPr>
                <w:rFonts w:ascii="Times New Roman" w:hAnsi="Times New Roman"/>
                <w:b/>
                <w:bCs/>
                <w:i/>
                <w:iCs/>
                <w:sz w:val="22"/>
                <w:szCs w:val="22"/>
                <w:lang w:val="sr-Cyrl-RS"/>
              </w:rPr>
            </w:pPr>
            <w:r w:rsidRPr="53D78EC6">
              <w:rPr>
                <w:rFonts w:ascii="Times New Roman" w:hAnsi="Times New Roman"/>
                <w:b/>
                <w:bCs/>
                <w:i/>
                <w:iCs/>
                <w:sz w:val="22"/>
                <w:szCs w:val="22"/>
              </w:rPr>
              <w:t xml:space="preserve">     </w:t>
            </w:r>
            <w:r w:rsidRPr="53D78EC6">
              <w:rPr>
                <w:rFonts w:ascii="Times New Roman" w:hAnsi="Times New Roman"/>
                <w:b/>
                <w:bCs/>
                <w:i/>
                <w:iCs/>
                <w:sz w:val="22"/>
                <w:szCs w:val="22"/>
                <w:lang w:val="sr-Cyrl-RS"/>
              </w:rPr>
              <w:t>За примену ове препоруке су потребне измене и допуне Закона о вину („Сл</w:t>
            </w:r>
            <w:r w:rsidR="00B96ACB">
              <w:rPr>
                <w:rFonts w:ascii="Times New Roman" w:hAnsi="Times New Roman"/>
                <w:b/>
                <w:bCs/>
                <w:i/>
                <w:iCs/>
                <w:sz w:val="22"/>
                <w:szCs w:val="22"/>
                <w:lang w:val="sr-Cyrl-RS"/>
              </w:rPr>
              <w:t>ужбени</w:t>
            </w:r>
            <w:r w:rsidRPr="53D78EC6">
              <w:rPr>
                <w:rFonts w:ascii="Times New Roman" w:hAnsi="Times New Roman"/>
                <w:b/>
                <w:bCs/>
                <w:i/>
                <w:iCs/>
                <w:sz w:val="22"/>
                <w:szCs w:val="22"/>
                <w:lang w:val="sr-Cyrl-RS"/>
              </w:rPr>
              <w:t xml:space="preserve"> гласник РС“ бр. 41/09 и 93/12). </w:t>
            </w:r>
          </w:p>
        </w:tc>
      </w:tr>
      <w:tr w:rsidR="00566DDB" w:rsidRPr="00404395" w14:paraId="52C990E5" w14:textId="77777777" w:rsidTr="53D78EC6">
        <w:trPr>
          <w:trHeight w:val="454"/>
        </w:trPr>
        <w:tc>
          <w:tcPr>
            <w:tcW w:w="9060" w:type="dxa"/>
            <w:gridSpan w:val="2"/>
            <w:shd w:val="clear" w:color="auto" w:fill="DBE5F1" w:themeFill="accent1" w:themeFillTint="33"/>
            <w:vAlign w:val="center"/>
          </w:tcPr>
          <w:p w14:paraId="493D6146" w14:textId="7E30E1D1" w:rsidR="00566DDB" w:rsidRPr="00404395" w:rsidRDefault="00566DDB" w:rsidP="00566DDB">
            <w:pPr>
              <w:pStyle w:val="NormalWeb"/>
              <w:numPr>
                <w:ilvl w:val="0"/>
                <w:numId w:val="26"/>
              </w:numPr>
              <w:spacing w:before="120" w:beforeAutospacing="0" w:after="120" w:afterAutospacing="0"/>
              <w:jc w:val="center"/>
              <w:rPr>
                <w:b/>
                <w:sz w:val="22"/>
                <w:szCs w:val="22"/>
                <w:lang w:val="sr-Cyrl-RS"/>
              </w:rPr>
            </w:pPr>
            <w:r w:rsidRPr="00404395">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566DDB" w:rsidRPr="00404395" w14:paraId="077D3505" w14:textId="77777777" w:rsidTr="53D78EC6">
        <w:trPr>
          <w:trHeight w:val="454"/>
        </w:trPr>
        <w:tc>
          <w:tcPr>
            <w:tcW w:w="9060" w:type="dxa"/>
            <w:gridSpan w:val="2"/>
            <w:shd w:val="clear" w:color="auto" w:fill="auto"/>
          </w:tcPr>
          <w:p w14:paraId="0668A472" w14:textId="77777777" w:rsidR="005E4A2A" w:rsidRDefault="005E4A2A" w:rsidP="005E4A2A">
            <w:pPr>
              <w:pStyle w:val="ListParagraph"/>
              <w:spacing w:before="120" w:after="60"/>
              <w:ind w:left="0"/>
              <w:contextualSpacing w:val="0"/>
              <w:jc w:val="right"/>
              <w:rPr>
                <w:rFonts w:ascii="Times New Roman" w:hAnsi="Times New Roman"/>
                <w:b/>
                <w:bCs/>
                <w:sz w:val="22"/>
                <w:szCs w:val="22"/>
                <w:lang w:val="sr-Cyrl-RS"/>
              </w:rPr>
            </w:pPr>
            <w:r>
              <w:rPr>
                <w:rFonts w:ascii="Times New Roman" w:hAnsi="Times New Roman"/>
                <w:b/>
                <w:bCs/>
                <w:sz w:val="22"/>
                <w:szCs w:val="22"/>
                <w:lang w:val="sr-Cyrl-RS"/>
              </w:rPr>
              <w:t xml:space="preserve">НАЦРТ </w:t>
            </w:r>
          </w:p>
          <w:p w14:paraId="64FB9BE5" w14:textId="77795C23" w:rsidR="00D27136" w:rsidRPr="00D27136" w:rsidRDefault="005E4A2A" w:rsidP="162AC148">
            <w:pPr>
              <w:pStyle w:val="ListParagraph"/>
              <w:spacing w:before="120" w:after="60"/>
              <w:ind w:left="0"/>
              <w:contextualSpacing w:val="0"/>
              <w:jc w:val="center"/>
              <w:rPr>
                <w:rFonts w:ascii="Times New Roman" w:hAnsi="Times New Roman"/>
                <w:b/>
                <w:bCs/>
                <w:sz w:val="22"/>
                <w:szCs w:val="22"/>
                <w:lang w:val="sr-Cyrl-RS"/>
              </w:rPr>
            </w:pPr>
            <w:r>
              <w:rPr>
                <w:rFonts w:ascii="Times New Roman" w:hAnsi="Times New Roman"/>
                <w:b/>
                <w:bCs/>
                <w:sz w:val="22"/>
                <w:szCs w:val="22"/>
                <w:lang w:val="sr-Cyrl-RS"/>
              </w:rPr>
              <w:t>ЗАКОН</w:t>
            </w:r>
            <w:r w:rsidR="162AC148" w:rsidRPr="162AC148">
              <w:rPr>
                <w:rFonts w:ascii="Times New Roman" w:hAnsi="Times New Roman"/>
                <w:b/>
                <w:bCs/>
                <w:sz w:val="22"/>
                <w:szCs w:val="22"/>
                <w:lang w:val="sr-Cyrl-RS"/>
              </w:rPr>
              <w:t xml:space="preserve"> О ИЗМЕНАМА ЗАКОНА О ВИНУ</w:t>
            </w:r>
          </w:p>
          <w:p w14:paraId="2BE492B3" w14:textId="77777777" w:rsidR="00D27136" w:rsidRDefault="00D27136" w:rsidP="162AC148">
            <w:pPr>
              <w:pStyle w:val="ListParagraph"/>
              <w:spacing w:after="60"/>
              <w:ind w:left="0"/>
              <w:contextualSpacing w:val="0"/>
              <w:rPr>
                <w:rFonts w:ascii="Times New Roman" w:hAnsi="Times New Roman"/>
                <w:b/>
                <w:bCs/>
                <w:i/>
                <w:iCs/>
                <w:sz w:val="22"/>
                <w:szCs w:val="22"/>
                <w:lang w:val="sr-Cyrl-RS"/>
              </w:rPr>
            </w:pPr>
          </w:p>
          <w:p w14:paraId="5F95232B" w14:textId="2B00E4AE" w:rsidR="00995979" w:rsidRDefault="00995979" w:rsidP="009A58A4">
            <w:pPr>
              <w:pStyle w:val="ListParagraph"/>
              <w:spacing w:after="60"/>
              <w:ind w:left="0"/>
              <w:contextualSpacing w:val="0"/>
              <w:jc w:val="center"/>
              <w:rPr>
                <w:rFonts w:ascii="Times New Roman" w:hAnsi="Times New Roman"/>
                <w:sz w:val="22"/>
                <w:szCs w:val="22"/>
                <w:lang w:val="sr-Cyrl-RS"/>
              </w:rPr>
            </w:pPr>
            <w:r>
              <w:rPr>
                <w:rFonts w:ascii="Times New Roman" w:hAnsi="Times New Roman"/>
                <w:sz w:val="22"/>
                <w:szCs w:val="22"/>
                <w:lang w:val="sr-Cyrl-RS"/>
              </w:rPr>
              <w:t>Члан 1.</w:t>
            </w:r>
          </w:p>
          <w:p w14:paraId="21CFB9A5" w14:textId="007EA6D9" w:rsidR="009D6A43" w:rsidRDefault="162AC148" w:rsidP="162AC148">
            <w:pPr>
              <w:pStyle w:val="ListParagraph"/>
              <w:spacing w:after="60"/>
              <w:ind w:left="0"/>
              <w:contextualSpacing w:val="0"/>
              <w:rPr>
                <w:rFonts w:ascii="Times New Roman" w:hAnsi="Times New Roman"/>
                <w:sz w:val="22"/>
                <w:szCs w:val="22"/>
                <w:lang w:val="sr-Cyrl-RS"/>
              </w:rPr>
            </w:pPr>
            <w:r w:rsidRPr="162AC148">
              <w:rPr>
                <w:rFonts w:ascii="Times New Roman" w:hAnsi="Times New Roman"/>
                <w:sz w:val="22"/>
                <w:szCs w:val="22"/>
                <w:lang w:val="sr-Cyrl-RS"/>
              </w:rPr>
              <w:t xml:space="preserve">          У Закону о вину („Службени гласник РС“ бр.  41/09 и 93/12) у члану 40. став 1. реч „Министарству“ мења се и гласи „контролној организацији“. </w:t>
            </w:r>
          </w:p>
          <w:p w14:paraId="47DADC39" w14:textId="323F44B5" w:rsidR="00995979" w:rsidRDefault="00995979" w:rsidP="009A58A4">
            <w:pPr>
              <w:pStyle w:val="ListParagraph"/>
              <w:spacing w:after="60"/>
              <w:ind w:left="0"/>
              <w:contextualSpacing w:val="0"/>
              <w:rPr>
                <w:rFonts w:ascii="Times New Roman" w:hAnsi="Times New Roman"/>
                <w:sz w:val="22"/>
                <w:szCs w:val="22"/>
                <w:lang w:val="sr-Cyrl-RS"/>
              </w:rPr>
            </w:pPr>
          </w:p>
          <w:p w14:paraId="403BB0F7" w14:textId="5F2B985C" w:rsidR="00995979" w:rsidRPr="008A4EA6" w:rsidRDefault="00995979" w:rsidP="009A58A4">
            <w:pPr>
              <w:pStyle w:val="ListParagraph"/>
              <w:spacing w:after="60"/>
              <w:ind w:left="0"/>
              <w:contextualSpacing w:val="0"/>
              <w:jc w:val="center"/>
              <w:rPr>
                <w:rFonts w:ascii="Times New Roman" w:hAnsi="Times New Roman"/>
                <w:sz w:val="22"/>
                <w:szCs w:val="22"/>
                <w:lang w:val="sr-Cyrl-RS"/>
              </w:rPr>
            </w:pPr>
            <w:r>
              <w:rPr>
                <w:rFonts w:ascii="Times New Roman" w:hAnsi="Times New Roman"/>
                <w:sz w:val="22"/>
                <w:szCs w:val="22"/>
                <w:lang w:val="sr-Cyrl-RS"/>
              </w:rPr>
              <w:t>Члан 2.</w:t>
            </w:r>
          </w:p>
          <w:p w14:paraId="0DCE245A" w14:textId="3A855255" w:rsidR="00025700" w:rsidRDefault="00025700" w:rsidP="009A58A4">
            <w:pPr>
              <w:pStyle w:val="ListParagraph"/>
              <w:spacing w:after="60"/>
              <w:ind w:left="0"/>
              <w:contextualSpacing w:val="0"/>
              <w:rPr>
                <w:rFonts w:ascii="Times New Roman" w:hAnsi="Times New Roman"/>
                <w:sz w:val="22"/>
                <w:szCs w:val="22"/>
                <w:lang w:val="sr-Cyrl-RS"/>
              </w:rPr>
            </w:pPr>
            <w:r w:rsidRPr="008A4EA6">
              <w:rPr>
                <w:rFonts w:ascii="Times New Roman" w:hAnsi="Times New Roman"/>
                <w:sz w:val="22"/>
                <w:szCs w:val="22"/>
                <w:lang w:val="sr-Cyrl-RS"/>
              </w:rPr>
              <w:t xml:space="preserve">   </w:t>
            </w:r>
            <w:r w:rsidR="00E4383A" w:rsidRPr="008A4EA6">
              <w:rPr>
                <w:rFonts w:ascii="Times New Roman" w:hAnsi="Times New Roman"/>
                <w:sz w:val="22"/>
                <w:szCs w:val="22"/>
                <w:lang w:val="sr-Cyrl-RS"/>
              </w:rPr>
              <w:t xml:space="preserve"> </w:t>
            </w:r>
            <w:r w:rsidR="00995979">
              <w:rPr>
                <w:rFonts w:ascii="Times New Roman" w:hAnsi="Times New Roman"/>
                <w:sz w:val="22"/>
                <w:szCs w:val="22"/>
                <w:lang w:val="sr-Cyrl-RS"/>
              </w:rPr>
              <w:t xml:space="preserve">      </w:t>
            </w:r>
            <w:r w:rsidRPr="008A4EA6">
              <w:rPr>
                <w:rFonts w:ascii="Times New Roman" w:hAnsi="Times New Roman"/>
                <w:sz w:val="22"/>
                <w:szCs w:val="22"/>
                <w:lang w:val="sr-Cyrl-RS"/>
              </w:rPr>
              <w:t xml:space="preserve"> У члану 41.  став 1. реч „издавања решења“ мења се и гласи „доношења одлуке“.</w:t>
            </w:r>
          </w:p>
          <w:p w14:paraId="27B44A77" w14:textId="4A998AED" w:rsidR="00995979" w:rsidRDefault="00995979" w:rsidP="009A58A4">
            <w:pPr>
              <w:pStyle w:val="ListParagraph"/>
              <w:spacing w:after="60"/>
              <w:ind w:left="0"/>
              <w:contextualSpacing w:val="0"/>
              <w:rPr>
                <w:rFonts w:ascii="Times New Roman" w:hAnsi="Times New Roman"/>
                <w:sz w:val="22"/>
                <w:szCs w:val="22"/>
                <w:lang w:val="sr-Cyrl-RS"/>
              </w:rPr>
            </w:pPr>
          </w:p>
          <w:p w14:paraId="7F737BD0" w14:textId="77A10BA3" w:rsidR="00995979" w:rsidRPr="008A4EA6" w:rsidRDefault="00995979" w:rsidP="009A58A4">
            <w:pPr>
              <w:pStyle w:val="ListParagraph"/>
              <w:spacing w:after="60"/>
              <w:ind w:left="0"/>
              <w:contextualSpacing w:val="0"/>
              <w:jc w:val="center"/>
              <w:rPr>
                <w:rFonts w:ascii="Times New Roman" w:hAnsi="Times New Roman"/>
                <w:sz w:val="22"/>
                <w:szCs w:val="22"/>
                <w:lang w:val="sr-Cyrl-RS"/>
              </w:rPr>
            </w:pPr>
            <w:r>
              <w:rPr>
                <w:rFonts w:ascii="Times New Roman" w:hAnsi="Times New Roman"/>
                <w:sz w:val="22"/>
                <w:szCs w:val="22"/>
                <w:lang w:val="sr-Cyrl-RS"/>
              </w:rPr>
              <w:t>Члан 3.</w:t>
            </w:r>
          </w:p>
          <w:p w14:paraId="64785401" w14:textId="4F6F5CAB" w:rsidR="00025700" w:rsidRPr="008A4EA6" w:rsidRDefault="00025700" w:rsidP="009A58A4">
            <w:pPr>
              <w:pStyle w:val="ListParagraph"/>
              <w:spacing w:after="60"/>
              <w:ind w:left="0"/>
              <w:contextualSpacing w:val="0"/>
              <w:rPr>
                <w:rFonts w:ascii="Times New Roman" w:hAnsi="Times New Roman"/>
                <w:sz w:val="22"/>
                <w:szCs w:val="22"/>
                <w:lang w:val="sr-Cyrl-RS"/>
              </w:rPr>
            </w:pPr>
            <w:r w:rsidRPr="008A4EA6">
              <w:rPr>
                <w:rFonts w:ascii="Times New Roman" w:hAnsi="Times New Roman"/>
                <w:sz w:val="22"/>
                <w:szCs w:val="22"/>
                <w:lang w:val="sr-Cyrl-RS"/>
              </w:rPr>
              <w:t xml:space="preserve">    </w:t>
            </w:r>
            <w:r w:rsidR="00995979">
              <w:rPr>
                <w:rFonts w:ascii="Times New Roman" w:hAnsi="Times New Roman"/>
                <w:sz w:val="22"/>
                <w:szCs w:val="22"/>
                <w:lang w:val="sr-Cyrl-RS"/>
              </w:rPr>
              <w:t xml:space="preserve">      </w:t>
            </w:r>
            <w:r w:rsidRPr="008A4EA6">
              <w:rPr>
                <w:rFonts w:ascii="Times New Roman" w:hAnsi="Times New Roman"/>
                <w:sz w:val="22"/>
                <w:szCs w:val="22"/>
                <w:lang w:val="sr-Cyrl-RS"/>
              </w:rPr>
              <w:t xml:space="preserve"> У члану 42. став 2. речи „Министарство издаје решење“ </w:t>
            </w:r>
            <w:r w:rsidR="00E54F25" w:rsidRPr="008A4EA6">
              <w:rPr>
                <w:rFonts w:ascii="Times New Roman" w:hAnsi="Times New Roman"/>
                <w:sz w:val="22"/>
                <w:szCs w:val="22"/>
                <w:lang w:val="sr-Cyrl-RS"/>
              </w:rPr>
              <w:t>за</w:t>
            </w:r>
            <w:r w:rsidRPr="008A4EA6">
              <w:rPr>
                <w:rFonts w:ascii="Times New Roman" w:hAnsi="Times New Roman"/>
                <w:sz w:val="22"/>
                <w:szCs w:val="22"/>
                <w:lang w:val="sr-Cyrl-RS"/>
              </w:rPr>
              <w:t>мењ</w:t>
            </w:r>
            <w:r w:rsidR="002F78B4" w:rsidRPr="008A4EA6">
              <w:rPr>
                <w:rFonts w:ascii="Times New Roman" w:hAnsi="Times New Roman"/>
                <w:sz w:val="22"/>
                <w:szCs w:val="22"/>
                <w:lang w:val="sr-Cyrl-RS"/>
              </w:rPr>
              <w:t>у</w:t>
            </w:r>
            <w:r w:rsidRPr="008A4EA6">
              <w:rPr>
                <w:rFonts w:ascii="Times New Roman" w:hAnsi="Times New Roman"/>
                <w:sz w:val="22"/>
                <w:szCs w:val="22"/>
                <w:lang w:val="sr-Cyrl-RS"/>
              </w:rPr>
              <w:t xml:space="preserve">ју се </w:t>
            </w:r>
            <w:r w:rsidR="002F78B4" w:rsidRPr="008A4EA6">
              <w:rPr>
                <w:rFonts w:ascii="Times New Roman" w:hAnsi="Times New Roman"/>
                <w:sz w:val="22"/>
                <w:szCs w:val="22"/>
                <w:lang w:val="sr-Cyrl-RS"/>
              </w:rPr>
              <w:t>речима</w:t>
            </w:r>
            <w:r w:rsidRPr="008A4EA6">
              <w:rPr>
                <w:rFonts w:ascii="Times New Roman" w:hAnsi="Times New Roman"/>
                <w:sz w:val="22"/>
                <w:szCs w:val="22"/>
                <w:lang w:val="sr-Cyrl-RS"/>
              </w:rPr>
              <w:t>: „контролна организација доноси одлуку“.</w:t>
            </w:r>
          </w:p>
          <w:p w14:paraId="16D196CA" w14:textId="1BCFF90C" w:rsidR="00025700" w:rsidRPr="008A4EA6" w:rsidRDefault="00025700" w:rsidP="009A58A4">
            <w:pPr>
              <w:pStyle w:val="ListParagraph"/>
              <w:spacing w:after="60"/>
              <w:ind w:left="0"/>
              <w:contextualSpacing w:val="0"/>
              <w:rPr>
                <w:rFonts w:ascii="Times New Roman" w:hAnsi="Times New Roman"/>
                <w:sz w:val="22"/>
                <w:szCs w:val="22"/>
                <w:lang w:val="sr-Cyrl-RS"/>
              </w:rPr>
            </w:pPr>
            <w:r w:rsidRPr="008A4EA6">
              <w:rPr>
                <w:rFonts w:ascii="Times New Roman" w:hAnsi="Times New Roman"/>
                <w:sz w:val="22"/>
                <w:szCs w:val="22"/>
                <w:lang w:val="sr-Cyrl-RS"/>
              </w:rPr>
              <w:t xml:space="preserve">   </w:t>
            </w:r>
            <w:r w:rsidR="00186E6C">
              <w:rPr>
                <w:rFonts w:ascii="Times New Roman" w:hAnsi="Times New Roman"/>
                <w:sz w:val="22"/>
                <w:szCs w:val="22"/>
                <w:lang w:val="sr-Cyrl-RS"/>
              </w:rPr>
              <w:t xml:space="preserve">      </w:t>
            </w:r>
            <w:r w:rsidRPr="008A4EA6">
              <w:rPr>
                <w:rFonts w:ascii="Times New Roman" w:hAnsi="Times New Roman"/>
                <w:sz w:val="22"/>
                <w:szCs w:val="22"/>
                <w:lang w:val="sr-Cyrl-RS"/>
              </w:rPr>
              <w:t xml:space="preserve">  </w:t>
            </w:r>
            <w:r w:rsidR="00995979">
              <w:rPr>
                <w:rFonts w:ascii="Times New Roman" w:hAnsi="Times New Roman"/>
                <w:sz w:val="22"/>
                <w:szCs w:val="22"/>
                <w:lang w:val="sr-Cyrl-RS"/>
              </w:rPr>
              <w:t>С</w:t>
            </w:r>
            <w:r w:rsidRPr="008A4EA6">
              <w:rPr>
                <w:rFonts w:ascii="Times New Roman" w:hAnsi="Times New Roman"/>
                <w:sz w:val="22"/>
                <w:szCs w:val="22"/>
                <w:lang w:val="sr-Cyrl-RS"/>
              </w:rPr>
              <w:t>тав 3. мења се и гласи:</w:t>
            </w:r>
          </w:p>
          <w:p w14:paraId="6903CE73" w14:textId="0F568438" w:rsidR="009D6A43" w:rsidRDefault="00025700" w:rsidP="009A58A4">
            <w:pPr>
              <w:pStyle w:val="ListParagraph"/>
              <w:spacing w:before="120" w:after="120"/>
              <w:ind w:left="0"/>
              <w:contextualSpacing w:val="0"/>
              <w:rPr>
                <w:rFonts w:ascii="Times New Roman" w:hAnsi="Times New Roman"/>
                <w:sz w:val="22"/>
                <w:szCs w:val="22"/>
                <w:lang w:val="sr-Cyrl-RS"/>
              </w:rPr>
            </w:pPr>
            <w:r w:rsidRPr="008A4EA6">
              <w:rPr>
                <w:rFonts w:ascii="Times New Roman" w:hAnsi="Times New Roman"/>
                <w:sz w:val="22"/>
                <w:szCs w:val="22"/>
                <w:lang w:val="sr-Cyrl-RS"/>
              </w:rPr>
              <w:t xml:space="preserve">   </w:t>
            </w:r>
            <w:r w:rsidR="00186E6C">
              <w:rPr>
                <w:rFonts w:ascii="Times New Roman" w:hAnsi="Times New Roman"/>
                <w:sz w:val="22"/>
                <w:szCs w:val="22"/>
                <w:lang w:val="sr-Cyrl-RS"/>
              </w:rPr>
              <w:t xml:space="preserve">      </w:t>
            </w:r>
            <w:r w:rsidRPr="008A4EA6">
              <w:rPr>
                <w:rFonts w:ascii="Times New Roman" w:hAnsi="Times New Roman"/>
                <w:sz w:val="22"/>
                <w:szCs w:val="22"/>
                <w:lang w:val="sr-Cyrl-RS"/>
              </w:rPr>
              <w:t xml:space="preserve"> „На одлуку из става 2. овог члана могуће је поднети жалбу Министарству.“</w:t>
            </w:r>
          </w:p>
          <w:p w14:paraId="637644B8" w14:textId="77777777" w:rsidR="00995979" w:rsidRDefault="00995979" w:rsidP="009A58A4">
            <w:pPr>
              <w:pStyle w:val="ListParagraph"/>
              <w:spacing w:before="120" w:after="120"/>
              <w:ind w:left="0"/>
              <w:contextualSpacing w:val="0"/>
              <w:rPr>
                <w:rFonts w:ascii="Times New Roman" w:hAnsi="Times New Roman"/>
                <w:i/>
                <w:sz w:val="22"/>
                <w:szCs w:val="22"/>
                <w:lang w:val="sr-Cyrl-RS"/>
              </w:rPr>
            </w:pPr>
          </w:p>
          <w:p w14:paraId="4C492103" w14:textId="354C982E" w:rsidR="00995979" w:rsidRDefault="00995979" w:rsidP="009A58A4">
            <w:pPr>
              <w:spacing w:before="120" w:after="120"/>
              <w:jc w:val="center"/>
              <w:rPr>
                <w:rFonts w:ascii="Times New Roman" w:hAnsi="Times New Roman"/>
                <w:sz w:val="22"/>
                <w:szCs w:val="22"/>
                <w:lang w:val="sr-Cyrl-RS"/>
              </w:rPr>
            </w:pPr>
            <w:r>
              <w:rPr>
                <w:rFonts w:ascii="Times New Roman" w:hAnsi="Times New Roman"/>
                <w:sz w:val="22"/>
                <w:szCs w:val="22"/>
                <w:lang w:val="sr-Cyrl-RS"/>
              </w:rPr>
              <w:t xml:space="preserve">            Члан 4.</w:t>
            </w:r>
          </w:p>
          <w:p w14:paraId="39763933" w14:textId="25A07EF9" w:rsidR="00995979" w:rsidRPr="00995979" w:rsidRDefault="162AC148" w:rsidP="162AC148">
            <w:pPr>
              <w:spacing w:before="120" w:after="120"/>
              <w:ind w:firstLine="6"/>
              <w:rPr>
                <w:rFonts w:ascii="Times New Roman" w:hAnsi="Times New Roman"/>
                <w:sz w:val="22"/>
                <w:szCs w:val="22"/>
                <w:lang w:val="sr-Cyrl-RS"/>
              </w:rPr>
            </w:pPr>
            <w:r w:rsidRPr="162AC148">
              <w:rPr>
                <w:rFonts w:ascii="Times New Roman" w:hAnsi="Times New Roman"/>
                <w:sz w:val="22"/>
                <w:szCs w:val="22"/>
                <w:lang w:val="sr-Cyrl-RS"/>
              </w:rPr>
              <w:t xml:space="preserve">           Овај закон ступа на снагу осмог дана од дана објављивања у „Службеном гласнику Републике Србије”.</w:t>
            </w:r>
          </w:p>
        </w:tc>
      </w:tr>
      <w:tr w:rsidR="00566DDB" w:rsidRPr="00404395" w14:paraId="0489C5FC" w14:textId="77777777" w:rsidTr="53D78EC6">
        <w:trPr>
          <w:trHeight w:val="454"/>
        </w:trPr>
        <w:tc>
          <w:tcPr>
            <w:tcW w:w="9060" w:type="dxa"/>
            <w:gridSpan w:val="2"/>
            <w:shd w:val="clear" w:color="auto" w:fill="DBE5F1" w:themeFill="accent1" w:themeFillTint="33"/>
            <w:vAlign w:val="center"/>
          </w:tcPr>
          <w:p w14:paraId="6DA2404D" w14:textId="1F3F0197" w:rsidR="00566DDB" w:rsidRPr="00404395" w:rsidRDefault="00566DDB" w:rsidP="00566DDB">
            <w:pPr>
              <w:pStyle w:val="NormalWeb"/>
              <w:numPr>
                <w:ilvl w:val="0"/>
                <w:numId w:val="26"/>
              </w:numPr>
              <w:spacing w:before="120" w:beforeAutospacing="0" w:after="120" w:afterAutospacing="0"/>
              <w:jc w:val="center"/>
              <w:rPr>
                <w:b/>
                <w:sz w:val="22"/>
                <w:szCs w:val="22"/>
                <w:lang w:val="sr-Cyrl-RS"/>
              </w:rPr>
            </w:pPr>
            <w:r w:rsidRPr="00404395">
              <w:rPr>
                <w:b/>
                <w:sz w:val="22"/>
                <w:szCs w:val="22"/>
                <w:lang w:val="sr-Cyrl-RS"/>
              </w:rPr>
              <w:t>ПРЕГЛЕД ОДРЕДБИ ПРОПИСА ЧИЈА СЕ ИЗМЕНА ПРЕДЛАЖЕ</w:t>
            </w:r>
          </w:p>
        </w:tc>
      </w:tr>
      <w:tr w:rsidR="00566DDB" w:rsidRPr="00404395" w14:paraId="3C4DDA6A" w14:textId="77777777" w:rsidTr="53D78EC6">
        <w:trPr>
          <w:trHeight w:val="454"/>
        </w:trPr>
        <w:tc>
          <w:tcPr>
            <w:tcW w:w="9060" w:type="dxa"/>
            <w:gridSpan w:val="2"/>
            <w:shd w:val="clear" w:color="auto" w:fill="auto"/>
          </w:tcPr>
          <w:p w14:paraId="4A524795" w14:textId="4719F74D" w:rsidR="008A4EA6" w:rsidRPr="00D27136" w:rsidRDefault="162AC148" w:rsidP="162AC148">
            <w:pPr>
              <w:pStyle w:val="ListParagraph"/>
              <w:spacing w:before="120" w:after="60"/>
              <w:contextualSpacing w:val="0"/>
              <w:jc w:val="center"/>
              <w:rPr>
                <w:rFonts w:ascii="Times New Roman" w:hAnsi="Times New Roman"/>
                <w:b/>
                <w:bCs/>
                <w:sz w:val="22"/>
                <w:szCs w:val="22"/>
                <w:lang w:val="sr-Cyrl-RS"/>
              </w:rPr>
            </w:pPr>
            <w:r w:rsidRPr="162AC148">
              <w:rPr>
                <w:rFonts w:ascii="Times New Roman" w:hAnsi="Times New Roman"/>
                <w:b/>
                <w:bCs/>
                <w:sz w:val="22"/>
                <w:szCs w:val="22"/>
                <w:lang w:val="sr-Cyrl-RS"/>
              </w:rPr>
              <w:t>ПРЕГЛЕД ОДРЕДБИ ЗАКОНА О ВИНУ КОЈЕ СЕ МЕЊАЈУ</w:t>
            </w:r>
          </w:p>
          <w:p w14:paraId="0F9B0D1A" w14:textId="77777777" w:rsidR="008A4EA6" w:rsidRDefault="008A4EA6" w:rsidP="00E4383A">
            <w:pPr>
              <w:spacing w:after="60"/>
              <w:jc w:val="center"/>
              <w:rPr>
                <w:rFonts w:ascii="Times New Roman" w:eastAsia="Times New Roman" w:hAnsi="Times New Roman"/>
                <w:sz w:val="22"/>
                <w:szCs w:val="22"/>
                <w:lang w:val="sr-Cyrl-RS"/>
              </w:rPr>
            </w:pPr>
          </w:p>
          <w:p w14:paraId="1B7A5FAE" w14:textId="4598BD18" w:rsidR="00E4383A" w:rsidRPr="00E4383A" w:rsidRDefault="00E4383A" w:rsidP="00E4383A">
            <w:pPr>
              <w:spacing w:after="60"/>
              <w:jc w:val="center"/>
              <w:rPr>
                <w:rFonts w:ascii="Times New Roman" w:eastAsia="Times New Roman" w:hAnsi="Times New Roman"/>
                <w:sz w:val="22"/>
                <w:szCs w:val="22"/>
                <w:lang w:val="sr-Cyrl-RS"/>
              </w:rPr>
            </w:pPr>
            <w:r w:rsidRPr="00E4383A">
              <w:rPr>
                <w:rFonts w:ascii="Times New Roman" w:eastAsia="Times New Roman" w:hAnsi="Times New Roman"/>
                <w:sz w:val="22"/>
                <w:szCs w:val="22"/>
                <w:lang w:val="sr-Cyrl-RS"/>
              </w:rPr>
              <w:t>Захтев за контролу производње вина са географским пореклом</w:t>
            </w:r>
          </w:p>
          <w:p w14:paraId="40B55EBE" w14:textId="77777777" w:rsidR="00E4383A" w:rsidRPr="00E4383A" w:rsidRDefault="00E4383A" w:rsidP="00E4383A">
            <w:pPr>
              <w:spacing w:after="60"/>
              <w:jc w:val="center"/>
              <w:rPr>
                <w:rFonts w:ascii="Times New Roman" w:eastAsia="Times New Roman" w:hAnsi="Times New Roman"/>
                <w:sz w:val="22"/>
                <w:szCs w:val="22"/>
                <w:lang w:val="sr-Cyrl-RS"/>
              </w:rPr>
            </w:pPr>
            <w:r w:rsidRPr="00E4383A">
              <w:rPr>
                <w:rFonts w:ascii="Times New Roman" w:eastAsia="Times New Roman" w:hAnsi="Times New Roman"/>
                <w:sz w:val="22"/>
                <w:szCs w:val="22"/>
                <w:lang w:val="sr-Cyrl-RS"/>
              </w:rPr>
              <w:t>Члан 40.</w:t>
            </w:r>
          </w:p>
          <w:p w14:paraId="09007246" w14:textId="788D3F37" w:rsidR="00E4383A" w:rsidRDefault="162AC148" w:rsidP="162AC148">
            <w:pPr>
              <w:spacing w:after="60"/>
              <w:rPr>
                <w:rFonts w:ascii="Times New Roman" w:eastAsia="Times New Roman" w:hAnsi="Times New Roman"/>
                <w:sz w:val="22"/>
                <w:szCs w:val="22"/>
                <w:lang w:val="sr-Cyrl-RS"/>
              </w:rPr>
            </w:pPr>
            <w:r w:rsidRPr="162AC148">
              <w:rPr>
                <w:rFonts w:ascii="Times New Roman" w:eastAsia="Times New Roman" w:hAnsi="Times New Roman"/>
                <w:sz w:val="22"/>
                <w:szCs w:val="22"/>
                <w:lang w:val="sr-Cyrl-RS"/>
              </w:rPr>
              <w:t xml:space="preserve">На основу издатог решења произвођач подноси </w:t>
            </w:r>
            <w:r w:rsidRPr="162AC148">
              <w:rPr>
                <w:rFonts w:ascii="Times New Roman" w:eastAsia="Times New Roman" w:hAnsi="Times New Roman"/>
                <w:strike/>
                <w:sz w:val="22"/>
                <w:szCs w:val="22"/>
                <w:lang w:val="sr-Cyrl-RS"/>
              </w:rPr>
              <w:t>Министарству</w:t>
            </w:r>
            <w:r w:rsidRPr="162AC148">
              <w:rPr>
                <w:rFonts w:ascii="Times New Roman" w:eastAsia="Times New Roman" w:hAnsi="Times New Roman"/>
                <w:sz w:val="22"/>
                <w:szCs w:val="22"/>
                <w:lang w:val="sr-Cyrl-RS"/>
              </w:rPr>
              <w:t xml:space="preserve"> КОНТРОЛНОЈ ОРГАНИЗАЦИЈИ захтев за контролу производње вина са географским пореклом сваке године до 31. октобра у текућој години за контролу производње грожђа и вина са географским пореклом чија ће производња започети у наредној календарској години.</w:t>
            </w:r>
          </w:p>
          <w:p w14:paraId="6662372C" w14:textId="77777777" w:rsidR="00E4383A" w:rsidRPr="00E4383A" w:rsidRDefault="00E4383A" w:rsidP="00E4383A">
            <w:pPr>
              <w:spacing w:after="60"/>
              <w:jc w:val="left"/>
              <w:rPr>
                <w:rFonts w:ascii="Times New Roman" w:eastAsia="Times New Roman" w:hAnsi="Times New Roman"/>
                <w:sz w:val="22"/>
                <w:szCs w:val="22"/>
                <w:lang w:val="sr-Cyrl-RS"/>
              </w:rPr>
            </w:pPr>
          </w:p>
          <w:p w14:paraId="712C9356" w14:textId="77777777" w:rsidR="00E4383A" w:rsidRPr="00E4383A" w:rsidRDefault="00E4383A" w:rsidP="00E4383A">
            <w:pPr>
              <w:spacing w:after="60"/>
              <w:jc w:val="center"/>
              <w:rPr>
                <w:rFonts w:ascii="Times New Roman" w:eastAsia="Times New Roman" w:hAnsi="Times New Roman"/>
                <w:sz w:val="22"/>
                <w:szCs w:val="22"/>
                <w:lang w:val="sr-Cyrl-RS"/>
              </w:rPr>
            </w:pPr>
            <w:r w:rsidRPr="00E4383A">
              <w:rPr>
                <w:rFonts w:ascii="Times New Roman" w:eastAsia="Times New Roman" w:hAnsi="Times New Roman"/>
                <w:sz w:val="22"/>
                <w:szCs w:val="22"/>
                <w:lang w:val="sr-Cyrl-RS"/>
              </w:rPr>
              <w:t>Контрола производње вина са географским пореклом</w:t>
            </w:r>
          </w:p>
          <w:p w14:paraId="561D3504" w14:textId="77777777" w:rsidR="00E4383A" w:rsidRPr="00E4383A" w:rsidRDefault="00E4383A" w:rsidP="00E4383A">
            <w:pPr>
              <w:spacing w:after="60"/>
              <w:jc w:val="center"/>
              <w:rPr>
                <w:rFonts w:ascii="Times New Roman" w:eastAsia="Times New Roman" w:hAnsi="Times New Roman"/>
                <w:sz w:val="22"/>
                <w:szCs w:val="22"/>
                <w:lang w:val="sr-Cyrl-RS"/>
              </w:rPr>
            </w:pPr>
            <w:r w:rsidRPr="00E4383A">
              <w:rPr>
                <w:rFonts w:ascii="Times New Roman" w:eastAsia="Times New Roman" w:hAnsi="Times New Roman"/>
                <w:sz w:val="22"/>
                <w:szCs w:val="22"/>
                <w:lang w:val="sr-Cyrl-RS"/>
              </w:rPr>
              <w:t>Члан 41.</w:t>
            </w:r>
          </w:p>
          <w:p w14:paraId="3987AE26" w14:textId="123FB393" w:rsidR="00E4383A" w:rsidRDefault="162AC148" w:rsidP="162AC148">
            <w:pPr>
              <w:spacing w:after="60"/>
              <w:rPr>
                <w:rFonts w:ascii="Times New Roman" w:eastAsia="Times New Roman" w:hAnsi="Times New Roman"/>
                <w:sz w:val="22"/>
                <w:szCs w:val="22"/>
                <w:lang w:val="sr-Cyrl-RS"/>
              </w:rPr>
            </w:pPr>
            <w:r w:rsidRPr="162AC148">
              <w:rPr>
                <w:rFonts w:ascii="Times New Roman" w:eastAsia="Times New Roman" w:hAnsi="Times New Roman"/>
                <w:sz w:val="22"/>
                <w:szCs w:val="22"/>
                <w:lang w:val="sr-Cyrl-RS"/>
              </w:rPr>
              <w:t xml:space="preserve">Контрола производње вина са географским пореклом обезбеђује се контролом производње грожђа намењеног за производњу вина са географским пореклом на одређеном виноградарском подручју које се одликује посебним климатским, земљишним и осталим условима, контролом производње вина са географским пореклом, испитивањем квалитета и сензорним оцењивањем вина са географским пореклом, ради </w:t>
            </w:r>
            <w:r w:rsidRPr="162AC148">
              <w:rPr>
                <w:rFonts w:ascii="Times New Roman" w:eastAsia="Times New Roman" w:hAnsi="Times New Roman"/>
                <w:strike/>
                <w:sz w:val="22"/>
                <w:szCs w:val="22"/>
                <w:lang w:val="sr-Cyrl-RS"/>
              </w:rPr>
              <w:t>издавања решења</w:t>
            </w:r>
            <w:r w:rsidRPr="162AC148">
              <w:rPr>
                <w:rFonts w:ascii="Times New Roman" w:eastAsia="Times New Roman" w:hAnsi="Times New Roman"/>
                <w:sz w:val="22"/>
                <w:szCs w:val="22"/>
                <w:lang w:val="sr-Cyrl-RS"/>
              </w:rPr>
              <w:t xml:space="preserve"> ДОНОШЕЊА ОДЛУКЕ о испуњености услова за коришћење ознаке и стављање вина са географским пореклом у промет из дате године бербе.</w:t>
            </w:r>
          </w:p>
          <w:p w14:paraId="12D22772" w14:textId="77777777" w:rsidR="00E4383A" w:rsidRPr="00E4383A" w:rsidRDefault="00E4383A" w:rsidP="00E4383A">
            <w:pPr>
              <w:spacing w:after="60"/>
              <w:jc w:val="left"/>
              <w:rPr>
                <w:rFonts w:ascii="Times New Roman" w:eastAsia="Times New Roman" w:hAnsi="Times New Roman"/>
                <w:sz w:val="22"/>
                <w:szCs w:val="22"/>
                <w:lang w:val="sr-Cyrl-RS"/>
              </w:rPr>
            </w:pPr>
          </w:p>
          <w:p w14:paraId="2530BD86" w14:textId="77777777" w:rsidR="00E4383A" w:rsidRPr="00E4383A" w:rsidRDefault="00E4383A" w:rsidP="00E4383A">
            <w:pPr>
              <w:spacing w:after="60"/>
              <w:jc w:val="center"/>
              <w:rPr>
                <w:rFonts w:ascii="Times New Roman" w:eastAsia="Times New Roman" w:hAnsi="Times New Roman"/>
                <w:sz w:val="22"/>
                <w:szCs w:val="22"/>
                <w:lang w:val="sr-Cyrl-RS"/>
              </w:rPr>
            </w:pPr>
            <w:r w:rsidRPr="00E4383A">
              <w:rPr>
                <w:rFonts w:ascii="Times New Roman" w:eastAsia="Times New Roman" w:hAnsi="Times New Roman"/>
                <w:sz w:val="22"/>
                <w:szCs w:val="22"/>
                <w:lang w:val="sr-Cyrl-RS"/>
              </w:rPr>
              <w:t>Коришћење ознаке и стављање вина са географским пореклом у промет</w:t>
            </w:r>
          </w:p>
          <w:p w14:paraId="59E38FBA" w14:textId="77777777" w:rsidR="00E4383A" w:rsidRPr="00E4383A" w:rsidRDefault="00E4383A" w:rsidP="00E4383A">
            <w:pPr>
              <w:spacing w:after="60"/>
              <w:jc w:val="center"/>
              <w:rPr>
                <w:rFonts w:ascii="Times New Roman" w:eastAsia="Times New Roman" w:hAnsi="Times New Roman"/>
                <w:sz w:val="22"/>
                <w:szCs w:val="22"/>
                <w:lang w:val="sr-Cyrl-RS"/>
              </w:rPr>
            </w:pPr>
            <w:r w:rsidRPr="00E4383A">
              <w:rPr>
                <w:rFonts w:ascii="Times New Roman" w:eastAsia="Times New Roman" w:hAnsi="Times New Roman"/>
                <w:sz w:val="22"/>
                <w:szCs w:val="22"/>
                <w:lang w:val="sr-Cyrl-RS"/>
              </w:rPr>
              <w:t>Члан 42.</w:t>
            </w:r>
          </w:p>
          <w:p w14:paraId="0A0DA871" w14:textId="77777777" w:rsidR="00E4383A" w:rsidRPr="00E4383A" w:rsidRDefault="162AC148" w:rsidP="162AC148">
            <w:pPr>
              <w:spacing w:after="60"/>
              <w:rPr>
                <w:rFonts w:ascii="Times New Roman" w:eastAsia="Times New Roman" w:hAnsi="Times New Roman"/>
                <w:sz w:val="22"/>
                <w:szCs w:val="22"/>
                <w:lang w:val="sr-Cyrl-RS"/>
              </w:rPr>
            </w:pPr>
            <w:r w:rsidRPr="162AC148">
              <w:rPr>
                <w:rFonts w:ascii="Times New Roman" w:eastAsia="Times New Roman" w:hAnsi="Times New Roman"/>
                <w:sz w:val="22"/>
                <w:szCs w:val="22"/>
                <w:lang w:val="sr-Cyrl-RS"/>
              </w:rPr>
              <w:t>На основу извршене контроле производње грожђа и вина са географским пореклом и извршеног испитивања и утврђивања квалитета и сензорног оцењивања вина, контролна организација сачињава извештај и стручно мишљење са пратећом документацијом.</w:t>
            </w:r>
          </w:p>
          <w:p w14:paraId="4903B0AC" w14:textId="041CA9A0" w:rsidR="00E4383A" w:rsidRPr="00E4383A" w:rsidRDefault="162AC148" w:rsidP="162AC148">
            <w:pPr>
              <w:spacing w:after="60"/>
              <w:rPr>
                <w:rFonts w:ascii="Times New Roman" w:eastAsia="Times New Roman" w:hAnsi="Times New Roman"/>
                <w:sz w:val="22"/>
                <w:szCs w:val="22"/>
                <w:lang w:val="sr-Cyrl-RS"/>
              </w:rPr>
            </w:pPr>
            <w:r w:rsidRPr="162AC148">
              <w:rPr>
                <w:rFonts w:ascii="Times New Roman" w:eastAsia="Times New Roman" w:hAnsi="Times New Roman"/>
                <w:sz w:val="22"/>
                <w:szCs w:val="22"/>
                <w:lang w:val="sr-Cyrl-RS"/>
              </w:rPr>
              <w:t xml:space="preserve">На основу стручног мишљења са пратећом документацијом из става 1. овог члана </w:t>
            </w:r>
            <w:r w:rsidRPr="162AC148">
              <w:rPr>
                <w:rFonts w:ascii="Times New Roman" w:eastAsia="Times New Roman" w:hAnsi="Times New Roman"/>
                <w:strike/>
                <w:sz w:val="22"/>
                <w:szCs w:val="22"/>
                <w:lang w:val="sr-Cyrl-RS"/>
              </w:rPr>
              <w:t>Министарство издаје решење</w:t>
            </w:r>
            <w:r w:rsidRPr="162AC148">
              <w:rPr>
                <w:rFonts w:ascii="Times New Roman" w:eastAsia="Times New Roman" w:hAnsi="Times New Roman"/>
                <w:sz w:val="22"/>
                <w:szCs w:val="22"/>
                <w:lang w:val="sr-Cyrl-RS"/>
              </w:rPr>
              <w:t xml:space="preserve"> КОНТРОЛНА ОРГАНИЗАЦИЈА ДОНОСИ ОДЛУКУ о испуњености услова за коришћење ознаке и стављање вина са географским пореклом у промет из дате године бербе.</w:t>
            </w:r>
          </w:p>
          <w:p w14:paraId="4CF2F800" w14:textId="77777777" w:rsidR="00566DDB" w:rsidRPr="00E4383A" w:rsidRDefault="00E4383A" w:rsidP="00E4383A">
            <w:pPr>
              <w:spacing w:after="60"/>
              <w:jc w:val="left"/>
              <w:rPr>
                <w:rFonts w:ascii="Times New Roman" w:eastAsia="Times New Roman" w:hAnsi="Times New Roman"/>
                <w:strike/>
                <w:sz w:val="22"/>
                <w:szCs w:val="22"/>
                <w:lang w:val="sr-Cyrl-RS"/>
              </w:rPr>
            </w:pPr>
            <w:r w:rsidRPr="00E4383A">
              <w:rPr>
                <w:rFonts w:ascii="Times New Roman" w:eastAsia="Times New Roman" w:hAnsi="Times New Roman"/>
                <w:strike/>
                <w:sz w:val="22"/>
                <w:szCs w:val="22"/>
                <w:lang w:val="sr-Cyrl-RS"/>
              </w:rPr>
              <w:t>Решење из става 2. овог члана је коначно и против њега се може покренути управни спор.</w:t>
            </w:r>
          </w:p>
          <w:p w14:paraId="1506ADFF" w14:textId="31693EB0" w:rsidR="00E4383A" w:rsidRPr="00E4383A" w:rsidRDefault="162AC148" w:rsidP="162AC148">
            <w:pPr>
              <w:spacing w:after="60"/>
              <w:rPr>
                <w:rFonts w:ascii="Times New Roman" w:eastAsia="Times New Roman" w:hAnsi="Times New Roman"/>
                <w:sz w:val="22"/>
                <w:szCs w:val="22"/>
                <w:lang w:val="sr-Cyrl-RS"/>
              </w:rPr>
            </w:pPr>
            <w:r w:rsidRPr="162AC148">
              <w:rPr>
                <w:rFonts w:ascii="Times New Roman" w:eastAsia="Times New Roman" w:hAnsi="Times New Roman"/>
                <w:sz w:val="22"/>
                <w:szCs w:val="22"/>
                <w:lang w:val="sr-Cyrl-RS"/>
              </w:rPr>
              <w:t>НА ОДЛУКУ ИЗ СТАВА 2. ОВОГ ЧЛАНА МОГУЋЕ ЈЕ ПОДНЕТИ ЖАЛБУ МИНИСТАРСТВУ.</w:t>
            </w:r>
          </w:p>
        </w:tc>
      </w:tr>
      <w:tr w:rsidR="00566DDB" w:rsidRPr="00404395" w14:paraId="429F5407" w14:textId="77777777" w:rsidTr="53D78EC6">
        <w:trPr>
          <w:trHeight w:val="454"/>
        </w:trPr>
        <w:tc>
          <w:tcPr>
            <w:tcW w:w="9060" w:type="dxa"/>
            <w:gridSpan w:val="2"/>
            <w:shd w:val="clear" w:color="auto" w:fill="DBE5F1" w:themeFill="accent1" w:themeFillTint="33"/>
            <w:vAlign w:val="center"/>
          </w:tcPr>
          <w:p w14:paraId="033C7D4B" w14:textId="7099FA8B" w:rsidR="00566DDB" w:rsidRPr="00404395" w:rsidRDefault="00566DDB" w:rsidP="00566DDB">
            <w:pPr>
              <w:pStyle w:val="NormalWeb"/>
              <w:numPr>
                <w:ilvl w:val="0"/>
                <w:numId w:val="26"/>
              </w:numPr>
              <w:spacing w:before="120" w:beforeAutospacing="0" w:after="120" w:afterAutospacing="0"/>
              <w:jc w:val="center"/>
              <w:rPr>
                <w:b/>
                <w:sz w:val="22"/>
                <w:szCs w:val="22"/>
                <w:lang w:val="sr-Cyrl-RS"/>
              </w:rPr>
            </w:pPr>
            <w:r w:rsidRPr="00404395">
              <w:rPr>
                <w:b/>
                <w:sz w:val="22"/>
                <w:szCs w:val="22"/>
                <w:lang w:val="sr-Cyrl-RS"/>
              </w:rPr>
              <w:lastRenderedPageBreak/>
              <w:t>АНАЛИЗА ЕФЕКАТА ПРЕПОРУКЕ (АЕП)</w:t>
            </w:r>
          </w:p>
        </w:tc>
      </w:tr>
      <w:tr w:rsidR="00566DDB" w:rsidRPr="00404395" w14:paraId="72BD2239" w14:textId="77777777" w:rsidTr="53D78EC6">
        <w:trPr>
          <w:trHeight w:val="454"/>
        </w:trPr>
        <w:tc>
          <w:tcPr>
            <w:tcW w:w="9060" w:type="dxa"/>
            <w:gridSpan w:val="2"/>
            <w:shd w:val="clear" w:color="auto" w:fill="auto"/>
          </w:tcPr>
          <w:p w14:paraId="331CCBA4" w14:textId="4A649784" w:rsidR="00566DDB" w:rsidRPr="00404395" w:rsidRDefault="53D78EC6" w:rsidP="53D78EC6">
            <w:pPr>
              <w:rPr>
                <w:rFonts w:ascii="Times New Roman" w:eastAsia="Times New Roman" w:hAnsi="Times New Roman"/>
                <w:b/>
                <w:bCs/>
                <w:sz w:val="22"/>
                <w:szCs w:val="22"/>
                <w:lang w:val="sr-Cyrl-RS"/>
              </w:rPr>
            </w:pPr>
            <w:r w:rsidRPr="53D78EC6">
              <w:rPr>
                <w:rFonts w:ascii="Times New Roman" w:eastAsia="Times New Roman" w:hAnsi="Times New Roman"/>
                <w:sz w:val="22"/>
                <w:szCs w:val="22"/>
                <w:lang w:val="sr-Cyrl-RS"/>
              </w:rPr>
              <w:t>Препоруком се утиче на поједностављење поступка и побољшање пословног амбијента.</w:t>
            </w:r>
          </w:p>
        </w:tc>
      </w:tr>
    </w:tbl>
    <w:p w14:paraId="5CE5710A" w14:textId="1C5B3A41" w:rsidR="003E3C16" w:rsidRPr="00404395" w:rsidRDefault="003E3C16" w:rsidP="003E3C16">
      <w:pPr>
        <w:rPr>
          <w:rFonts w:ascii="Times New Roman" w:eastAsia="Times New Roman" w:hAnsi="Times New Roman"/>
          <w:lang w:val="sr-Cyrl-RS"/>
        </w:rPr>
      </w:pPr>
    </w:p>
    <w:sectPr w:rsidR="003E3C16" w:rsidRPr="00404395"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658E7A" w14:textId="77777777" w:rsidR="00AB713C" w:rsidRDefault="00AB713C" w:rsidP="002A202F">
      <w:r>
        <w:separator/>
      </w:r>
    </w:p>
  </w:endnote>
  <w:endnote w:type="continuationSeparator" w:id="0">
    <w:p w14:paraId="15325A69" w14:textId="77777777" w:rsidR="00AB713C" w:rsidRDefault="00AB713C"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6731E780" w:rsidR="007F192F" w:rsidRDefault="007F192F">
        <w:pPr>
          <w:pStyle w:val="Footer"/>
          <w:jc w:val="right"/>
        </w:pPr>
        <w:r>
          <w:fldChar w:fldCharType="begin"/>
        </w:r>
        <w:r>
          <w:instrText xml:space="preserve"> PAGE   \* MERGEFORMAT </w:instrText>
        </w:r>
        <w:r>
          <w:fldChar w:fldCharType="separate"/>
        </w:r>
        <w:r w:rsidR="00DA1DEA">
          <w:rPr>
            <w:noProof/>
          </w:rPr>
          <w:t>1</w:t>
        </w:r>
        <w:r>
          <w:rPr>
            <w:noProof/>
          </w:rPr>
          <w:fldChar w:fldCharType="end"/>
        </w:r>
      </w:p>
    </w:sdtContent>
  </w:sdt>
  <w:p w14:paraId="7110971E" w14:textId="77777777" w:rsidR="007F192F" w:rsidRDefault="007F19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940BC9" w14:textId="77777777" w:rsidR="00AB713C" w:rsidRDefault="00AB713C" w:rsidP="002A202F">
      <w:r>
        <w:separator/>
      </w:r>
    </w:p>
  </w:footnote>
  <w:footnote w:type="continuationSeparator" w:id="0">
    <w:p w14:paraId="79F01BDF" w14:textId="77777777" w:rsidR="00AB713C" w:rsidRDefault="00AB713C"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275A64"/>
    <w:multiLevelType w:val="hybridMultilevel"/>
    <w:tmpl w:val="F4423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7" w15:restartNumberingAfterBreak="0">
    <w:nsid w:val="303D61ED"/>
    <w:multiLevelType w:val="hybridMultilevel"/>
    <w:tmpl w:val="D9542536"/>
    <w:lvl w:ilvl="0" w:tplc="47805F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F95361"/>
    <w:multiLevelType w:val="hybridMultilevel"/>
    <w:tmpl w:val="F4423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027F20"/>
    <w:multiLevelType w:val="hybridMultilevel"/>
    <w:tmpl w:val="F4423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7E21C04"/>
    <w:multiLevelType w:val="hybridMultilevel"/>
    <w:tmpl w:val="D8C813C2"/>
    <w:lvl w:ilvl="0" w:tplc="FF0AB7E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7B7F0A"/>
    <w:multiLevelType w:val="hybridMultilevel"/>
    <w:tmpl w:val="F4423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5"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6" w15:restartNumberingAfterBreak="0">
    <w:nsid w:val="450504B0"/>
    <w:multiLevelType w:val="hybridMultilevel"/>
    <w:tmpl w:val="ED5448D4"/>
    <w:lvl w:ilvl="0" w:tplc="2A72C768">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DB540E"/>
    <w:multiLevelType w:val="hybridMultilevel"/>
    <w:tmpl w:val="F4423F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2"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5"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3A46EE"/>
    <w:multiLevelType w:val="hybridMultilevel"/>
    <w:tmpl w:val="99ACDA14"/>
    <w:lvl w:ilvl="0" w:tplc="C682F94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F30345"/>
    <w:multiLevelType w:val="hybridMultilevel"/>
    <w:tmpl w:val="1DB29610"/>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28"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9"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7265A9"/>
    <w:multiLevelType w:val="hybridMultilevel"/>
    <w:tmpl w:val="B0D8C16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8"/>
  </w:num>
  <w:num w:numId="4">
    <w:abstractNumId w:val="3"/>
  </w:num>
  <w:num w:numId="5">
    <w:abstractNumId w:val="1"/>
  </w:num>
  <w:num w:numId="6">
    <w:abstractNumId w:val="17"/>
  </w:num>
  <w:num w:numId="7">
    <w:abstractNumId w:val="31"/>
  </w:num>
  <w:num w:numId="8">
    <w:abstractNumId w:val="14"/>
  </w:num>
  <w:num w:numId="9">
    <w:abstractNumId w:val="28"/>
  </w:num>
  <w:num w:numId="10">
    <w:abstractNumId w:val="24"/>
  </w:num>
  <w:num w:numId="11">
    <w:abstractNumId w:val="23"/>
  </w:num>
  <w:num w:numId="12">
    <w:abstractNumId w:val="22"/>
  </w:num>
  <w:num w:numId="13">
    <w:abstractNumId w:val="19"/>
  </w:num>
  <w:num w:numId="14">
    <w:abstractNumId w:val="25"/>
  </w:num>
  <w:num w:numId="15">
    <w:abstractNumId w:val="21"/>
  </w:num>
  <w:num w:numId="16">
    <w:abstractNumId w:val="15"/>
  </w:num>
  <w:num w:numId="17">
    <w:abstractNumId w:val="12"/>
  </w:num>
  <w:num w:numId="18">
    <w:abstractNumId w:val="29"/>
  </w:num>
  <w:num w:numId="19">
    <w:abstractNumId w:val="4"/>
  </w:num>
  <w:num w:numId="20">
    <w:abstractNumId w:val="32"/>
  </w:num>
  <w:num w:numId="21">
    <w:abstractNumId w:val="6"/>
  </w:num>
  <w:num w:numId="22">
    <w:abstractNumId w:val="2"/>
  </w:num>
  <w:num w:numId="23">
    <w:abstractNumId w:val="20"/>
  </w:num>
  <w:num w:numId="24">
    <w:abstractNumId w:val="0"/>
  </w:num>
  <w:num w:numId="25">
    <w:abstractNumId w:val="13"/>
  </w:num>
  <w:num w:numId="26">
    <w:abstractNumId w:val="11"/>
  </w:num>
  <w:num w:numId="27">
    <w:abstractNumId w:val="5"/>
  </w:num>
  <w:num w:numId="28">
    <w:abstractNumId w:val="16"/>
  </w:num>
  <w:num w:numId="29">
    <w:abstractNumId w:val="26"/>
  </w:num>
  <w:num w:numId="30">
    <w:abstractNumId w:val="7"/>
  </w:num>
  <w:num w:numId="31">
    <w:abstractNumId w:val="9"/>
  </w:num>
  <w:num w:numId="32">
    <w:abstractNumId w:val="30"/>
  </w:num>
  <w:num w:numId="33">
    <w:abstractNumId w:val="8"/>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3BF3"/>
    <w:rsid w:val="0001445B"/>
    <w:rsid w:val="00014EFE"/>
    <w:rsid w:val="000216D9"/>
    <w:rsid w:val="00023EF9"/>
    <w:rsid w:val="00025700"/>
    <w:rsid w:val="00026C2F"/>
    <w:rsid w:val="00027945"/>
    <w:rsid w:val="0003021C"/>
    <w:rsid w:val="00034916"/>
    <w:rsid w:val="00036812"/>
    <w:rsid w:val="00044F35"/>
    <w:rsid w:val="00044F63"/>
    <w:rsid w:val="00050616"/>
    <w:rsid w:val="000565B2"/>
    <w:rsid w:val="00061070"/>
    <w:rsid w:val="000779B4"/>
    <w:rsid w:val="00083993"/>
    <w:rsid w:val="00092B84"/>
    <w:rsid w:val="0009542A"/>
    <w:rsid w:val="000A3CE3"/>
    <w:rsid w:val="000A53F3"/>
    <w:rsid w:val="000A5CDC"/>
    <w:rsid w:val="000B54D7"/>
    <w:rsid w:val="000B584C"/>
    <w:rsid w:val="000D5029"/>
    <w:rsid w:val="000E2036"/>
    <w:rsid w:val="000E2A21"/>
    <w:rsid w:val="000F48CF"/>
    <w:rsid w:val="000F5E72"/>
    <w:rsid w:val="0010505A"/>
    <w:rsid w:val="00107B07"/>
    <w:rsid w:val="00114FD9"/>
    <w:rsid w:val="001156BA"/>
    <w:rsid w:val="00122748"/>
    <w:rsid w:val="00140EF4"/>
    <w:rsid w:val="00143A5C"/>
    <w:rsid w:val="0015182D"/>
    <w:rsid w:val="00160FED"/>
    <w:rsid w:val="00161847"/>
    <w:rsid w:val="00170CA7"/>
    <w:rsid w:val="001711C5"/>
    <w:rsid w:val="00181AAC"/>
    <w:rsid w:val="00186E6C"/>
    <w:rsid w:val="001A023F"/>
    <w:rsid w:val="001A1E69"/>
    <w:rsid w:val="001A3FAC"/>
    <w:rsid w:val="001A6472"/>
    <w:rsid w:val="001B2BCF"/>
    <w:rsid w:val="001B32AA"/>
    <w:rsid w:val="001C5538"/>
    <w:rsid w:val="001D0EDE"/>
    <w:rsid w:val="001D20E2"/>
    <w:rsid w:val="001D2561"/>
    <w:rsid w:val="001E38DE"/>
    <w:rsid w:val="001F51F2"/>
    <w:rsid w:val="001F7B31"/>
    <w:rsid w:val="0020285C"/>
    <w:rsid w:val="0020601F"/>
    <w:rsid w:val="00207403"/>
    <w:rsid w:val="00212DA5"/>
    <w:rsid w:val="0021347C"/>
    <w:rsid w:val="002323AC"/>
    <w:rsid w:val="00245E12"/>
    <w:rsid w:val="00250BFA"/>
    <w:rsid w:val="00257056"/>
    <w:rsid w:val="00261404"/>
    <w:rsid w:val="002673B0"/>
    <w:rsid w:val="00275E2A"/>
    <w:rsid w:val="0028188A"/>
    <w:rsid w:val="00296938"/>
    <w:rsid w:val="00296969"/>
    <w:rsid w:val="002A06B9"/>
    <w:rsid w:val="002A202F"/>
    <w:rsid w:val="002B19B4"/>
    <w:rsid w:val="002C7B03"/>
    <w:rsid w:val="002D4986"/>
    <w:rsid w:val="002F1BEC"/>
    <w:rsid w:val="002F4757"/>
    <w:rsid w:val="002F50D3"/>
    <w:rsid w:val="002F78B4"/>
    <w:rsid w:val="00322199"/>
    <w:rsid w:val="003223C7"/>
    <w:rsid w:val="00326555"/>
    <w:rsid w:val="003410E0"/>
    <w:rsid w:val="00350EAD"/>
    <w:rsid w:val="00356951"/>
    <w:rsid w:val="003620F5"/>
    <w:rsid w:val="0036290A"/>
    <w:rsid w:val="003651DB"/>
    <w:rsid w:val="003715A0"/>
    <w:rsid w:val="0037171F"/>
    <w:rsid w:val="003727D8"/>
    <w:rsid w:val="0037693A"/>
    <w:rsid w:val="00376FD1"/>
    <w:rsid w:val="00385E50"/>
    <w:rsid w:val="0039002C"/>
    <w:rsid w:val="003B44DB"/>
    <w:rsid w:val="003B4BC9"/>
    <w:rsid w:val="003B6298"/>
    <w:rsid w:val="003C094F"/>
    <w:rsid w:val="003C2952"/>
    <w:rsid w:val="003C3802"/>
    <w:rsid w:val="003C539C"/>
    <w:rsid w:val="003E2EB1"/>
    <w:rsid w:val="003E3C16"/>
    <w:rsid w:val="003E6FF0"/>
    <w:rsid w:val="003F2232"/>
    <w:rsid w:val="00404395"/>
    <w:rsid w:val="00407D96"/>
    <w:rsid w:val="004310A1"/>
    <w:rsid w:val="00432495"/>
    <w:rsid w:val="0043386E"/>
    <w:rsid w:val="004362F0"/>
    <w:rsid w:val="0044273F"/>
    <w:rsid w:val="00444DA7"/>
    <w:rsid w:val="00446BB9"/>
    <w:rsid w:val="0045766B"/>
    <w:rsid w:val="00457882"/>
    <w:rsid w:val="00461D12"/>
    <w:rsid w:val="00463717"/>
    <w:rsid w:val="00463CC7"/>
    <w:rsid w:val="004735A8"/>
    <w:rsid w:val="004809C4"/>
    <w:rsid w:val="0048433C"/>
    <w:rsid w:val="004847B1"/>
    <w:rsid w:val="0049545B"/>
    <w:rsid w:val="004C0A51"/>
    <w:rsid w:val="004C3A14"/>
    <w:rsid w:val="004D061C"/>
    <w:rsid w:val="004D3BD0"/>
    <w:rsid w:val="004D45B1"/>
    <w:rsid w:val="004D68A7"/>
    <w:rsid w:val="004E29D1"/>
    <w:rsid w:val="004E6AE5"/>
    <w:rsid w:val="004F3A04"/>
    <w:rsid w:val="00500566"/>
    <w:rsid w:val="005073A3"/>
    <w:rsid w:val="00513CFC"/>
    <w:rsid w:val="00523608"/>
    <w:rsid w:val="00525C0A"/>
    <w:rsid w:val="00527FA2"/>
    <w:rsid w:val="00535608"/>
    <w:rsid w:val="00554842"/>
    <w:rsid w:val="00556688"/>
    <w:rsid w:val="00557C68"/>
    <w:rsid w:val="0056162B"/>
    <w:rsid w:val="00566DDB"/>
    <w:rsid w:val="0056707B"/>
    <w:rsid w:val="00573591"/>
    <w:rsid w:val="005807E7"/>
    <w:rsid w:val="00581A9D"/>
    <w:rsid w:val="0058727F"/>
    <w:rsid w:val="005A2503"/>
    <w:rsid w:val="005B4F04"/>
    <w:rsid w:val="005B7CB9"/>
    <w:rsid w:val="005D0023"/>
    <w:rsid w:val="005E21C4"/>
    <w:rsid w:val="005E4A2A"/>
    <w:rsid w:val="005F1BF0"/>
    <w:rsid w:val="005F3923"/>
    <w:rsid w:val="005F4D59"/>
    <w:rsid w:val="0060001C"/>
    <w:rsid w:val="00600D31"/>
    <w:rsid w:val="00602F97"/>
    <w:rsid w:val="0060786A"/>
    <w:rsid w:val="0062203F"/>
    <w:rsid w:val="0062286D"/>
    <w:rsid w:val="006237FE"/>
    <w:rsid w:val="00627AF7"/>
    <w:rsid w:val="00632540"/>
    <w:rsid w:val="00632BAA"/>
    <w:rsid w:val="00633F73"/>
    <w:rsid w:val="006351FA"/>
    <w:rsid w:val="00645199"/>
    <w:rsid w:val="00645850"/>
    <w:rsid w:val="00661ECF"/>
    <w:rsid w:val="006648BC"/>
    <w:rsid w:val="00681B33"/>
    <w:rsid w:val="00684FF3"/>
    <w:rsid w:val="00691466"/>
    <w:rsid w:val="00692071"/>
    <w:rsid w:val="00694B28"/>
    <w:rsid w:val="00695797"/>
    <w:rsid w:val="006C5349"/>
    <w:rsid w:val="006C5F2A"/>
    <w:rsid w:val="006C662C"/>
    <w:rsid w:val="006C6DE7"/>
    <w:rsid w:val="006E0B38"/>
    <w:rsid w:val="006E6299"/>
    <w:rsid w:val="006F4A5C"/>
    <w:rsid w:val="00715F5C"/>
    <w:rsid w:val="007278C1"/>
    <w:rsid w:val="00733493"/>
    <w:rsid w:val="00737F1D"/>
    <w:rsid w:val="007401C7"/>
    <w:rsid w:val="00747652"/>
    <w:rsid w:val="0076455B"/>
    <w:rsid w:val="007820AD"/>
    <w:rsid w:val="00782816"/>
    <w:rsid w:val="00785A46"/>
    <w:rsid w:val="007861E3"/>
    <w:rsid w:val="00791054"/>
    <w:rsid w:val="007940D6"/>
    <w:rsid w:val="007B1740"/>
    <w:rsid w:val="007B373E"/>
    <w:rsid w:val="007C61B5"/>
    <w:rsid w:val="007D3889"/>
    <w:rsid w:val="007D39E4"/>
    <w:rsid w:val="007D43A7"/>
    <w:rsid w:val="007E1695"/>
    <w:rsid w:val="007E49D4"/>
    <w:rsid w:val="007F192F"/>
    <w:rsid w:val="007F204C"/>
    <w:rsid w:val="007F45AB"/>
    <w:rsid w:val="00804060"/>
    <w:rsid w:val="00804FAA"/>
    <w:rsid w:val="00813F4E"/>
    <w:rsid w:val="008166C9"/>
    <w:rsid w:val="00824E43"/>
    <w:rsid w:val="00830C6C"/>
    <w:rsid w:val="00833622"/>
    <w:rsid w:val="00833D8C"/>
    <w:rsid w:val="00834C9A"/>
    <w:rsid w:val="00836FFA"/>
    <w:rsid w:val="00843FBC"/>
    <w:rsid w:val="0084708C"/>
    <w:rsid w:val="00847B71"/>
    <w:rsid w:val="00850AD5"/>
    <w:rsid w:val="00852069"/>
    <w:rsid w:val="00852739"/>
    <w:rsid w:val="00853B2D"/>
    <w:rsid w:val="0085419B"/>
    <w:rsid w:val="00855B6E"/>
    <w:rsid w:val="008629CC"/>
    <w:rsid w:val="00865EBB"/>
    <w:rsid w:val="00877B88"/>
    <w:rsid w:val="008823BB"/>
    <w:rsid w:val="00886C36"/>
    <w:rsid w:val="008876A5"/>
    <w:rsid w:val="008912A9"/>
    <w:rsid w:val="008A4EA6"/>
    <w:rsid w:val="008A6AC8"/>
    <w:rsid w:val="008C5591"/>
    <w:rsid w:val="008D04A6"/>
    <w:rsid w:val="008D4C1A"/>
    <w:rsid w:val="008D708E"/>
    <w:rsid w:val="008E77C0"/>
    <w:rsid w:val="008F0867"/>
    <w:rsid w:val="008F172F"/>
    <w:rsid w:val="008F2044"/>
    <w:rsid w:val="008F2BE1"/>
    <w:rsid w:val="008F3F21"/>
    <w:rsid w:val="008F4DD1"/>
    <w:rsid w:val="009056DB"/>
    <w:rsid w:val="009061C7"/>
    <w:rsid w:val="009256A1"/>
    <w:rsid w:val="00932D23"/>
    <w:rsid w:val="00947592"/>
    <w:rsid w:val="00950280"/>
    <w:rsid w:val="009529AA"/>
    <w:rsid w:val="009611FB"/>
    <w:rsid w:val="00964DD6"/>
    <w:rsid w:val="00967936"/>
    <w:rsid w:val="00991A18"/>
    <w:rsid w:val="00994A16"/>
    <w:rsid w:val="00995979"/>
    <w:rsid w:val="009A30D3"/>
    <w:rsid w:val="009A38F9"/>
    <w:rsid w:val="009A58A4"/>
    <w:rsid w:val="009C29F8"/>
    <w:rsid w:val="009C5C42"/>
    <w:rsid w:val="009D03A7"/>
    <w:rsid w:val="009D0B3F"/>
    <w:rsid w:val="009D2D21"/>
    <w:rsid w:val="009D484B"/>
    <w:rsid w:val="009D6A43"/>
    <w:rsid w:val="009E0479"/>
    <w:rsid w:val="009F5642"/>
    <w:rsid w:val="00A0102E"/>
    <w:rsid w:val="00A02A86"/>
    <w:rsid w:val="00A1039D"/>
    <w:rsid w:val="00A1195E"/>
    <w:rsid w:val="00A12960"/>
    <w:rsid w:val="00A1570D"/>
    <w:rsid w:val="00A15AF0"/>
    <w:rsid w:val="00A20738"/>
    <w:rsid w:val="00A22386"/>
    <w:rsid w:val="00A331AF"/>
    <w:rsid w:val="00A34552"/>
    <w:rsid w:val="00A56B75"/>
    <w:rsid w:val="00A63C3F"/>
    <w:rsid w:val="00A71C04"/>
    <w:rsid w:val="00A85763"/>
    <w:rsid w:val="00AA0017"/>
    <w:rsid w:val="00AA4BC5"/>
    <w:rsid w:val="00AA5CDF"/>
    <w:rsid w:val="00AB09B3"/>
    <w:rsid w:val="00AB5AC4"/>
    <w:rsid w:val="00AB713C"/>
    <w:rsid w:val="00AC02D1"/>
    <w:rsid w:val="00AD506C"/>
    <w:rsid w:val="00B06019"/>
    <w:rsid w:val="00B07409"/>
    <w:rsid w:val="00B1006E"/>
    <w:rsid w:val="00B178FB"/>
    <w:rsid w:val="00B27393"/>
    <w:rsid w:val="00B31558"/>
    <w:rsid w:val="00B3718D"/>
    <w:rsid w:val="00B3777A"/>
    <w:rsid w:val="00B41B22"/>
    <w:rsid w:val="00B5252A"/>
    <w:rsid w:val="00B56586"/>
    <w:rsid w:val="00B63DB1"/>
    <w:rsid w:val="00B67138"/>
    <w:rsid w:val="00B6715C"/>
    <w:rsid w:val="00B728E1"/>
    <w:rsid w:val="00B81CFE"/>
    <w:rsid w:val="00B839AB"/>
    <w:rsid w:val="00B903AE"/>
    <w:rsid w:val="00B9157F"/>
    <w:rsid w:val="00B92D09"/>
    <w:rsid w:val="00B95225"/>
    <w:rsid w:val="00B96ACB"/>
    <w:rsid w:val="00BA298B"/>
    <w:rsid w:val="00BA55D3"/>
    <w:rsid w:val="00BA6759"/>
    <w:rsid w:val="00BA7204"/>
    <w:rsid w:val="00BB2BAA"/>
    <w:rsid w:val="00BB2C8C"/>
    <w:rsid w:val="00BC6826"/>
    <w:rsid w:val="00BE1225"/>
    <w:rsid w:val="00BE4C9C"/>
    <w:rsid w:val="00C0295C"/>
    <w:rsid w:val="00C03C06"/>
    <w:rsid w:val="00C052F0"/>
    <w:rsid w:val="00C121EC"/>
    <w:rsid w:val="00C12C65"/>
    <w:rsid w:val="00C277A7"/>
    <w:rsid w:val="00C42158"/>
    <w:rsid w:val="00C445E2"/>
    <w:rsid w:val="00C70F1B"/>
    <w:rsid w:val="00C7129D"/>
    <w:rsid w:val="00C748D1"/>
    <w:rsid w:val="00C80B0C"/>
    <w:rsid w:val="00C91014"/>
    <w:rsid w:val="00CA1CE9"/>
    <w:rsid w:val="00CA21F2"/>
    <w:rsid w:val="00CB1A4E"/>
    <w:rsid w:val="00CB3FC8"/>
    <w:rsid w:val="00CC29F6"/>
    <w:rsid w:val="00CD2287"/>
    <w:rsid w:val="00CD5BBB"/>
    <w:rsid w:val="00CE0685"/>
    <w:rsid w:val="00D27136"/>
    <w:rsid w:val="00D37EA5"/>
    <w:rsid w:val="00D73628"/>
    <w:rsid w:val="00D73918"/>
    <w:rsid w:val="00D769B0"/>
    <w:rsid w:val="00D82244"/>
    <w:rsid w:val="00D967D7"/>
    <w:rsid w:val="00DA125D"/>
    <w:rsid w:val="00DA1DEA"/>
    <w:rsid w:val="00DA67A5"/>
    <w:rsid w:val="00DB19B9"/>
    <w:rsid w:val="00DB26FC"/>
    <w:rsid w:val="00DC3FE5"/>
    <w:rsid w:val="00DC4BC2"/>
    <w:rsid w:val="00DC6965"/>
    <w:rsid w:val="00DE057D"/>
    <w:rsid w:val="00E0020F"/>
    <w:rsid w:val="00E04DF6"/>
    <w:rsid w:val="00E118C7"/>
    <w:rsid w:val="00E135DF"/>
    <w:rsid w:val="00E1427B"/>
    <w:rsid w:val="00E14E0D"/>
    <w:rsid w:val="00E2143C"/>
    <w:rsid w:val="00E22B8B"/>
    <w:rsid w:val="00E317D1"/>
    <w:rsid w:val="00E40DF0"/>
    <w:rsid w:val="00E4267B"/>
    <w:rsid w:val="00E4383A"/>
    <w:rsid w:val="00E47DAC"/>
    <w:rsid w:val="00E54F25"/>
    <w:rsid w:val="00E56BD5"/>
    <w:rsid w:val="00E63C8A"/>
    <w:rsid w:val="00E70BF6"/>
    <w:rsid w:val="00ED3A5F"/>
    <w:rsid w:val="00EE28FE"/>
    <w:rsid w:val="00F11C98"/>
    <w:rsid w:val="00F12E47"/>
    <w:rsid w:val="00F15960"/>
    <w:rsid w:val="00F223B2"/>
    <w:rsid w:val="00F3082A"/>
    <w:rsid w:val="00F53241"/>
    <w:rsid w:val="00F61C36"/>
    <w:rsid w:val="00F628E5"/>
    <w:rsid w:val="00F67790"/>
    <w:rsid w:val="00F71561"/>
    <w:rsid w:val="00F77482"/>
    <w:rsid w:val="00F84521"/>
    <w:rsid w:val="00FB1A1B"/>
    <w:rsid w:val="00FB645B"/>
    <w:rsid w:val="00FC09D6"/>
    <w:rsid w:val="00FC34EC"/>
    <w:rsid w:val="00FC3F69"/>
    <w:rsid w:val="00FC5312"/>
    <w:rsid w:val="00FC7DA1"/>
    <w:rsid w:val="00FD3964"/>
    <w:rsid w:val="00FF1DA6"/>
    <w:rsid w:val="00FF4DB4"/>
    <w:rsid w:val="00FF78E5"/>
    <w:rsid w:val="041293D0"/>
    <w:rsid w:val="162AC148"/>
    <w:rsid w:val="53D78EC6"/>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E552F47E-B1B7-4527-8E84-D9A49E97C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38AE9-92F5-4516-BA6D-229C38F9F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879</Words>
  <Characters>5014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Aleksandra Đurđevic</cp:lastModifiedBy>
  <cp:revision>16</cp:revision>
  <cp:lastPrinted>2018-09-05T12:48:00Z</cp:lastPrinted>
  <dcterms:created xsi:type="dcterms:W3CDTF">2019-02-17T11:59:00Z</dcterms:created>
  <dcterms:modified xsi:type="dcterms:W3CDTF">2019-07-12T14:23:00Z</dcterms:modified>
</cp:coreProperties>
</file>