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00662" w14:textId="209F6888" w:rsidR="00CC49A7" w:rsidRPr="00D778CC" w:rsidRDefault="2DD193B3" w:rsidP="2DD193B3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  <w:r w:rsidRPr="00D778CC">
        <w:rPr>
          <w:b/>
          <w:bCs/>
          <w:sz w:val="22"/>
          <w:szCs w:val="22"/>
          <w:lang w:val="sr-Cyrl-RS"/>
        </w:rPr>
        <w:t>ДИГИТАЛИЗАЦИЈА УЗ ПОЈЕДНОСТАВЉЕЊЕ ПОСТУПКА ИЗДАВАЊА САГЛАСНОСТИ ЗА ПРЕПАКИВАЊЕ СЕМЕНА</w:t>
      </w:r>
    </w:p>
    <w:p w14:paraId="17271240" w14:textId="77777777" w:rsidR="00BD6E4E" w:rsidRPr="00D778CC" w:rsidRDefault="00BD6E4E" w:rsidP="2DD193B3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7196D" w:rsidRPr="00D778CC" w14:paraId="3DF88C00" w14:textId="77777777" w:rsidTr="2DD193B3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611CD19" w14:textId="77777777" w:rsidR="000C030B" w:rsidRPr="00D778CC" w:rsidRDefault="2DD193B3" w:rsidP="2DD193B3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3F5F658" w14:textId="257F9765" w:rsidR="000C030B" w:rsidRPr="00D778CC" w:rsidRDefault="2DD193B3" w:rsidP="2DD193B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Сагласност за препакивање семена</w:t>
            </w:r>
          </w:p>
        </w:tc>
      </w:tr>
      <w:tr w:rsidR="0087196D" w:rsidRPr="00D778CC" w14:paraId="7646205C" w14:textId="77777777" w:rsidTr="2DD193B3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31FA390" w14:textId="77777777" w:rsidR="000C030B" w:rsidRPr="00D778CC" w:rsidRDefault="2DD193B3" w:rsidP="2DD193B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FD26A55" w14:textId="47F23A10" w:rsidR="000C030B" w:rsidRPr="00D778CC" w:rsidRDefault="2DD193B3" w:rsidP="2DD193B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6.02.0048</w:t>
            </w:r>
          </w:p>
        </w:tc>
      </w:tr>
      <w:tr w:rsidR="0087196D" w:rsidRPr="00D778CC" w14:paraId="1D63CCA4" w14:textId="77777777" w:rsidTr="2DD193B3">
        <w:tc>
          <w:tcPr>
            <w:tcW w:w="2689" w:type="dxa"/>
            <w:shd w:val="clear" w:color="auto" w:fill="DBE5F1" w:themeFill="accent1" w:themeFillTint="33"/>
            <w:vAlign w:val="center"/>
          </w:tcPr>
          <w:p w14:paraId="7B546653" w14:textId="77777777" w:rsidR="00CC49A7" w:rsidRPr="00D778CC" w:rsidRDefault="2DD193B3" w:rsidP="2DD193B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Регулаторно тело</w:t>
            </w:r>
          </w:p>
          <w:p w14:paraId="6FE6768F" w14:textId="77777777" w:rsidR="00CC49A7" w:rsidRPr="00D778CC" w:rsidRDefault="2DD193B3" w:rsidP="2DD193B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AF90B92" w14:textId="2F3DACB1" w:rsidR="00F00F6C" w:rsidRPr="00D778CC" w:rsidRDefault="2DD193B3" w:rsidP="2DD193B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778CC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775F4841" w14:textId="6C16D52B" w:rsidR="00EF2289" w:rsidRPr="00D778CC" w:rsidRDefault="2DD193B3" w:rsidP="2DD193B3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87196D" w:rsidRPr="00D778CC" w14:paraId="35171A2B" w14:textId="77777777" w:rsidTr="2DD193B3">
        <w:tc>
          <w:tcPr>
            <w:tcW w:w="2689" w:type="dxa"/>
            <w:shd w:val="clear" w:color="auto" w:fill="DBE5F1" w:themeFill="accent1" w:themeFillTint="33"/>
            <w:vAlign w:val="center"/>
          </w:tcPr>
          <w:p w14:paraId="18AE8021" w14:textId="77777777" w:rsidR="00CC49A7" w:rsidRPr="00D778CC" w:rsidRDefault="2DD193B3" w:rsidP="2DD193B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B2BA99F" w14:textId="3A7296C6" w:rsidR="000F05B8" w:rsidRPr="00D778CC" w:rsidRDefault="2DD193B3" w:rsidP="00D778CC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семену: (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„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РС”, бр.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5/05, 30/10-др. закон</w:t>
            </w:r>
          </w:p>
        </w:tc>
      </w:tr>
      <w:tr w:rsidR="0087196D" w:rsidRPr="00D778CC" w14:paraId="40328D16" w14:textId="77777777" w:rsidTr="2DD193B3">
        <w:tc>
          <w:tcPr>
            <w:tcW w:w="2689" w:type="dxa"/>
            <w:shd w:val="clear" w:color="auto" w:fill="DBE5F1" w:themeFill="accent1" w:themeFillTint="33"/>
            <w:vAlign w:val="center"/>
          </w:tcPr>
          <w:p w14:paraId="5253C28E" w14:textId="77777777" w:rsidR="00CC49A7" w:rsidRPr="00D778CC" w:rsidRDefault="2DD193B3" w:rsidP="2DD193B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D778CC">
              <w:rPr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778CC">
              <w:rPr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D778CC">
              <w:rPr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Pr="00D778CC">
              <w:rPr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D778CC">
              <w:rPr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43761AC4" w14:textId="77777777" w:rsidR="0087196D" w:rsidRPr="00D778CC" w:rsidRDefault="2DD193B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семену: (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„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РС”, бр.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5/05, 30/10-др. Закон)</w:t>
            </w:r>
          </w:p>
          <w:p w14:paraId="725BA0BE" w14:textId="2EEDE842" w:rsidR="00CC49A7" w:rsidRPr="00D778CC" w:rsidRDefault="2DD193B3" w:rsidP="00D778C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Нови правилник којим ће се прописати документација која се доставља уз захтев, као и садржина и изглед обрасца захтева</w:t>
            </w:r>
          </w:p>
        </w:tc>
      </w:tr>
      <w:tr w:rsidR="0087196D" w:rsidRPr="00D778CC" w14:paraId="79A932C6" w14:textId="77777777" w:rsidTr="2DD193B3">
        <w:tc>
          <w:tcPr>
            <w:tcW w:w="2689" w:type="dxa"/>
            <w:shd w:val="clear" w:color="auto" w:fill="DBE5F1" w:themeFill="accent1" w:themeFillTint="33"/>
            <w:vAlign w:val="center"/>
          </w:tcPr>
          <w:p w14:paraId="6E5B6CC4" w14:textId="77777777" w:rsidR="00CC49A7" w:rsidRPr="00D778CC" w:rsidRDefault="2DD193B3" w:rsidP="2DD193B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44688AFF" w14:textId="576BB551" w:rsidR="00CC49A7" w:rsidRPr="00D778CC" w:rsidRDefault="2DD193B3" w:rsidP="2DD193B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778CC">
              <w:rPr>
                <w:sz w:val="22"/>
                <w:szCs w:val="22"/>
                <w:lang w:val="sr-Cyrl-RS"/>
              </w:rPr>
              <w:t xml:space="preserve">Четврти квартал 2020. године </w:t>
            </w:r>
          </w:p>
        </w:tc>
      </w:tr>
      <w:tr w:rsidR="0087196D" w:rsidRPr="00D778CC" w14:paraId="0A10E861" w14:textId="77777777" w:rsidTr="2DD193B3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B0DC379" w14:textId="77777777" w:rsidR="00CC49A7" w:rsidRPr="00D778CC" w:rsidRDefault="2DD193B3" w:rsidP="2DD193B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7196D" w:rsidRPr="00D778CC" w14:paraId="60620659" w14:textId="77777777" w:rsidTr="2DD193B3">
        <w:tc>
          <w:tcPr>
            <w:tcW w:w="9060" w:type="dxa"/>
            <w:gridSpan w:val="2"/>
          </w:tcPr>
          <w:p w14:paraId="6F1EEE58" w14:textId="3E7F9FA9" w:rsidR="00500371" w:rsidRPr="00D778CC" w:rsidRDefault="2DD193B3" w:rsidP="2DD193B3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7829C781" w14:textId="6784751D" w:rsidR="00D831A9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од подносица захтева да достави Уверење о признавању семенског усева у случају да је издавалац Управа за заштиту биља, а што је супротно члановима 9. и 103. Закона о општем управном поступку на основу којих је надлежни орган у обавези да по службеној дужности прибави податке које поседују државни.</w:t>
            </w:r>
          </w:p>
          <w:p w14:paraId="14BE3773" w14:textId="0E3203BA" w:rsidR="00036636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се покреће подношењем захтева у слободној форми услед непостојања прописаног обрасца,  што поступак чини нетранспарентним.</w:t>
            </w:r>
          </w:p>
        </w:tc>
      </w:tr>
      <w:tr w:rsidR="0087196D" w:rsidRPr="00D778CC" w14:paraId="614B93E8" w14:textId="77777777" w:rsidTr="2DD193B3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B9A80CA" w14:textId="77777777" w:rsidR="00CC49A7" w:rsidRPr="00D778CC" w:rsidRDefault="2DD193B3" w:rsidP="2DD193B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7196D" w:rsidRPr="00D778CC" w14:paraId="6BC03023" w14:textId="77777777" w:rsidTr="2DD193B3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B7612E9" w14:textId="77777777" w:rsidR="00CC49A7" w:rsidRPr="00D778CC" w:rsidRDefault="00CC49A7" w:rsidP="2DD193B3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87196D" w:rsidRPr="00D778CC" w14:paraId="1B7EEF12" w14:textId="77777777" w:rsidTr="2DD193B3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65"/>
              <w:gridCol w:w="1948"/>
              <w:gridCol w:w="1952"/>
              <w:gridCol w:w="1869"/>
            </w:tblGrid>
            <w:tr w:rsidR="0087196D" w:rsidRPr="00D778CC" w14:paraId="3C47F86B" w14:textId="77777777" w:rsidTr="2DD193B3">
              <w:trPr>
                <w:trHeight w:val="749"/>
              </w:trPr>
              <w:tc>
                <w:tcPr>
                  <w:tcW w:w="306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49A9E33" w14:textId="77777777" w:rsidR="00057A63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AB4082F" w14:textId="77777777" w:rsidR="00057A63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86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7AABE02" w14:textId="77777777" w:rsidR="00057A63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7196D" w:rsidRPr="00D778CC" w14:paraId="726FCC6F" w14:textId="77777777" w:rsidTr="2DD193B3">
              <w:trPr>
                <w:trHeight w:val="260"/>
              </w:trPr>
              <w:tc>
                <w:tcPr>
                  <w:tcW w:w="3065" w:type="dxa"/>
                  <w:vMerge/>
                </w:tcPr>
                <w:p w14:paraId="3011E25C" w14:textId="77777777" w:rsidR="00057A63" w:rsidRPr="00D778CC" w:rsidRDefault="00057A63" w:rsidP="00057A63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925B3D2" w14:textId="77777777" w:rsidR="00057A63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7670554E" w14:textId="77777777" w:rsidR="00057A63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869" w:type="dxa"/>
                  <w:vMerge/>
                </w:tcPr>
                <w:p w14:paraId="4E857F41" w14:textId="77777777" w:rsidR="00057A63" w:rsidRPr="00D778CC" w:rsidRDefault="00057A63" w:rsidP="00057A63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7196D" w:rsidRPr="00D778CC" w14:paraId="709F85EC" w14:textId="77777777" w:rsidTr="2DD193B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369913E8" w14:textId="1BD9B87E" w:rsidR="00500371" w:rsidRPr="00D778CC" w:rsidRDefault="2DD193B3" w:rsidP="2DD193B3">
                  <w:pPr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769" w:type="dxa"/>
                  <w:gridSpan w:val="3"/>
                </w:tcPr>
                <w:p w14:paraId="40BEBE83" w14:textId="77777777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7196D" w:rsidRPr="00D778CC" w14:paraId="0E7DBBAE" w14:textId="77777777" w:rsidTr="2DD193B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171D8004" w14:textId="53DD18FA" w:rsidR="00500371" w:rsidRPr="00D778CC" w:rsidRDefault="2DD193B3" w:rsidP="2DD193B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1CA17E1E" w14:textId="77777777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36DFD24B" w14:textId="77777777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61C4D88A" w14:textId="650EED3B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4C02255" w14:textId="75B6511D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57B42416" w14:textId="6576842F" w:rsidR="00500371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869" w:type="dxa"/>
                </w:tcPr>
                <w:p w14:paraId="2C679D09" w14:textId="77777777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09B893BA" w14:textId="77777777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34D946CB" w14:textId="08AFEA32" w:rsidR="00500371" w:rsidRPr="00D778CC" w:rsidRDefault="00500371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7196D" w:rsidRPr="00D778CC" w14:paraId="1FAD572E" w14:textId="77777777" w:rsidTr="2DD193B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23F17466" w14:textId="78B09642" w:rsidR="00036636" w:rsidRPr="00D778CC" w:rsidRDefault="2DD193B3" w:rsidP="2DD193B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 w:eastAsia="sr-Latn-ME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</w:tcPr>
                <w:p w14:paraId="010B3152" w14:textId="3A56ABC8" w:rsidR="00036636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256FB61C" w14:textId="12CC1537" w:rsidR="00036636" w:rsidRPr="00D778CC" w:rsidRDefault="00036636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69" w:type="dxa"/>
                </w:tcPr>
                <w:p w14:paraId="49AA272A" w14:textId="3530BAC8" w:rsidR="00036636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87196D" w:rsidRPr="00D778CC" w14:paraId="22734784" w14:textId="77777777" w:rsidTr="2DD193B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31DE5D91" w14:textId="08E00D1B" w:rsidR="0056450F" w:rsidRPr="00D778CC" w:rsidRDefault="2DD193B3" w:rsidP="2DD193B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Образац захтева</w:t>
                  </w:r>
                </w:p>
              </w:tc>
              <w:tc>
                <w:tcPr>
                  <w:tcW w:w="5769" w:type="dxa"/>
                  <w:gridSpan w:val="3"/>
                </w:tcPr>
                <w:p w14:paraId="3FC12973" w14:textId="502730A6" w:rsidR="0056450F" w:rsidRPr="00D778CC" w:rsidRDefault="0056450F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7196D" w:rsidRPr="00D778CC" w14:paraId="72ED5C79" w14:textId="77777777" w:rsidTr="2DD193B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3BC12550" w14:textId="6C539F23" w:rsidR="00AB6F6A" w:rsidRPr="00D778CC" w:rsidRDefault="2DD193B3" w:rsidP="2DD193B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i/>
                      <w:iCs/>
                      <w:noProof/>
                      <w:sz w:val="22"/>
                      <w:szCs w:val="22"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7BC1487F" w14:textId="2D75AEDE" w:rsidR="00AB6F6A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4107398E" w14:textId="479610FB" w:rsidR="00AB6F6A" w:rsidRPr="00D778CC" w:rsidRDefault="00AB6F6A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69" w:type="dxa"/>
                </w:tcPr>
                <w:p w14:paraId="4D37DB85" w14:textId="78E57D50" w:rsidR="00AB6F6A" w:rsidRPr="00D778CC" w:rsidRDefault="2DD193B3" w:rsidP="2DD193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778CC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46147FFD" w14:textId="77777777" w:rsidR="00057A63" w:rsidRPr="00D778CC" w:rsidRDefault="00057A63" w:rsidP="2DD193B3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87196D" w:rsidRPr="00D778CC" w14:paraId="460BFD19" w14:textId="77777777" w:rsidTr="2DD193B3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5FC5E5C1" w14:textId="77777777" w:rsidR="00CC49A7" w:rsidRPr="00D778CC" w:rsidRDefault="00CC49A7" w:rsidP="2DD193B3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87196D" w:rsidRPr="00D778CC" w14:paraId="0125817E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4F975B5" w14:textId="77777777" w:rsidR="00CC49A7" w:rsidRPr="00D778CC" w:rsidRDefault="2DD193B3" w:rsidP="2DD193B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87196D" w:rsidRPr="00D778CC" w14:paraId="7E643EB9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740D20D" w14:textId="42610C6E" w:rsidR="0056450F" w:rsidRPr="00D778CC" w:rsidRDefault="2DD193B3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CC70122" w14:textId="77777777" w:rsidR="0056450F" w:rsidRPr="00D778CC" w:rsidRDefault="0056450F" w:rsidP="2DD193B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7F4BA2EC" w14:textId="77777777" w:rsidR="00500371" w:rsidRPr="00D778CC" w:rsidRDefault="2DD193B3" w:rsidP="2DD193B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 xml:space="preserve">3.1. Прихватање доказа о електронској уплати таксе, без печата банке </w:t>
            </w:r>
          </w:p>
          <w:p w14:paraId="13B6432E" w14:textId="77777777" w:rsidR="00500371" w:rsidRPr="00D778CC" w:rsidRDefault="00500371" w:rsidP="2DD193B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</w:p>
          <w:p w14:paraId="523BF089" w14:textId="77777777" w:rsidR="00500371" w:rsidRPr="00D778CC" w:rsidRDefault="2DD193B3" w:rsidP="2DD193B3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Документ 2:  Доказ о извршеној  уплати републичке административне таксе (уплатница)</w:t>
            </w:r>
          </w:p>
          <w:p w14:paraId="608793C8" w14:textId="77777777" w:rsidR="00500371" w:rsidRPr="00D778CC" w:rsidRDefault="00500371" w:rsidP="2DD193B3">
            <w:pPr>
              <w:ind w:left="567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</w:p>
          <w:p w14:paraId="4C3D3B98" w14:textId="77777777" w:rsidR="00500371" w:rsidRPr="00D778CC" w:rsidRDefault="2DD193B3" w:rsidP="2DD193B3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 </w:t>
            </w:r>
          </w:p>
          <w:p w14:paraId="64240B30" w14:textId="77777777" w:rsidR="00500371" w:rsidRPr="00D778CC" w:rsidRDefault="00500371" w:rsidP="2DD193B3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5CE0987" w14:textId="627F58CD" w:rsidR="00500371" w:rsidRPr="00D778CC" w:rsidRDefault="00500371" w:rsidP="2DD193B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4A7EA520" w14:textId="1281C05D" w:rsidR="00831F66" w:rsidRPr="00D778CC" w:rsidRDefault="00831F66" w:rsidP="2DD193B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4CC7124E" w14:textId="3D4C0292" w:rsidR="00831F66" w:rsidRPr="00D778CC" w:rsidRDefault="2DD193B3" w:rsidP="2DD193B3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3.2. 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sr-Latn-ME"/>
              </w:rPr>
              <w:t>Прибављање података по службеној дужности</w:t>
            </w:r>
          </w:p>
          <w:p w14:paraId="0C1610A8" w14:textId="77777777" w:rsidR="00831F66" w:rsidRPr="00D778CC" w:rsidRDefault="00831F66" w:rsidP="2DD193B3">
            <w:pP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 </w:t>
            </w:r>
          </w:p>
          <w:p w14:paraId="4589BA19" w14:textId="08986847" w:rsidR="00831F66" w:rsidRPr="00D778CC" w:rsidRDefault="00831F66" w:rsidP="2DD193B3">
            <w:pP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акона о општем управном поступку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 xml:space="preserve"> („Службени гласник РС”, број 18/16 и 95/2018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-аутентично тумачење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), Законом о електронском документу, електронској идентификацији и услугама од поверења у електронском пословању („Службени гласник РС”, број 94/17), Законом о електронској управи („Службени гласник РС”, број 27/18) и 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„Службени гласник РС”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, број 57/19), по службеној дужности прибави потребне податке од надлежног органа – „власника“ потребних података:</w:t>
            </w:r>
          </w:p>
          <w:p w14:paraId="4FB52C58" w14:textId="77777777" w:rsidR="00831F66" w:rsidRPr="00D778CC" w:rsidRDefault="00831F66" w:rsidP="2DD193B3">
            <w:pP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Latn-ME" w:eastAsia="sr-Latn-ME"/>
              </w:rPr>
              <w:t> </w:t>
            </w:r>
          </w:p>
          <w:p w14:paraId="12D3F30F" w14:textId="3799EA7C" w:rsidR="00DD04B8" w:rsidRPr="00D778CC" w:rsidRDefault="2DD193B3" w:rsidP="2DD193B3">
            <w:pPr>
              <w:pStyle w:val="gmail-odluka-zakon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778C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2: </w:t>
            </w:r>
            <w:r w:rsidRPr="00D778CC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Уверење о признавању семенског усева </w:t>
            </w:r>
            <w:r w:rsidRPr="00D778CC">
              <w:rPr>
                <w:rFonts w:ascii="Times New Roman" w:eastAsia="Times New Roman" w:hAnsi="Times New Roman" w:cs="Times New Roman"/>
                <w:sz w:val="22"/>
                <w:szCs w:val="22"/>
                <w:lang w:val="sr-Latn-RS"/>
              </w:rPr>
              <w:t>(</w:t>
            </w:r>
            <w:r w:rsidRPr="00D778CC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кад исто издаје Управа за заштиту биља, у случају кад је семе из домаће производње)</w:t>
            </w:r>
          </w:p>
          <w:p w14:paraId="74730EF2" w14:textId="682035F4" w:rsidR="00831F66" w:rsidRPr="00D778CC" w:rsidRDefault="00831F66" w:rsidP="00C55D89">
            <w:pPr>
              <w:pStyle w:val="gmail-odluka-zakon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7D115817" w14:textId="4DA55536" w:rsidR="00831F66" w:rsidRPr="00D778CC" w:rsidRDefault="2DD193B3" w:rsidP="2DD193B3">
            <w:pPr>
              <w:pStyle w:val="gmail-odluka-zakon"/>
              <w:spacing w:before="0" w:beforeAutospacing="0" w:after="0" w:afterAutospacing="0"/>
              <w:ind w:firstLine="567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  Орган од кога је потребно прибавити податке: </w:t>
            </w:r>
            <w:r w:rsidRPr="00D778CC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Управа за заштиту биља</w:t>
            </w:r>
          </w:p>
          <w:p w14:paraId="24949FA3" w14:textId="77777777" w:rsidR="00C55D89" w:rsidRPr="00D778CC" w:rsidRDefault="00C55D89" w:rsidP="2DD193B3">
            <w:pPr>
              <w:pStyle w:val="gmail-odluka-zakon"/>
              <w:spacing w:before="0" w:beforeAutospacing="0" w:after="0" w:afterAutospacing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</w:p>
          <w:p w14:paraId="3F86C570" w14:textId="7EAA7397" w:rsidR="00831F66" w:rsidRPr="00D778CC" w:rsidRDefault="2DD193B3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Порекло и сортност семена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.</w:t>
            </w:r>
          </w:p>
          <w:p w14:paraId="3283DF9E" w14:textId="77777777" w:rsidR="00733697" w:rsidRPr="00D778CC" w:rsidRDefault="009B1AAA" w:rsidP="2DD193B3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Како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би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ово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омогућило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потребно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затражити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следеће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неопходне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информације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2DD193B3" w:rsidRPr="00D778C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Број и датум издавања уверења. </w:t>
            </w:r>
          </w:p>
          <w:p w14:paraId="54A811F1" w14:textId="7F48363B" w:rsidR="00C55D89" w:rsidRPr="00D778CC" w:rsidRDefault="00C55D89" w:rsidP="2DD193B3">
            <w:pPr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</w:p>
          <w:p w14:paraId="30513434" w14:textId="6BF11E21" w:rsidR="00831F66" w:rsidRPr="00D778CC" w:rsidRDefault="00831F66" w:rsidP="2DD193B3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</w:p>
          <w:p w14:paraId="364C728D" w14:textId="77777777" w:rsidR="00831F66" w:rsidRPr="00D778CC" w:rsidRDefault="2DD193B3" w:rsidP="2DD193B3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2DD365E3" w14:textId="77777777" w:rsidR="00831F66" w:rsidRPr="00D778CC" w:rsidRDefault="2DD193B3" w:rsidP="2DD193B3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  <w:t> </w:t>
            </w:r>
          </w:p>
          <w:p w14:paraId="52E47BEE" w14:textId="7E3A0C0B" w:rsidR="002F387C" w:rsidRPr="00D778CC" w:rsidRDefault="2DD193B3" w:rsidP="2DD193B3">
            <w:pPr>
              <w:numPr>
                <w:ilvl w:val="0"/>
                <w:numId w:val="11"/>
              </w:num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Увидом у сопствене евиденције органа који води поступака односно организационе јединице истог органа која води евиденцију о наведеним подацима</w:t>
            </w:r>
          </w:p>
          <w:p w14:paraId="21F88710" w14:textId="7EFD34EE" w:rsidR="00831F66" w:rsidRPr="00D778CC" w:rsidRDefault="2DD193B3" w:rsidP="2DD193B3">
            <w:pPr>
              <w:numPr>
                <w:ilvl w:val="0"/>
                <w:numId w:val="11"/>
              </w:num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П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  <w:t>утем 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  <w:t>; </w:t>
            </w:r>
          </w:p>
          <w:p w14:paraId="5662433C" w14:textId="77777777" w:rsidR="00831F66" w:rsidRPr="00D778CC" w:rsidRDefault="2DD193B3" w:rsidP="2DD193B3">
            <w:pPr>
              <w:numPr>
                <w:ilvl w:val="0"/>
                <w:numId w:val="11"/>
              </w:num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12BA2725" w14:textId="77777777" w:rsidR="00831F66" w:rsidRPr="00D778CC" w:rsidRDefault="00831F66" w:rsidP="2DD193B3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</w:p>
          <w:p w14:paraId="0A7C81D3" w14:textId="77777777" w:rsidR="00831F66" w:rsidRPr="00D778CC" w:rsidRDefault="2DD193B3" w:rsidP="2DD193B3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658D24C9" w14:textId="77777777" w:rsidR="00831F66" w:rsidRPr="00D778CC" w:rsidRDefault="00831F66" w:rsidP="2DD193B3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</w:p>
          <w:p w14:paraId="72C92881" w14:textId="4BF48022" w:rsidR="00831F66" w:rsidRPr="00D778CC" w:rsidRDefault="009B1AAA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Уколико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постоје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технички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предуслови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размену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описан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тачкама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2) и 3), орган, који спроводи поступак, у обавези је да примењује Закон о општем управном поступку („Службени гласник РС”, број 18/16 и 95/2018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-аутентично тумачење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>)и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eastAsia="sr-Latn-ME"/>
              </w:rPr>
              <w:t xml:space="preserve"> 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 може да прибави тражене податке и путем мејла.</w:t>
            </w:r>
          </w:p>
          <w:p w14:paraId="40FFD488" w14:textId="48FB8800" w:rsidR="00733697" w:rsidRPr="00D778CC" w:rsidRDefault="00733697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3EBAD46" w14:textId="28B23E2F" w:rsidR="001915A1" w:rsidRPr="00D778CC" w:rsidRDefault="001915A1" w:rsidP="2DD193B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8DC1E46" w14:textId="17BB55D5" w:rsidR="005D0277" w:rsidRPr="00D778CC" w:rsidRDefault="009B1AAA" w:rsidP="2DD193B3">
            <w:pPr>
              <w:shd w:val="clear" w:color="auto" w:fill="FFFFFF" w:themeFill="background1"/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Управа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заштиту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биља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је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дужна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створи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предуслове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примену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ове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препоруке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у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виду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формирања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евиденције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издатим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у</w:t>
            </w:r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верењима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признавању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семенског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усева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имајући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у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виду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тренутно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наведене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евиденције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постоје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што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онемогућава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имплементацију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ове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препоруке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  <w:p w14:paraId="07A1E508" w14:textId="77777777" w:rsidR="005D0277" w:rsidRPr="00D778CC" w:rsidRDefault="005D0277" w:rsidP="2DD193B3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</w:p>
          <w:p w14:paraId="16BD5C96" w14:textId="5908654B" w:rsidR="00831F66" w:rsidRPr="00D778CC" w:rsidRDefault="009B1AAA" w:rsidP="00D778CC">
            <w:pPr>
              <w:shd w:val="clear" w:color="auto" w:fill="FFFFFF" w:themeFill="background1"/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примену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ове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87196D" w:rsidRPr="00D778CC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препоруке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потребн</w:t>
            </w:r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а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је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допуна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Закона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семену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: („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Службени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гласник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РС”,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бр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5/05, 30/10-др.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Закон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) и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доношење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новог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правилника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којим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ће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се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прописати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документација</w:t>
            </w:r>
            <w:proofErr w:type="spellEnd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која</w:t>
            </w:r>
            <w:proofErr w:type="spellEnd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се</w:t>
            </w:r>
            <w:proofErr w:type="spellEnd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доставља</w:t>
            </w:r>
            <w:proofErr w:type="spellEnd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уз</w:t>
            </w:r>
            <w:proofErr w:type="spellEnd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45566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захтев</w:t>
            </w:r>
            <w:proofErr w:type="spellEnd"/>
            <w:r w:rsidR="00B93082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  <w:p w14:paraId="2D94D4B4" w14:textId="66E2AAE0" w:rsidR="1CACEB3F" w:rsidRPr="00D778CC" w:rsidRDefault="009B1AAA" w:rsidP="00D778CC">
            <w:pPr>
              <w:shd w:val="clear" w:color="auto" w:fill="FFFFFF" w:themeFill="background1"/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До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усвајања</w:t>
            </w:r>
            <w:proofErr w:type="spellEnd"/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допуна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закона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доношења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новог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правилника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орган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ће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по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стицању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услова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наведеном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у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препоруци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примењивати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непосредно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Закон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општем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управном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поступку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(„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Службени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гласник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РС”,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број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18/16 и 95/2018 -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аутентично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тумачење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) и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на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тај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начин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имплементирати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наведену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препоруку</w:t>
            </w:r>
            <w:proofErr w:type="spellEnd"/>
            <w:r w:rsidR="2DD193B3"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  <w:p w14:paraId="42E8C2D1" w14:textId="77777777" w:rsidR="005D0277" w:rsidRPr="00D778CC" w:rsidRDefault="005D0277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sr-Latn-ME"/>
              </w:rPr>
            </w:pPr>
          </w:p>
          <w:p w14:paraId="23D4EE27" w14:textId="77777777" w:rsidR="00AB6F6A" w:rsidRPr="00D778CC" w:rsidRDefault="2DD193B3" w:rsidP="2DD193B3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/>
              </w:rPr>
              <w:t xml:space="preserve">3.3. 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3AC110B4" w14:textId="77777777" w:rsidR="00AB6F6A" w:rsidRPr="00D778CC" w:rsidRDefault="2DD193B3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форми.</w:t>
            </w:r>
          </w:p>
          <w:p w14:paraId="1BAAAE9F" w14:textId="77777777" w:rsidR="00AB6F6A" w:rsidRPr="00D778CC" w:rsidRDefault="00AB6F6A" w:rsidP="2DD193B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DF9CC72" w14:textId="77777777" w:rsidR="00AB6F6A" w:rsidRPr="00D778CC" w:rsidRDefault="2DD193B3" w:rsidP="2DD193B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са документима.</w:t>
            </w:r>
          </w:p>
          <w:p w14:paraId="73252493" w14:textId="77777777" w:rsidR="00AB6F6A" w:rsidRPr="00D778CC" w:rsidRDefault="00AB6F6A" w:rsidP="2DD193B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F922A5" w14:textId="77777777" w:rsidR="00AB6F6A" w:rsidRPr="00D778CC" w:rsidRDefault="2DD193B3" w:rsidP="2DD193B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Образац захтева треба да садржи  и писану информацију о прописаном року за одлучивање по захтеву .</w:t>
            </w:r>
          </w:p>
          <w:p w14:paraId="5AB30EE6" w14:textId="77777777" w:rsidR="00AB6F6A" w:rsidRPr="00D778CC" w:rsidRDefault="00AB6F6A" w:rsidP="2DD193B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4F6A3E" w14:textId="77C246E2" w:rsidR="00AB6F6A" w:rsidRPr="00D778CC" w:rsidRDefault="2DD193B3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омогућавање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35F41235" w14:textId="77777777" w:rsidR="00036636" w:rsidRPr="00D778CC" w:rsidRDefault="00036636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51B65E" w14:textId="4F44D42F" w:rsidR="00AB6F6A" w:rsidRPr="00D778CC" w:rsidRDefault="2DD193B3" w:rsidP="2DD193B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ME"/>
              </w:rPr>
              <w:t xml:space="preserve"> За примену ове</w:t>
            </w:r>
            <w:r w:rsidR="0087196D"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ME"/>
              </w:rPr>
              <w:t xml:space="preserve"> препоруке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ME"/>
              </w:rPr>
              <w:t xml:space="preserve"> п</w:t>
            </w: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sr-Latn-ME"/>
              </w:rPr>
              <w:t xml:space="preserve">отребна је допуна 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ME"/>
              </w:rPr>
              <w:t>Закона о семену: (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Latn-RS" w:eastAsia="sr-Latn-ME"/>
              </w:rPr>
              <w:t>„</w:t>
            </w: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ME"/>
              </w:rPr>
              <w:t>Службени гласник РС”, бр. 5/05, 30/10-др. Закон)</w:t>
            </w: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sr-Latn-ME"/>
              </w:rPr>
              <w:t xml:space="preserve"> и</w:t>
            </w:r>
            <w:r w:rsidR="00957334"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доношење новог правилника</w:t>
            </w:r>
            <w:r w:rsidR="00651A47"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којим ће се прописати садржина и изглед обрасца захтева</w:t>
            </w: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787A1428" w14:textId="7E716F4B" w:rsidR="00AB6F6A" w:rsidRPr="00D778CC" w:rsidRDefault="2DD193B3" w:rsidP="2DD193B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sr-Latn-ME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sr-Latn-ME"/>
              </w:rPr>
              <w:t>До усвајања допуна закона и доношења новог правилника, орган ће имплементирати наведену препоруку тако што ће објавити на интернет страници органа образац захтева у овом поступку као валидан образац захтева којим се покреће поступак.</w:t>
            </w:r>
          </w:p>
        </w:tc>
      </w:tr>
      <w:tr w:rsidR="0087196D" w:rsidRPr="00D778CC" w14:paraId="02600D59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6C72EEC" w14:textId="77777777" w:rsidR="00CC49A7" w:rsidRPr="00D778CC" w:rsidRDefault="2DD193B3" w:rsidP="2DD193B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7196D" w:rsidRPr="00D778CC" w14:paraId="49D7FDEF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6569E4" w14:textId="7238C005" w:rsidR="1CACEB3F" w:rsidRPr="00D778CC" w:rsidRDefault="009B1AAA" w:rsidP="00D778CC">
            <w:pPr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ПРЕДЛОГ</w:t>
            </w:r>
          </w:p>
          <w:p w14:paraId="1ED29E81" w14:textId="3E69DCBB" w:rsidR="1CACEB3F" w:rsidRPr="00D778CC" w:rsidRDefault="1CACEB3F" w:rsidP="2DD193B3">
            <w:pPr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8EDBB7E" w14:textId="21FE2D23" w:rsidR="1CACEB3F" w:rsidRPr="00D778CC" w:rsidRDefault="009B1AAA" w:rsidP="00D778C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ЗАКОН О ДОПУНИ ЗАКОНА О СЕМЕНУ</w:t>
            </w:r>
          </w:p>
          <w:p w14:paraId="3A034B18" w14:textId="64146EF7" w:rsidR="1CACEB3F" w:rsidRPr="00D778CC" w:rsidRDefault="1CACEB3F" w:rsidP="00D778CC">
            <w:pPr>
              <w:jc w:val="righ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D3E073" w14:textId="2523BD11" w:rsidR="1CACEB3F" w:rsidRPr="00D778CC" w:rsidRDefault="009B1AAA" w:rsidP="00D778CC">
            <w:pPr>
              <w:ind w:firstLine="48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Члан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1.</w:t>
            </w:r>
          </w:p>
          <w:p w14:paraId="49F49CF2" w14:textId="2C4D444B" w:rsidR="1CACEB3F" w:rsidRPr="00D778CC" w:rsidRDefault="1CACEB3F" w:rsidP="00D778CC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CFC0F4" w14:textId="5D89005D" w:rsidR="1CACEB3F" w:rsidRPr="00D778CC" w:rsidRDefault="009B1AAA">
            <w:pPr>
              <w:rPr>
                <w:rFonts w:ascii="Times New Roman" w:hAnsi="Times New Roman"/>
                <w:sz w:val="22"/>
                <w:szCs w:val="22"/>
              </w:rPr>
            </w:pPr>
            <w:r w:rsidRPr="00D778CC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Закону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семену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. 45/05, 30/10-др.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), у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члану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40. после ст. 4. додаје се ст. 5,  који гласи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3A1A0DC4" w14:textId="213E1E25" w:rsidR="1CACEB3F" w:rsidRPr="00D778CC" w:rsidRDefault="1CACEB3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F7E4D4" w14:textId="640BC01D" w:rsidR="1CACEB3F" w:rsidRPr="00D778CC" w:rsidRDefault="009B1AAA">
            <w:pPr>
              <w:rPr>
                <w:rFonts w:ascii="Times New Roman" w:hAnsi="Times New Roman"/>
                <w:sz w:val="22"/>
                <w:szCs w:val="22"/>
              </w:rPr>
            </w:pPr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„Изглед и садржину обрасца захтева за давање сагласности 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 ст. 3.  овог члана, као и документацију која се прилаже уз захтев, </w:t>
            </w:r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ближе уређује министар.”</w:t>
            </w:r>
          </w:p>
          <w:p w14:paraId="48107355" w14:textId="258C6F29" w:rsidR="1CACEB3F" w:rsidRPr="00D778CC" w:rsidRDefault="1CACEB3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5CB28A" w14:textId="0015B833" w:rsidR="1CACEB3F" w:rsidRPr="00D778CC" w:rsidRDefault="009B1AAA" w:rsidP="00D778CC">
            <w:pPr>
              <w:ind w:firstLine="48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Члан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2.</w:t>
            </w:r>
          </w:p>
          <w:p w14:paraId="58462968" w14:textId="656F93DB" w:rsidR="1CACEB3F" w:rsidRPr="00D778CC" w:rsidRDefault="1CACEB3F" w:rsidP="00D778CC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BD859D" w14:textId="5BB2E8E4" w:rsidR="1CACEB3F" w:rsidRPr="00D778CC" w:rsidRDefault="009B1AA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Овај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ступа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снагу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осмог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дана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дана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објављивања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у „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Службеном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гласнику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Републике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Србије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>”.</w:t>
            </w:r>
          </w:p>
          <w:p w14:paraId="0E6DF8D5" w14:textId="3C784477" w:rsidR="1CACEB3F" w:rsidRPr="00D778CC" w:rsidRDefault="1CACEB3F" w:rsidP="2DD193B3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79DE6F2" w14:textId="2E53FAAC" w:rsidR="1CACEB3F" w:rsidRPr="00D778CC" w:rsidRDefault="1CACEB3F" w:rsidP="2DD193B3">
            <w:pPr>
              <w:spacing w:before="120"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7FF60A6D" w14:textId="007BF203" w:rsidR="1CACEB3F" w:rsidRPr="00D778CC" w:rsidRDefault="1CACEB3F" w:rsidP="2DD193B3">
            <w:pPr>
              <w:spacing w:before="120"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32341440" w14:textId="77777777" w:rsidR="00957334" w:rsidRPr="00D778CC" w:rsidRDefault="2DD193B3" w:rsidP="2DD193B3">
            <w:pPr>
              <w:spacing w:before="120"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ПРЕДЛОГ </w:t>
            </w:r>
          </w:p>
          <w:p w14:paraId="12F9B94A" w14:textId="77777777" w:rsidR="00957334" w:rsidRPr="00D778CC" w:rsidRDefault="00957334" w:rsidP="2DD193B3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145FDCA" w14:textId="13CAC8AE" w:rsidR="00957334" w:rsidRPr="00D778CC" w:rsidRDefault="2DD193B3" w:rsidP="2DD193B3">
            <w:pPr>
              <w:spacing w:line="336" w:lineRule="atLeast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ПРАВИЛНИК О ИЗГЛЕДУ И САДРЖИНИ ОБРАСЦА ЗАХТЕВА ЗА ПРЕПАКИВАЊЕ СЕМЕНА И ДОКУМЕНТАЦИЈИ КОЈА СЕ ПРИЛАЖЕ УЗ ЗАХТЕВ</w:t>
            </w:r>
          </w:p>
          <w:p w14:paraId="4525E0CF" w14:textId="77777777" w:rsidR="00957334" w:rsidRPr="00D778CC" w:rsidRDefault="2DD193B3" w:rsidP="2DD193B3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92E4867" w14:textId="626A3C3B" w:rsidR="00957334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Овим правилником, прописује се изглед и садржина обрасца Захтева за давање сагласности за препакивање семена као и документација која се прилаже уз захтев (у даљем тексту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: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Захтев). </w:t>
            </w:r>
          </w:p>
          <w:p w14:paraId="5D15E583" w14:textId="74B58CD9" w:rsidR="00957334" w:rsidRPr="00D778CC" w:rsidRDefault="00957334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E9684D" w14:textId="7C5E22C7" w:rsidR="00957334" w:rsidRPr="00D778CC" w:rsidRDefault="2DD193B3" w:rsidP="2DD193B3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Х.</w:t>
            </w:r>
          </w:p>
          <w:p w14:paraId="630A472C" w14:textId="604F01B7" w:rsidR="00651A47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може поднети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дорађивач или увозник семена. </w:t>
            </w:r>
          </w:p>
          <w:p w14:paraId="5201AF9B" w14:textId="33084947" w:rsidR="00B93082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којим се окреће поступак садржи:</w:t>
            </w:r>
          </w:p>
          <w:p w14:paraId="5FF00328" w14:textId="1F89B9CA" w:rsidR="00B93082" w:rsidRPr="00D778CC" w:rsidRDefault="00B93082" w:rsidP="2DD193B3">
            <w:pPr>
              <w:pStyle w:val="ListParagraph"/>
              <w:numPr>
                <w:ilvl w:val="0"/>
                <w:numId w:val="14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Податке о подносиоцу захтева: пословно име / назив, седиште, контакт телефон, име и презиме одговорног лица, матични број, ПИБ, адреса електронске поште</w:t>
            </w:r>
            <w:r w:rsidRPr="00D778C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1312F3B6" w14:textId="1FCD1F4D" w:rsidR="00B93082" w:rsidRPr="00D778CC" w:rsidRDefault="2DD193B3" w:rsidP="2DD193B3">
            <w:pPr>
              <w:pStyle w:val="ListParagraph"/>
              <w:numPr>
                <w:ilvl w:val="0"/>
                <w:numId w:val="14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Податке о Уверењу о признавању семенског усева: број уверења, датум издавања уверења</w:t>
            </w:r>
          </w:p>
          <w:p w14:paraId="24E6F705" w14:textId="150A9C2D" w:rsidR="00B93082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подносилац захтева доставља следећу документацију:</w:t>
            </w:r>
          </w:p>
          <w:p w14:paraId="3C3A14E2" w14:textId="35363B9B" w:rsidR="00B93082" w:rsidRPr="00D778CC" w:rsidRDefault="2DD193B3" w:rsidP="2DD193B3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Сертификат о сортности семена, </w:t>
            </w:r>
            <w:r w:rsidR="00D778CC" w:rsidRPr="00C777E7">
              <w:rPr>
                <w:rFonts w:ascii="Times New Roman" w:hAnsi="Times New Roman"/>
                <w:lang w:val="en-GB"/>
              </w:rPr>
              <w:t>(</w:t>
            </w:r>
            <w:r w:rsidR="00D778CC" w:rsidRPr="00C777E7">
              <w:rPr>
                <w:rFonts w:ascii="Times New Roman" w:hAnsi="Times New Roman"/>
                <w:lang w:val="sr-Cyrl-RS"/>
              </w:rPr>
              <w:t xml:space="preserve">ОЕЦД сертификат)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или документ о сортности кој</w:t>
            </w:r>
            <w:r w:rsid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издаје надлежни орган земље извознице,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семе из увоза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копији</w:t>
            </w:r>
          </w:p>
          <w:p w14:paraId="003B4387" w14:textId="1CB9C437" w:rsidR="00B93082" w:rsidRPr="00D778CC" w:rsidRDefault="2DD193B3" w:rsidP="2DD193B3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Фитосертификат, који издаје надлежни орган за здравље биља земље извознице, за семе из увоза, у копији</w:t>
            </w:r>
          </w:p>
          <w:p w14:paraId="030E144E" w14:textId="0DE0ACD6" w:rsidR="00B93082" w:rsidRPr="00D778CC" w:rsidRDefault="2DD193B3" w:rsidP="2DD193B3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Сертификат о квалитету семена који издаје</w:t>
            </w:r>
            <w:r w:rsidR="00D778CC" w:rsidRPr="00C777E7">
              <w:rPr>
                <w:rFonts w:ascii="Times New Roman" w:hAnsi="Times New Roman"/>
                <w:lang w:val="sr-Cyrl-RS"/>
              </w:rPr>
              <w:t xml:space="preserve"> </w:t>
            </w:r>
            <w:r w:rsidR="00D778CC" w:rsidRPr="00C777E7">
              <w:rPr>
                <w:rFonts w:ascii="Times New Roman" w:hAnsi="Times New Roman"/>
                <w:lang w:val="sr-Cyrl-RS"/>
              </w:rPr>
              <w:t>лабораторија овлашћена</w:t>
            </w:r>
            <w:r w:rsidR="00D778CC">
              <w:rPr>
                <w:rFonts w:ascii="Times New Roman" w:hAnsi="Times New Roman"/>
                <w:lang w:val="sr-Cyrl-RS"/>
              </w:rPr>
              <w:t xml:space="preserve"> од стране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Међународн</w:t>
            </w:r>
            <w:r w:rsid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организациј</w:t>
            </w:r>
            <w:r w:rsid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испитивање семена (ИСТА), за семе из увоза, или Извештај о испитивању квалитета семена који издаје Акредитована лабораторија, за семе из домаће производње, у копији;</w:t>
            </w:r>
          </w:p>
          <w:p w14:paraId="4E2DA198" w14:textId="300E5447" w:rsidR="00B93082" w:rsidRPr="00D778CC" w:rsidRDefault="2DD193B3" w:rsidP="2DD193B3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административне таксе за захтев, у копији</w:t>
            </w:r>
          </w:p>
          <w:p w14:paraId="479D12F8" w14:textId="503537BD" w:rsidR="00B93082" w:rsidRPr="00D778CC" w:rsidRDefault="2DD193B3" w:rsidP="2DD193B3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административне таксе за решење, у копији;</w:t>
            </w:r>
          </w:p>
          <w:p w14:paraId="531635A6" w14:textId="3D0E6D68" w:rsidR="00B93082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noProof/>
                <w:sz w:val="22"/>
                <w:szCs w:val="22"/>
                <w:lang w:val="sr-Latn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Управа за заштиту биља по службеној дужности уз сагласност подносиоца захтева прибавља податке о пореклу и сортности семена кад се исти подаци доказују Уверењем о признавању семенског усева који издаје Управа за заштиту биља</w:t>
            </w:r>
            <w:r w:rsidRPr="00D778CC">
              <w:rPr>
                <w:rFonts w:ascii="Times New Roman" w:eastAsia="Times New Roman" w:hAnsi="Times New Roman"/>
                <w:noProof/>
                <w:sz w:val="22"/>
                <w:szCs w:val="22"/>
                <w:lang w:val="sr-Latn-RS"/>
              </w:rPr>
              <w:t>.</w:t>
            </w:r>
          </w:p>
          <w:p w14:paraId="161EBF75" w14:textId="2C05822E" w:rsidR="00B93082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подносилац захтева не изда наведену сагласност за прибављење података по службеној дужности, подносилац захтева је дужан да сам достави доказе за податке из претходног става Управи за заштиту биља.</w:t>
            </w:r>
          </w:p>
          <w:p w14:paraId="426934F6" w14:textId="6B66D51A" w:rsidR="00957334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Након поднетог Захтева са потребном документацијом, Фитосанитарни инспектори утврђују количине семене и врсте паковања код подносиоца захтева и сачињавају записник, на основу којег се доноси решење о препакивању.  </w:t>
            </w:r>
          </w:p>
          <w:p w14:paraId="5F9C8423" w14:textId="77777777" w:rsidR="00957334" w:rsidRPr="00D778CC" w:rsidRDefault="2DD193B3" w:rsidP="2DD193B3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2862210" w14:textId="6FCC3AB1" w:rsidR="00957334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Образац захтева за давање сагласности за препакивање семена је одштампан уз овај правилник и чини његов саставни део.</w:t>
            </w:r>
          </w:p>
          <w:p w14:paraId="3ED57024" w14:textId="77777777" w:rsidR="00957334" w:rsidRPr="00D778CC" w:rsidRDefault="2DD193B3" w:rsidP="2DD193B3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X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9ECBB3E" w14:textId="2BBF64DF" w:rsidR="00CC49A7" w:rsidRPr="00D778CC" w:rsidRDefault="2DD193B3" w:rsidP="2DD193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„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Службеном гласнику Републике Србије”.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7196D" w:rsidRPr="00D778CC" w14:paraId="6AF29575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35A472" w14:textId="77777777" w:rsidR="00CC49A7" w:rsidRPr="00D778CC" w:rsidRDefault="2DD193B3" w:rsidP="2DD193B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87196D" w:rsidRPr="00D778CC" w14:paraId="387FDB28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769C65" w14:textId="79D327F4" w:rsidR="00CC49A7" w:rsidRPr="00D778CC" w:rsidRDefault="009B1AAA" w:rsidP="2DD193B3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rFonts w:ascii="Times New Roman" w:hAnsi="Times New Roman"/>
                <w:b/>
                <w:bCs/>
                <w:sz w:val="22"/>
                <w:szCs w:val="22"/>
              </w:rPr>
              <w:t>ПРЕГЛЕД ОДРЕДБИ ЗАКОНА О СЕМЕНУ КОЈЕ СЕ ДОПУЊУЈУ</w:t>
            </w:r>
          </w:p>
          <w:p w14:paraId="38D45F8B" w14:textId="7AF6ED58" w:rsidR="00CC49A7" w:rsidRPr="00D778CC" w:rsidRDefault="00CC49A7" w:rsidP="1CACEB3F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C1401F7" w14:textId="71E26F66" w:rsidR="00CC49A7" w:rsidRPr="00D778CC" w:rsidRDefault="009B1AAA" w:rsidP="1CACEB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Члан</w:t>
            </w:r>
            <w:proofErr w:type="spellEnd"/>
            <w:r w:rsidRPr="00D778CC">
              <w:rPr>
                <w:rFonts w:ascii="Times New Roman" w:hAnsi="Times New Roman"/>
                <w:sz w:val="22"/>
                <w:szCs w:val="22"/>
              </w:rPr>
              <w:t xml:space="preserve"> 40.</w:t>
            </w:r>
          </w:p>
          <w:p w14:paraId="1EC6A669" w14:textId="266154F2" w:rsidR="00CC49A7" w:rsidRPr="00D778CC" w:rsidRDefault="00CC49A7" w:rsidP="2DD193B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0702DC0" w14:textId="6D87F4B0" w:rsidR="00CC49A7" w:rsidRPr="00D778CC" w:rsidRDefault="2DD193B3">
            <w:pPr>
              <w:rPr>
                <w:rFonts w:ascii="Times New Roman" w:hAnsi="Times New Roman"/>
                <w:sz w:val="22"/>
                <w:szCs w:val="22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Забрањено је препакивање и размеравање изворног оригиналног паковања семена из домаће производње и увоза.</w:t>
            </w:r>
          </w:p>
          <w:p w14:paraId="2E4C2C05" w14:textId="1311EB21" w:rsidR="00CC49A7" w:rsidRPr="00D778CC" w:rsidRDefault="009B1AA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2102088A" w14:textId="02D03458" w:rsidR="00CC49A7" w:rsidRPr="00D778CC" w:rsidRDefault="009B1AA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Изузетно</w:t>
            </w:r>
            <w:proofErr w:type="spellEnd"/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од става 1. овог члана дорађивач, односно увозник може да врши препакивање семена, уз сагласност Министарства.</w:t>
            </w:r>
          </w:p>
          <w:p w14:paraId="436207D9" w14:textId="417358B2" w:rsidR="00CC49A7" w:rsidRPr="00D778CC" w:rsidRDefault="009B1AA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E572A62" w14:textId="06FA6B4D" w:rsidR="00CC49A7" w:rsidRPr="00D778CC" w:rsidRDefault="009B1AA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Захтев</w:t>
            </w:r>
            <w:proofErr w:type="spellEnd"/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за препакивање семена дорађивач, односно увозник подноси Министарству.</w:t>
            </w:r>
          </w:p>
          <w:p w14:paraId="0A9AEA00" w14:textId="183697D4" w:rsidR="00CC49A7" w:rsidRPr="00D778CC" w:rsidRDefault="009B1AA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D778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311A191" w14:textId="06E0563F" w:rsidR="00CC49A7" w:rsidRPr="00D778CC" w:rsidRDefault="009B1AA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proofErr w:type="spellStart"/>
            <w:r w:rsidRPr="00D778CC">
              <w:rPr>
                <w:rFonts w:ascii="Times New Roman" w:hAnsi="Times New Roman"/>
                <w:sz w:val="22"/>
                <w:szCs w:val="22"/>
              </w:rPr>
              <w:t>Уз</w:t>
            </w:r>
            <w:proofErr w:type="spellEnd"/>
            <w:r w:rsidR="2DD193B3"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захтев из става 3. овог члана дорађивач, односно увозник прилаже декларацију, односно сертификат о сортности семена (ОЕЦД), сертификат о квалитету семена (ИСТА) и фитосертификат.</w:t>
            </w:r>
          </w:p>
          <w:p w14:paraId="0CCFBE25" w14:textId="508C12E4" w:rsidR="00CC49A7" w:rsidRPr="00D778CC" w:rsidRDefault="00CC49A7" w:rsidP="2DD193B3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775CA701" w14:textId="37170C39" w:rsidR="00CC49A7" w:rsidRPr="00D778CC" w:rsidRDefault="2DD193B3" w:rsidP="00D778CC">
            <w:pPr>
              <w:spacing w:line="257" w:lineRule="auto"/>
              <w:rPr>
                <w:rFonts w:ascii="Times New Roman" w:hAnsi="Times New Roman"/>
                <w:sz w:val="22"/>
                <w:szCs w:val="22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ИЗГЛЕД И САДРЖИНУ ОБРАСЦА ЗАХТЕВА ЗА ДАВАЊЕ САГЛАСНОСТИ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 СТ. 3. ОВОГ ЧЛАНА, КАО И ДОКУМЕНТАЦИЈУ КОЈА СЕ ПРИЛАЖЕ УЗ ЗАХТЕВ,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БЛИЖЕ УРЕЂУЈЕ МИНИСТАР.</w:t>
            </w:r>
          </w:p>
        </w:tc>
      </w:tr>
      <w:tr w:rsidR="0087196D" w:rsidRPr="00D778CC" w14:paraId="634EF698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C0768DF" w14:textId="77777777" w:rsidR="00CC49A7" w:rsidRPr="00D778CC" w:rsidRDefault="2DD193B3" w:rsidP="2DD193B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778CC">
              <w:rPr>
                <w:b/>
                <w:bCs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7196D" w:rsidRPr="00D778CC" w14:paraId="1457BC84" w14:textId="77777777" w:rsidTr="2DD193B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FDCA84" w14:textId="3877ADCC" w:rsidR="00E74BD8" w:rsidRPr="00D778CC" w:rsidRDefault="2DD193B3" w:rsidP="2DD193B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highlight w:val="yellow"/>
              </w:rPr>
            </w:pP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Усвајање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примена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препорука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ће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донети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субјектима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годишње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директне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уштеде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212.883,08 РСД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1.750,37 ЕУР. </w:t>
            </w:r>
          </w:p>
          <w:p w14:paraId="67571F46" w14:textId="7CDAA200" w:rsidR="00CC49A7" w:rsidRPr="00D778CC" w:rsidRDefault="2DD193B3" w:rsidP="2DD193B3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допринети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транспарентности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поједностављењу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78CC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D778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29C61380" w14:textId="065A8F33" w:rsidR="075BC60E" w:rsidRPr="00D778CC" w:rsidRDefault="075BC60E" w:rsidP="2DD193B3">
      <w:pPr>
        <w:rPr>
          <w:rFonts w:ascii="Times New Roman" w:eastAsia="Times New Roman" w:hAnsi="Times New Roman"/>
        </w:rPr>
      </w:pPr>
    </w:p>
    <w:p w14:paraId="04E7BFA4" w14:textId="77777777" w:rsidR="00CC49A7" w:rsidRPr="00D778CC" w:rsidRDefault="00CC49A7" w:rsidP="2DD193B3">
      <w:pPr>
        <w:rPr>
          <w:rFonts w:ascii="Times New Roman" w:eastAsia="Times New Roman" w:hAnsi="Times New Roman"/>
          <w:lang w:val="sr-Cyrl-RS"/>
        </w:rPr>
      </w:pPr>
    </w:p>
    <w:sectPr w:rsidR="00CC49A7" w:rsidRPr="00D778C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848D3" w14:textId="77777777" w:rsidR="00D7382E" w:rsidRDefault="00D7382E">
      <w:r>
        <w:separator/>
      </w:r>
    </w:p>
  </w:endnote>
  <w:endnote w:type="continuationSeparator" w:id="0">
    <w:p w14:paraId="2E052136" w14:textId="77777777" w:rsidR="00D7382E" w:rsidRDefault="00D7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3A7C6E" w14:textId="7EDB872C" w:rsidR="002A202F" w:rsidRDefault="000C03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D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C463E6" w14:textId="77777777" w:rsidR="002A202F" w:rsidRDefault="00D73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C1CD1" w14:textId="77777777" w:rsidR="00D7382E" w:rsidRDefault="00D7382E">
      <w:r>
        <w:separator/>
      </w:r>
    </w:p>
  </w:footnote>
  <w:footnote w:type="continuationSeparator" w:id="0">
    <w:p w14:paraId="20316A91" w14:textId="77777777" w:rsidR="00D7382E" w:rsidRDefault="00D73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01B37"/>
    <w:multiLevelType w:val="hybridMultilevel"/>
    <w:tmpl w:val="D242CA0E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80139"/>
    <w:multiLevelType w:val="hybridMultilevel"/>
    <w:tmpl w:val="7A0CA974"/>
    <w:lvl w:ilvl="0" w:tplc="F740F48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0CFD7392"/>
    <w:multiLevelType w:val="hybridMultilevel"/>
    <w:tmpl w:val="2C26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739F1"/>
    <w:multiLevelType w:val="multilevel"/>
    <w:tmpl w:val="E29C3168"/>
    <w:lvl w:ilvl="0">
      <w:start w:val="1"/>
      <w:numFmt w:val="decimal"/>
      <w:lvlText w:val="%1."/>
      <w:lvlJc w:val="left"/>
      <w:pPr>
        <w:ind w:left="691" w:hanging="360"/>
      </w:pPr>
    </w:lvl>
    <w:lvl w:ilvl="1">
      <w:start w:val="2"/>
      <w:numFmt w:val="decimal"/>
      <w:lvlText w:val="%1.%2."/>
      <w:lvlJc w:val="left"/>
      <w:pPr>
        <w:ind w:left="691" w:hanging="360"/>
      </w:pPr>
    </w:lvl>
    <w:lvl w:ilvl="2">
      <w:start w:val="1"/>
      <w:numFmt w:val="decimal"/>
      <w:lvlText w:val="%1.%2.%3."/>
      <w:lvlJc w:val="left"/>
      <w:pPr>
        <w:ind w:left="1051" w:hanging="720"/>
      </w:pPr>
    </w:lvl>
    <w:lvl w:ilvl="3">
      <w:start w:val="1"/>
      <w:numFmt w:val="decimal"/>
      <w:lvlText w:val="%1.%2.%3.%4."/>
      <w:lvlJc w:val="left"/>
      <w:pPr>
        <w:ind w:left="1051" w:hanging="720"/>
      </w:pPr>
    </w:lvl>
    <w:lvl w:ilvl="4">
      <w:start w:val="1"/>
      <w:numFmt w:val="decimal"/>
      <w:lvlText w:val="%1.%2.%3.%4.%5."/>
      <w:lvlJc w:val="left"/>
      <w:pPr>
        <w:ind w:left="1411" w:hanging="1080"/>
      </w:pPr>
    </w:lvl>
    <w:lvl w:ilvl="5">
      <w:start w:val="1"/>
      <w:numFmt w:val="decimal"/>
      <w:lvlText w:val="%1.%2.%3.%4.%5.%6."/>
      <w:lvlJc w:val="left"/>
      <w:pPr>
        <w:ind w:left="1411" w:hanging="1080"/>
      </w:pPr>
    </w:lvl>
    <w:lvl w:ilvl="6">
      <w:start w:val="1"/>
      <w:numFmt w:val="decimal"/>
      <w:lvlText w:val="%1.%2.%3.%4.%5.%6.%7."/>
      <w:lvlJc w:val="left"/>
      <w:pPr>
        <w:ind w:left="1411" w:hanging="1080"/>
      </w:pPr>
    </w:lvl>
    <w:lvl w:ilvl="7">
      <w:start w:val="1"/>
      <w:numFmt w:val="decimal"/>
      <w:lvlText w:val="%1.%2.%3.%4.%5.%6.%7.%8."/>
      <w:lvlJc w:val="left"/>
      <w:pPr>
        <w:ind w:left="1771" w:hanging="1440"/>
      </w:pPr>
    </w:lvl>
    <w:lvl w:ilvl="8">
      <w:start w:val="1"/>
      <w:numFmt w:val="decimal"/>
      <w:lvlText w:val="%1.%2.%3.%4.%5.%6.%7.%8.%9."/>
      <w:lvlJc w:val="left"/>
      <w:pPr>
        <w:ind w:left="1771" w:hanging="144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0F63A29"/>
    <w:multiLevelType w:val="multilevel"/>
    <w:tmpl w:val="E29C3168"/>
    <w:lvl w:ilvl="0">
      <w:start w:val="1"/>
      <w:numFmt w:val="decimal"/>
      <w:lvlText w:val="%1."/>
      <w:lvlJc w:val="left"/>
      <w:pPr>
        <w:ind w:left="691" w:hanging="360"/>
      </w:pPr>
    </w:lvl>
    <w:lvl w:ilvl="1">
      <w:start w:val="2"/>
      <w:numFmt w:val="decimal"/>
      <w:lvlText w:val="%1.%2."/>
      <w:lvlJc w:val="left"/>
      <w:pPr>
        <w:ind w:left="691" w:hanging="360"/>
      </w:pPr>
    </w:lvl>
    <w:lvl w:ilvl="2">
      <w:start w:val="1"/>
      <w:numFmt w:val="decimal"/>
      <w:lvlText w:val="%1.%2.%3."/>
      <w:lvlJc w:val="left"/>
      <w:pPr>
        <w:ind w:left="1051" w:hanging="720"/>
      </w:pPr>
    </w:lvl>
    <w:lvl w:ilvl="3">
      <w:start w:val="1"/>
      <w:numFmt w:val="decimal"/>
      <w:lvlText w:val="%1.%2.%3.%4."/>
      <w:lvlJc w:val="left"/>
      <w:pPr>
        <w:ind w:left="1051" w:hanging="720"/>
      </w:pPr>
    </w:lvl>
    <w:lvl w:ilvl="4">
      <w:start w:val="1"/>
      <w:numFmt w:val="decimal"/>
      <w:lvlText w:val="%1.%2.%3.%4.%5."/>
      <w:lvlJc w:val="left"/>
      <w:pPr>
        <w:ind w:left="1411" w:hanging="1080"/>
      </w:pPr>
    </w:lvl>
    <w:lvl w:ilvl="5">
      <w:start w:val="1"/>
      <w:numFmt w:val="decimal"/>
      <w:lvlText w:val="%1.%2.%3.%4.%5.%6."/>
      <w:lvlJc w:val="left"/>
      <w:pPr>
        <w:ind w:left="1411" w:hanging="1080"/>
      </w:pPr>
    </w:lvl>
    <w:lvl w:ilvl="6">
      <w:start w:val="1"/>
      <w:numFmt w:val="decimal"/>
      <w:lvlText w:val="%1.%2.%3.%4.%5.%6.%7."/>
      <w:lvlJc w:val="left"/>
      <w:pPr>
        <w:ind w:left="1411" w:hanging="1080"/>
      </w:pPr>
    </w:lvl>
    <w:lvl w:ilvl="7">
      <w:start w:val="1"/>
      <w:numFmt w:val="decimal"/>
      <w:lvlText w:val="%1.%2.%3.%4.%5.%6.%7.%8."/>
      <w:lvlJc w:val="left"/>
      <w:pPr>
        <w:ind w:left="1771" w:hanging="1440"/>
      </w:pPr>
    </w:lvl>
    <w:lvl w:ilvl="8">
      <w:start w:val="1"/>
      <w:numFmt w:val="decimal"/>
      <w:lvlText w:val="%1.%2.%3.%4.%5.%6.%7.%8.%9."/>
      <w:lvlJc w:val="left"/>
      <w:pPr>
        <w:ind w:left="1771" w:hanging="1440"/>
      </w:pPr>
    </w:lvl>
  </w:abstractNum>
  <w:abstractNum w:abstractNumId="6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6730C"/>
    <w:multiLevelType w:val="hybridMultilevel"/>
    <w:tmpl w:val="C5002F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B540E"/>
    <w:multiLevelType w:val="multilevel"/>
    <w:tmpl w:val="0D26D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9" w15:restartNumberingAfterBreak="0">
    <w:nsid w:val="612F2596"/>
    <w:multiLevelType w:val="multilevel"/>
    <w:tmpl w:val="E29C3168"/>
    <w:lvl w:ilvl="0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691" w:hanging="360"/>
      </w:pPr>
    </w:lvl>
    <w:lvl w:ilvl="2">
      <w:start w:val="1"/>
      <w:numFmt w:val="decimal"/>
      <w:lvlText w:val="%1.%2.%3."/>
      <w:lvlJc w:val="left"/>
      <w:pPr>
        <w:ind w:left="1051" w:hanging="720"/>
      </w:pPr>
    </w:lvl>
    <w:lvl w:ilvl="3">
      <w:start w:val="1"/>
      <w:numFmt w:val="decimal"/>
      <w:lvlText w:val="%1.%2.%3.%4."/>
      <w:lvlJc w:val="left"/>
      <w:pPr>
        <w:ind w:left="1051" w:hanging="720"/>
      </w:pPr>
    </w:lvl>
    <w:lvl w:ilvl="4">
      <w:start w:val="1"/>
      <w:numFmt w:val="decimal"/>
      <w:lvlText w:val="%1.%2.%3.%4.%5."/>
      <w:lvlJc w:val="left"/>
      <w:pPr>
        <w:ind w:left="1411" w:hanging="1080"/>
      </w:pPr>
    </w:lvl>
    <w:lvl w:ilvl="5">
      <w:start w:val="1"/>
      <w:numFmt w:val="decimal"/>
      <w:lvlText w:val="%1.%2.%3.%4.%5.%6."/>
      <w:lvlJc w:val="left"/>
      <w:pPr>
        <w:ind w:left="1411" w:hanging="1080"/>
      </w:pPr>
    </w:lvl>
    <w:lvl w:ilvl="6">
      <w:start w:val="1"/>
      <w:numFmt w:val="decimal"/>
      <w:lvlText w:val="%1.%2.%3.%4.%5.%6.%7."/>
      <w:lvlJc w:val="left"/>
      <w:pPr>
        <w:ind w:left="1411" w:hanging="1080"/>
      </w:pPr>
    </w:lvl>
    <w:lvl w:ilvl="7">
      <w:start w:val="1"/>
      <w:numFmt w:val="decimal"/>
      <w:lvlText w:val="%1.%2.%3.%4.%5.%6.%7.%8."/>
      <w:lvlJc w:val="left"/>
      <w:pPr>
        <w:ind w:left="1771" w:hanging="1440"/>
      </w:pPr>
    </w:lvl>
    <w:lvl w:ilvl="8">
      <w:start w:val="1"/>
      <w:numFmt w:val="decimal"/>
      <w:lvlText w:val="%1.%2.%3.%4.%5.%6.%7.%8.%9."/>
      <w:lvlJc w:val="left"/>
      <w:pPr>
        <w:ind w:left="1771" w:hanging="1440"/>
      </w:pPr>
    </w:lvl>
  </w:abstractNum>
  <w:abstractNum w:abstractNumId="10" w15:restartNumberingAfterBreak="0">
    <w:nsid w:val="658B4231"/>
    <w:multiLevelType w:val="hybridMultilevel"/>
    <w:tmpl w:val="44B6889C"/>
    <w:lvl w:ilvl="0" w:tplc="241A000F">
      <w:start w:val="1"/>
      <w:numFmt w:val="decimal"/>
      <w:lvlText w:val="%1."/>
      <w:lvlJc w:val="left"/>
      <w:pPr>
        <w:ind w:left="691" w:hanging="360"/>
      </w:pPr>
    </w:lvl>
    <w:lvl w:ilvl="1" w:tplc="241A0019" w:tentative="1">
      <w:start w:val="1"/>
      <w:numFmt w:val="lowerLetter"/>
      <w:lvlText w:val="%2."/>
      <w:lvlJc w:val="left"/>
      <w:pPr>
        <w:ind w:left="1411" w:hanging="360"/>
      </w:pPr>
    </w:lvl>
    <w:lvl w:ilvl="2" w:tplc="241A001B" w:tentative="1">
      <w:start w:val="1"/>
      <w:numFmt w:val="lowerRoman"/>
      <w:lvlText w:val="%3."/>
      <w:lvlJc w:val="right"/>
      <w:pPr>
        <w:ind w:left="2131" w:hanging="180"/>
      </w:pPr>
    </w:lvl>
    <w:lvl w:ilvl="3" w:tplc="241A000F" w:tentative="1">
      <w:start w:val="1"/>
      <w:numFmt w:val="decimal"/>
      <w:lvlText w:val="%4."/>
      <w:lvlJc w:val="left"/>
      <w:pPr>
        <w:ind w:left="2851" w:hanging="360"/>
      </w:pPr>
    </w:lvl>
    <w:lvl w:ilvl="4" w:tplc="241A0019" w:tentative="1">
      <w:start w:val="1"/>
      <w:numFmt w:val="lowerLetter"/>
      <w:lvlText w:val="%5."/>
      <w:lvlJc w:val="left"/>
      <w:pPr>
        <w:ind w:left="3571" w:hanging="360"/>
      </w:pPr>
    </w:lvl>
    <w:lvl w:ilvl="5" w:tplc="241A001B" w:tentative="1">
      <w:start w:val="1"/>
      <w:numFmt w:val="lowerRoman"/>
      <w:lvlText w:val="%6."/>
      <w:lvlJc w:val="right"/>
      <w:pPr>
        <w:ind w:left="4291" w:hanging="180"/>
      </w:pPr>
    </w:lvl>
    <w:lvl w:ilvl="6" w:tplc="241A000F" w:tentative="1">
      <w:start w:val="1"/>
      <w:numFmt w:val="decimal"/>
      <w:lvlText w:val="%7."/>
      <w:lvlJc w:val="left"/>
      <w:pPr>
        <w:ind w:left="5011" w:hanging="360"/>
      </w:pPr>
    </w:lvl>
    <w:lvl w:ilvl="7" w:tplc="241A0019" w:tentative="1">
      <w:start w:val="1"/>
      <w:numFmt w:val="lowerLetter"/>
      <w:lvlText w:val="%8."/>
      <w:lvlJc w:val="left"/>
      <w:pPr>
        <w:ind w:left="5731" w:hanging="360"/>
      </w:pPr>
    </w:lvl>
    <w:lvl w:ilvl="8" w:tplc="241A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1" w15:restartNumberingAfterBreak="0">
    <w:nsid w:val="6B195F4A"/>
    <w:multiLevelType w:val="hybridMultilevel"/>
    <w:tmpl w:val="D0F84820"/>
    <w:lvl w:ilvl="0" w:tplc="83D60F72">
      <w:start w:val="1"/>
      <w:numFmt w:val="decimal"/>
      <w:lvlText w:val="%1."/>
      <w:lvlJc w:val="left"/>
      <w:pPr>
        <w:ind w:left="720" w:hanging="360"/>
      </w:pPr>
    </w:lvl>
    <w:lvl w:ilvl="1" w:tplc="C938DF20">
      <w:start w:val="1"/>
      <w:numFmt w:val="lowerLetter"/>
      <w:lvlText w:val="%2."/>
      <w:lvlJc w:val="left"/>
      <w:pPr>
        <w:ind w:left="1440" w:hanging="360"/>
      </w:pPr>
    </w:lvl>
    <w:lvl w:ilvl="2" w:tplc="7CEA9BB4">
      <w:start w:val="1"/>
      <w:numFmt w:val="lowerRoman"/>
      <w:lvlText w:val="%3."/>
      <w:lvlJc w:val="right"/>
      <w:pPr>
        <w:ind w:left="2160" w:hanging="180"/>
      </w:pPr>
    </w:lvl>
    <w:lvl w:ilvl="3" w:tplc="CC98721C">
      <w:start w:val="1"/>
      <w:numFmt w:val="decimal"/>
      <w:lvlText w:val="%4."/>
      <w:lvlJc w:val="left"/>
      <w:pPr>
        <w:ind w:left="2880" w:hanging="360"/>
      </w:pPr>
    </w:lvl>
    <w:lvl w:ilvl="4" w:tplc="09264EC8">
      <w:start w:val="1"/>
      <w:numFmt w:val="lowerLetter"/>
      <w:lvlText w:val="%5."/>
      <w:lvlJc w:val="left"/>
      <w:pPr>
        <w:ind w:left="3600" w:hanging="360"/>
      </w:pPr>
    </w:lvl>
    <w:lvl w:ilvl="5" w:tplc="D7F6A752">
      <w:start w:val="1"/>
      <w:numFmt w:val="lowerRoman"/>
      <w:lvlText w:val="%6."/>
      <w:lvlJc w:val="right"/>
      <w:pPr>
        <w:ind w:left="4320" w:hanging="180"/>
      </w:pPr>
    </w:lvl>
    <w:lvl w:ilvl="6" w:tplc="97C03630">
      <w:start w:val="1"/>
      <w:numFmt w:val="decimal"/>
      <w:lvlText w:val="%7."/>
      <w:lvlJc w:val="left"/>
      <w:pPr>
        <w:ind w:left="5040" w:hanging="360"/>
      </w:pPr>
    </w:lvl>
    <w:lvl w:ilvl="7" w:tplc="2804AF1C">
      <w:start w:val="1"/>
      <w:numFmt w:val="lowerLetter"/>
      <w:lvlText w:val="%8."/>
      <w:lvlJc w:val="left"/>
      <w:pPr>
        <w:ind w:left="5760" w:hanging="360"/>
      </w:pPr>
    </w:lvl>
    <w:lvl w:ilvl="8" w:tplc="742AF50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33463"/>
    <w:multiLevelType w:val="hybridMultilevel"/>
    <w:tmpl w:val="14E619AE"/>
    <w:lvl w:ilvl="0" w:tplc="9D684B5E">
      <w:start w:val="1"/>
      <w:numFmt w:val="decimal"/>
      <w:lvlText w:val="%1."/>
      <w:lvlJc w:val="left"/>
      <w:pPr>
        <w:ind w:left="720" w:hanging="360"/>
      </w:pPr>
    </w:lvl>
    <w:lvl w:ilvl="1" w:tplc="B6267EF2">
      <w:start w:val="1"/>
      <w:numFmt w:val="lowerLetter"/>
      <w:lvlText w:val="%2."/>
      <w:lvlJc w:val="left"/>
      <w:pPr>
        <w:ind w:left="1440" w:hanging="360"/>
      </w:pPr>
    </w:lvl>
    <w:lvl w:ilvl="2" w:tplc="88DE42EA">
      <w:start w:val="1"/>
      <w:numFmt w:val="lowerRoman"/>
      <w:lvlText w:val="%3."/>
      <w:lvlJc w:val="right"/>
      <w:pPr>
        <w:ind w:left="2160" w:hanging="180"/>
      </w:pPr>
    </w:lvl>
    <w:lvl w:ilvl="3" w:tplc="7DF6BD1A">
      <w:start w:val="1"/>
      <w:numFmt w:val="decimal"/>
      <w:lvlText w:val="%4."/>
      <w:lvlJc w:val="left"/>
      <w:pPr>
        <w:ind w:left="2880" w:hanging="360"/>
      </w:pPr>
    </w:lvl>
    <w:lvl w:ilvl="4" w:tplc="2E84E958">
      <w:start w:val="1"/>
      <w:numFmt w:val="lowerLetter"/>
      <w:lvlText w:val="%5."/>
      <w:lvlJc w:val="left"/>
      <w:pPr>
        <w:ind w:left="3600" w:hanging="360"/>
      </w:pPr>
    </w:lvl>
    <w:lvl w:ilvl="5" w:tplc="925C50E6">
      <w:start w:val="1"/>
      <w:numFmt w:val="lowerRoman"/>
      <w:lvlText w:val="%6."/>
      <w:lvlJc w:val="right"/>
      <w:pPr>
        <w:ind w:left="4320" w:hanging="180"/>
      </w:pPr>
    </w:lvl>
    <w:lvl w:ilvl="6" w:tplc="DFEAA240">
      <w:start w:val="1"/>
      <w:numFmt w:val="decimal"/>
      <w:lvlText w:val="%7."/>
      <w:lvlJc w:val="left"/>
      <w:pPr>
        <w:ind w:left="5040" w:hanging="360"/>
      </w:pPr>
    </w:lvl>
    <w:lvl w:ilvl="7" w:tplc="E214B7EA">
      <w:start w:val="1"/>
      <w:numFmt w:val="lowerLetter"/>
      <w:lvlText w:val="%8."/>
      <w:lvlJc w:val="left"/>
      <w:pPr>
        <w:ind w:left="5760" w:hanging="360"/>
      </w:pPr>
    </w:lvl>
    <w:lvl w:ilvl="8" w:tplc="1E7E08A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25D77"/>
    <w:multiLevelType w:val="hybridMultilevel"/>
    <w:tmpl w:val="E8FCA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10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9A7"/>
    <w:rsid w:val="00001405"/>
    <w:rsid w:val="00013136"/>
    <w:rsid w:val="00017BDC"/>
    <w:rsid w:val="00021352"/>
    <w:rsid w:val="00027CB9"/>
    <w:rsid w:val="00036636"/>
    <w:rsid w:val="000434D1"/>
    <w:rsid w:val="0005458D"/>
    <w:rsid w:val="00057A63"/>
    <w:rsid w:val="000622E8"/>
    <w:rsid w:val="00084E20"/>
    <w:rsid w:val="000A07A0"/>
    <w:rsid w:val="000A2CCC"/>
    <w:rsid w:val="000A7D3D"/>
    <w:rsid w:val="000B4D84"/>
    <w:rsid w:val="000C030B"/>
    <w:rsid w:val="000EC19B"/>
    <w:rsid w:val="000F05B8"/>
    <w:rsid w:val="000F0948"/>
    <w:rsid w:val="000F0AF7"/>
    <w:rsid w:val="000F32CF"/>
    <w:rsid w:val="0016383F"/>
    <w:rsid w:val="001641A2"/>
    <w:rsid w:val="001730B7"/>
    <w:rsid w:val="00173EE6"/>
    <w:rsid w:val="00174382"/>
    <w:rsid w:val="00174DEE"/>
    <w:rsid w:val="001915A1"/>
    <w:rsid w:val="00197537"/>
    <w:rsid w:val="001D730B"/>
    <w:rsid w:val="001E1E5C"/>
    <w:rsid w:val="001E2C44"/>
    <w:rsid w:val="00230FC3"/>
    <w:rsid w:val="00237772"/>
    <w:rsid w:val="002812E2"/>
    <w:rsid w:val="002A57E7"/>
    <w:rsid w:val="002A65C0"/>
    <w:rsid w:val="002C142B"/>
    <w:rsid w:val="002D7053"/>
    <w:rsid w:val="002E54AF"/>
    <w:rsid w:val="002F0A18"/>
    <w:rsid w:val="002F387C"/>
    <w:rsid w:val="00300FE5"/>
    <w:rsid w:val="003108C6"/>
    <w:rsid w:val="003254AF"/>
    <w:rsid w:val="003526E5"/>
    <w:rsid w:val="0037580E"/>
    <w:rsid w:val="003B3DB6"/>
    <w:rsid w:val="003B45B0"/>
    <w:rsid w:val="003C4883"/>
    <w:rsid w:val="004238B8"/>
    <w:rsid w:val="004274F6"/>
    <w:rsid w:val="00455DD3"/>
    <w:rsid w:val="00467761"/>
    <w:rsid w:val="0048150F"/>
    <w:rsid w:val="004912FD"/>
    <w:rsid w:val="004A3A7E"/>
    <w:rsid w:val="004F0A92"/>
    <w:rsid w:val="004F5B7B"/>
    <w:rsid w:val="004F6CC3"/>
    <w:rsid w:val="00500371"/>
    <w:rsid w:val="00501BE2"/>
    <w:rsid w:val="005067CD"/>
    <w:rsid w:val="005143C4"/>
    <w:rsid w:val="005217D2"/>
    <w:rsid w:val="00545566"/>
    <w:rsid w:val="00545D84"/>
    <w:rsid w:val="0056450F"/>
    <w:rsid w:val="005A159F"/>
    <w:rsid w:val="005B42FD"/>
    <w:rsid w:val="005C746E"/>
    <w:rsid w:val="005D024C"/>
    <w:rsid w:val="005D0277"/>
    <w:rsid w:val="005D20AE"/>
    <w:rsid w:val="005E6F9A"/>
    <w:rsid w:val="005F3E87"/>
    <w:rsid w:val="00650C5D"/>
    <w:rsid w:val="00651A47"/>
    <w:rsid w:val="00686127"/>
    <w:rsid w:val="006A7AD7"/>
    <w:rsid w:val="00715949"/>
    <w:rsid w:val="0071663E"/>
    <w:rsid w:val="00717439"/>
    <w:rsid w:val="00733697"/>
    <w:rsid w:val="00740685"/>
    <w:rsid w:val="007434FC"/>
    <w:rsid w:val="00754E71"/>
    <w:rsid w:val="00762B2F"/>
    <w:rsid w:val="007C05E6"/>
    <w:rsid w:val="007E3B24"/>
    <w:rsid w:val="00804D20"/>
    <w:rsid w:val="00831F66"/>
    <w:rsid w:val="008525E8"/>
    <w:rsid w:val="00855918"/>
    <w:rsid w:val="008579FC"/>
    <w:rsid w:val="0087196D"/>
    <w:rsid w:val="008A30FD"/>
    <w:rsid w:val="008C6CB6"/>
    <w:rsid w:val="008D1904"/>
    <w:rsid w:val="008E5840"/>
    <w:rsid w:val="00900D5A"/>
    <w:rsid w:val="00903499"/>
    <w:rsid w:val="009328B7"/>
    <w:rsid w:val="00932B43"/>
    <w:rsid w:val="00933471"/>
    <w:rsid w:val="00957334"/>
    <w:rsid w:val="009617BB"/>
    <w:rsid w:val="0098633C"/>
    <w:rsid w:val="009926A4"/>
    <w:rsid w:val="0099582D"/>
    <w:rsid w:val="009A5C18"/>
    <w:rsid w:val="009B1AAA"/>
    <w:rsid w:val="009C279E"/>
    <w:rsid w:val="009E34A7"/>
    <w:rsid w:val="009F1657"/>
    <w:rsid w:val="00A31E51"/>
    <w:rsid w:val="00A42198"/>
    <w:rsid w:val="00A56F93"/>
    <w:rsid w:val="00AB6F6A"/>
    <w:rsid w:val="00B077D4"/>
    <w:rsid w:val="00B1391C"/>
    <w:rsid w:val="00B743EB"/>
    <w:rsid w:val="00B746E6"/>
    <w:rsid w:val="00B91921"/>
    <w:rsid w:val="00B93082"/>
    <w:rsid w:val="00BA31C5"/>
    <w:rsid w:val="00BB577F"/>
    <w:rsid w:val="00BD60B5"/>
    <w:rsid w:val="00BD6E4E"/>
    <w:rsid w:val="00C136C9"/>
    <w:rsid w:val="00C348B9"/>
    <w:rsid w:val="00C37BEF"/>
    <w:rsid w:val="00C55D89"/>
    <w:rsid w:val="00C565D7"/>
    <w:rsid w:val="00C57017"/>
    <w:rsid w:val="00C701CE"/>
    <w:rsid w:val="00C709A2"/>
    <w:rsid w:val="00C73240"/>
    <w:rsid w:val="00C756F6"/>
    <w:rsid w:val="00CC1AF6"/>
    <w:rsid w:val="00CC3C3F"/>
    <w:rsid w:val="00CC49A7"/>
    <w:rsid w:val="00CC6C1B"/>
    <w:rsid w:val="00CE19F6"/>
    <w:rsid w:val="00CE2165"/>
    <w:rsid w:val="00CE4806"/>
    <w:rsid w:val="00CF210B"/>
    <w:rsid w:val="00D06E9A"/>
    <w:rsid w:val="00D7382E"/>
    <w:rsid w:val="00D778CC"/>
    <w:rsid w:val="00D831A9"/>
    <w:rsid w:val="00D83324"/>
    <w:rsid w:val="00DA62C1"/>
    <w:rsid w:val="00DB63E7"/>
    <w:rsid w:val="00DC3418"/>
    <w:rsid w:val="00DC6657"/>
    <w:rsid w:val="00DD04B8"/>
    <w:rsid w:val="00DD35E5"/>
    <w:rsid w:val="00DE2837"/>
    <w:rsid w:val="00E33CDA"/>
    <w:rsid w:val="00E62150"/>
    <w:rsid w:val="00E74BD8"/>
    <w:rsid w:val="00E93D61"/>
    <w:rsid w:val="00EB208B"/>
    <w:rsid w:val="00EB2A28"/>
    <w:rsid w:val="00EC1F1E"/>
    <w:rsid w:val="00EF2289"/>
    <w:rsid w:val="00F00F6C"/>
    <w:rsid w:val="00F10BD5"/>
    <w:rsid w:val="00F2385E"/>
    <w:rsid w:val="00F320E0"/>
    <w:rsid w:val="00FC5CF1"/>
    <w:rsid w:val="00FC5E48"/>
    <w:rsid w:val="00FD512C"/>
    <w:rsid w:val="00FE794A"/>
    <w:rsid w:val="0240E306"/>
    <w:rsid w:val="075BC60E"/>
    <w:rsid w:val="0762B03F"/>
    <w:rsid w:val="16AAA39D"/>
    <w:rsid w:val="1CACEB3F"/>
    <w:rsid w:val="29677FCD"/>
    <w:rsid w:val="2DD193B3"/>
    <w:rsid w:val="44805B73"/>
    <w:rsid w:val="4D146DE2"/>
    <w:rsid w:val="53A55049"/>
    <w:rsid w:val="64177884"/>
    <w:rsid w:val="79FC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3BE5"/>
  <w15:docId w15:val="{93E7EBBD-E7E6-4396-A3B4-BF043D99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9A7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F66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9A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CC49A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C49A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C49A7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C49A7"/>
    <w:rPr>
      <w:rFonts w:ascii="Calibri" w:hAnsi="Calibri" w:cs="Calibri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30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FC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FC3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FC3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93D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F6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gmail-odluka-zakon">
    <w:name w:val="gmail-odluka-zakon"/>
    <w:basedOn w:val="Normal"/>
    <w:rsid w:val="00831F66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831F66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7695C-72E3-4CA3-A7CB-C0CD1859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 Berezlev</cp:lastModifiedBy>
  <cp:revision>3</cp:revision>
  <cp:lastPrinted>2018-10-23T12:13:00Z</cp:lastPrinted>
  <dcterms:created xsi:type="dcterms:W3CDTF">2020-05-26T12:14:00Z</dcterms:created>
  <dcterms:modified xsi:type="dcterms:W3CDTF">2020-05-26T12:38:00Z</dcterms:modified>
</cp:coreProperties>
</file>