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2CE17" w14:textId="04D8185D" w:rsidR="00942C70" w:rsidRPr="00A056F6" w:rsidRDefault="00863B41" w:rsidP="00CD3805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A056F6">
        <w:rPr>
          <w:b/>
          <w:sz w:val="22"/>
          <w:szCs w:val="22"/>
          <w:lang w:val="sr-Cyrl-RS"/>
        </w:rPr>
        <w:t>ПОЈЕДНОСТАВЉЕЊЕ ПОСТУПКА ИЗДАВАЊА САГЛАСНОСТИ О ДОЗВОЛИ ГАЈЕЊА КОНОПЉЕ</w:t>
      </w:r>
    </w:p>
    <w:p w14:paraId="712B61DA" w14:textId="77777777" w:rsidR="00863B41" w:rsidRPr="00811BAB" w:rsidRDefault="00863B41" w:rsidP="00CD3805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972460" w14:paraId="1976FB87" w14:textId="77777777" w:rsidTr="748068B1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972460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2903DCF9" w:rsidR="000E2036" w:rsidRPr="00972460" w:rsidRDefault="00425B4A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972460">
              <w:rPr>
                <w:sz w:val="22"/>
                <w:szCs w:val="22"/>
                <w:lang w:val="sr-Cyrl-RS"/>
              </w:rPr>
              <w:t>Сагласност о дозволи гајења конопље</w:t>
            </w:r>
          </w:p>
        </w:tc>
      </w:tr>
      <w:tr w:rsidR="00DC6965" w:rsidRPr="00972460" w14:paraId="7A6AA442" w14:textId="77777777" w:rsidTr="748068B1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DC6965" w:rsidRPr="00972460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72460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055132A" w:rsidR="00DC6965" w:rsidRPr="00972460" w:rsidRDefault="00DC6965" w:rsidP="00DC696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972460">
              <w:rPr>
                <w:color w:val="000000" w:themeColor="text1"/>
                <w:sz w:val="22"/>
                <w:szCs w:val="22"/>
                <w:lang w:val="sr-Cyrl-RS"/>
              </w:rPr>
              <w:t>16.02.00</w:t>
            </w:r>
            <w:r w:rsidR="00425B4A" w:rsidRPr="00972460">
              <w:rPr>
                <w:color w:val="000000" w:themeColor="text1"/>
                <w:sz w:val="22"/>
                <w:szCs w:val="22"/>
                <w:lang w:val="sr-Cyrl-RS"/>
              </w:rPr>
              <w:t>40</w:t>
            </w:r>
          </w:p>
        </w:tc>
      </w:tr>
      <w:tr w:rsidR="00DC6965" w:rsidRPr="00972460" w14:paraId="2CEE52A6" w14:textId="77777777" w:rsidTr="748068B1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DC6965" w:rsidRPr="00972460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72460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DC6965" w:rsidRPr="00972460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72460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1F931B8" w:rsidR="00DC6965" w:rsidRPr="00972460" w:rsidRDefault="009D0B3F" w:rsidP="00DC696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972460">
              <w:rPr>
                <w:sz w:val="22"/>
                <w:szCs w:val="22"/>
                <w:lang w:val="sr-Cyrl-RS"/>
              </w:rPr>
              <w:t>Управа за заштиту биља</w:t>
            </w:r>
          </w:p>
        </w:tc>
      </w:tr>
      <w:tr w:rsidR="00DC6965" w:rsidRPr="00972460" w14:paraId="10DA1CD3" w14:textId="77777777" w:rsidTr="748068B1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DC6965" w:rsidRPr="00972460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72460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7BAA52" w14:textId="01604C31" w:rsidR="00E07B99" w:rsidRPr="0049786F" w:rsidRDefault="00E07B99" w:rsidP="0049786F">
            <w:pPr>
              <w:pStyle w:val="ListParagraph"/>
              <w:numPr>
                <w:ilvl w:val="0"/>
                <w:numId w:val="30"/>
              </w:numPr>
              <w:spacing w:before="120" w:after="120"/>
              <w:ind w:left="350"/>
              <w:jc w:val="left"/>
              <w:rPr>
                <w:rFonts w:ascii="Times New Roman" w:hAnsi="Times New Roman"/>
                <w:sz w:val="22"/>
                <w:lang w:val="sr-Cyrl-RS"/>
              </w:rPr>
            </w:pPr>
            <w:r w:rsidRPr="0049786F">
              <w:rPr>
                <w:rFonts w:ascii="Times New Roman" w:hAnsi="Times New Roman"/>
                <w:sz w:val="22"/>
                <w:lang w:val="sr-Cyrl-RS"/>
              </w:rPr>
              <w:t xml:space="preserve">Закон о психоактивним контролисаним супстанцама </w:t>
            </w:r>
            <w:r w:rsidR="007A7A45" w:rsidRPr="0049786F">
              <w:rPr>
                <w:rFonts w:ascii="Times New Roman" w:hAnsi="Times New Roman"/>
                <w:sz w:val="22"/>
                <w:lang w:val="sr-Cyrl-RS"/>
              </w:rPr>
              <w:t xml:space="preserve">(„Сл. гласник РС“, бр. </w:t>
            </w:r>
            <w:r w:rsidRPr="0049786F">
              <w:rPr>
                <w:rFonts w:ascii="Times New Roman" w:hAnsi="Times New Roman"/>
                <w:sz w:val="22"/>
                <w:lang w:val="sr-Cyrl-RS"/>
              </w:rPr>
              <w:t>99/10</w:t>
            </w:r>
            <w:r w:rsidR="007A7A45" w:rsidRPr="0049786F">
              <w:rPr>
                <w:rFonts w:ascii="Times New Roman" w:hAnsi="Times New Roman"/>
                <w:sz w:val="22"/>
                <w:lang w:val="sr-Cyrl-RS"/>
              </w:rPr>
              <w:t xml:space="preserve"> и </w:t>
            </w:r>
            <w:r w:rsidRPr="0049786F">
              <w:rPr>
                <w:rFonts w:ascii="Times New Roman" w:hAnsi="Times New Roman"/>
                <w:sz w:val="22"/>
                <w:lang w:val="sr-Cyrl-RS"/>
              </w:rPr>
              <w:t>57/18</w:t>
            </w:r>
            <w:r w:rsidR="007A7A45" w:rsidRPr="0049786F">
              <w:rPr>
                <w:rFonts w:ascii="Times New Roman" w:hAnsi="Times New Roman"/>
                <w:sz w:val="22"/>
                <w:lang w:val="sr-Cyrl-RS"/>
              </w:rPr>
              <w:t>)</w:t>
            </w:r>
            <w:r w:rsidRPr="0049786F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</w:p>
          <w:p w14:paraId="2CCB5DCC" w14:textId="6657AD92" w:rsidR="00EB3053" w:rsidRPr="0049786F" w:rsidRDefault="00EB3053" w:rsidP="0049786F">
            <w:pPr>
              <w:pStyle w:val="ListParagraph"/>
              <w:numPr>
                <w:ilvl w:val="0"/>
                <w:numId w:val="30"/>
              </w:numPr>
              <w:spacing w:before="120" w:after="120"/>
              <w:ind w:left="350"/>
              <w:jc w:val="left"/>
              <w:rPr>
                <w:rFonts w:ascii="Times New Roman" w:hAnsi="Times New Roman"/>
                <w:lang w:val="sr-Cyrl-RS"/>
              </w:rPr>
            </w:pPr>
            <w:r w:rsidRPr="0049786F">
              <w:rPr>
                <w:rFonts w:ascii="Times New Roman" w:hAnsi="Times New Roman"/>
                <w:sz w:val="22"/>
                <w:lang w:val="sr-Cyrl-RS"/>
              </w:rPr>
              <w:t xml:space="preserve">Правилник о условима за гајење конопље: </w:t>
            </w:r>
            <w:r w:rsidR="007A7A45" w:rsidRPr="0049786F">
              <w:rPr>
                <w:rFonts w:ascii="Times New Roman" w:hAnsi="Times New Roman"/>
                <w:sz w:val="22"/>
                <w:lang w:val="sr-Cyrl-RS"/>
              </w:rPr>
              <w:t xml:space="preserve">(„Сл. гласник РС“, бр. </w:t>
            </w:r>
            <w:r w:rsidRPr="0049786F">
              <w:rPr>
                <w:rFonts w:ascii="Times New Roman" w:hAnsi="Times New Roman"/>
                <w:sz w:val="22"/>
                <w:lang w:val="sr-Cyrl-RS"/>
              </w:rPr>
              <w:t>64/13</w:t>
            </w:r>
            <w:r w:rsidR="007A7A45" w:rsidRPr="0049786F">
              <w:rPr>
                <w:rFonts w:ascii="Times New Roman" w:hAnsi="Times New Roman"/>
                <w:sz w:val="22"/>
                <w:lang w:val="sr-Cyrl-RS"/>
              </w:rPr>
              <w:t>)</w:t>
            </w:r>
          </w:p>
        </w:tc>
      </w:tr>
      <w:tr w:rsidR="00DC6965" w:rsidRPr="00972460" w14:paraId="724CF23D" w14:textId="77777777" w:rsidTr="748068B1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C6965" w:rsidRPr="00972460" w:rsidRDefault="00DC6965" w:rsidP="00DC696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97246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6EC5D8E6" w14:textId="23946F4C" w:rsidR="007A7A45" w:rsidRDefault="007A7A45" w:rsidP="007A7A45">
            <w:pPr>
              <w:spacing w:before="120" w:after="120"/>
              <w:ind w:left="-29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1. </w:t>
            </w:r>
            <w:r w:rsidRPr="00E07B9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психоактивним контролисаним супстанцама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(„Сл. гласник РС“, бр. </w:t>
            </w:r>
            <w:r w:rsidRPr="00E07B99">
              <w:rPr>
                <w:rFonts w:ascii="Times New Roman" w:hAnsi="Times New Roman"/>
                <w:sz w:val="22"/>
                <w:szCs w:val="22"/>
                <w:lang w:val="sr-Cyrl-RS"/>
              </w:rPr>
              <w:t>99/10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Pr="00E07B99">
              <w:rPr>
                <w:rFonts w:ascii="Times New Roman" w:hAnsi="Times New Roman"/>
                <w:sz w:val="22"/>
                <w:szCs w:val="22"/>
                <w:lang w:val="sr-Cyrl-RS"/>
              </w:rPr>
              <w:t>57/18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  <w:r w:rsidRPr="00E07B9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55CB4618" w14:textId="62B49BEB" w:rsidR="007B373E" w:rsidRPr="00972460" w:rsidRDefault="007A7A45" w:rsidP="007A7A4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2. </w:t>
            </w:r>
            <w:r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условима за гајење конопље: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(„Сл. гласник РС“, бр. </w:t>
            </w:r>
            <w:r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>64/13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DC6965" w:rsidRPr="00972460" w14:paraId="58812BCA" w14:textId="77777777" w:rsidTr="748068B1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DC6965" w:rsidRPr="00972460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72460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1F55D463" w:rsidR="00DC6965" w:rsidRPr="00972460" w:rsidRDefault="00A5777C" w:rsidP="00A15E6B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972460" w:rsidRPr="00972460">
              <w:rPr>
                <w:sz w:val="22"/>
                <w:szCs w:val="22"/>
                <w:lang w:val="sr-Cyrl-RS"/>
              </w:rPr>
              <w:t xml:space="preserve"> квартал </w:t>
            </w:r>
            <w:r w:rsidR="00A15E6B" w:rsidRPr="00972460">
              <w:rPr>
                <w:sz w:val="22"/>
                <w:szCs w:val="22"/>
                <w:lang w:val="sr-Cyrl-RS"/>
              </w:rPr>
              <w:t>20</w:t>
            </w:r>
            <w:r w:rsidR="00A15E6B">
              <w:rPr>
                <w:sz w:val="22"/>
                <w:szCs w:val="22"/>
                <w:lang w:val="sr-Cyrl-RS"/>
              </w:rPr>
              <w:t>20</w:t>
            </w:r>
            <w:r w:rsidR="00972460" w:rsidRPr="00972460">
              <w:rPr>
                <w:sz w:val="22"/>
                <w:szCs w:val="22"/>
                <w:lang w:val="sr-Cyrl-RS"/>
              </w:rPr>
              <w:t>. године</w:t>
            </w:r>
            <w:r w:rsidR="00A15E6B">
              <w:rPr>
                <w:sz w:val="22"/>
                <w:szCs w:val="22"/>
                <w:lang w:val="sr-Cyrl-RS"/>
              </w:rPr>
              <w:t>.</w:t>
            </w:r>
          </w:p>
        </w:tc>
      </w:tr>
      <w:tr w:rsidR="00DC6965" w:rsidRPr="00972460" w14:paraId="539113B1" w14:textId="77777777" w:rsidTr="748068B1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DC6965" w:rsidRPr="00972460" w:rsidRDefault="00DC6965" w:rsidP="00DC696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72460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DC6965" w:rsidRPr="00972460" w14:paraId="4635A4BE" w14:textId="77777777" w:rsidTr="748068B1">
        <w:tc>
          <w:tcPr>
            <w:tcW w:w="9060" w:type="dxa"/>
            <w:gridSpan w:val="2"/>
          </w:tcPr>
          <w:p w14:paraId="50B5456B" w14:textId="77777777" w:rsidR="00942C70" w:rsidRDefault="00E113A4" w:rsidP="00942C7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42C7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Важење дозволе од 12 месеци оптерећује подносиоце захтева компликованим администрирањем и отежава планирање пољопривредне производње. </w:t>
            </w:r>
          </w:p>
          <w:p w14:paraId="2EC905E0" w14:textId="77777777" w:rsidR="00942C70" w:rsidRDefault="004724D9" w:rsidP="00942C7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42C7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Не постоји образац за подношење захтева. Ово отежава подносиоцима захтева навођење свих података потребних за одлучивање о захтеву, </w:t>
            </w:r>
            <w:bookmarkStart w:id="1" w:name="_Hlk528439953"/>
            <w:r w:rsidRPr="00942C70">
              <w:rPr>
                <w:rFonts w:ascii="Times New Roman" w:hAnsi="Times New Roman"/>
                <w:sz w:val="22"/>
                <w:szCs w:val="22"/>
                <w:lang w:val="sr-Cyrl-RS"/>
              </w:rPr>
              <w:t>а отежава се и надлежним органима одлучивање о захтевима</w:t>
            </w:r>
            <w:bookmarkEnd w:id="1"/>
            <w:r w:rsidRPr="00942C7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 </w:t>
            </w:r>
          </w:p>
          <w:p w14:paraId="7E99F185" w14:textId="77777777" w:rsidR="00942C70" w:rsidRDefault="003F2232" w:rsidP="00942C7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>У поступку се од подносилаца захтева тражи да достави доказе које орган има обавезу да прибави</w:t>
            </w:r>
            <w:r w:rsidR="00DC3FE5"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сам,</w:t>
            </w:r>
            <w:r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 службеној дужности</w:t>
            </w:r>
            <w:r w:rsidR="007A7A4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r w:rsidR="00DC3FE5"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>Дакле, по</w:t>
            </w:r>
            <w:r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ступак </w:t>
            </w:r>
            <w:r w:rsidR="00DC3FE5"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се спроводи на начин који </w:t>
            </w:r>
            <w:r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ствара значајно административно оптерећење и трошкове </w:t>
            </w:r>
            <w:r w:rsidR="00DC3FE5"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>подносиоцима захтева</w:t>
            </w:r>
            <w:r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DC3FE5"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Тиме је нарушено</w:t>
            </w:r>
            <w:r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316252EE" w14:textId="77777777" w:rsidR="00942C70" w:rsidRDefault="00E870B5" w:rsidP="00942C70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Приликом подношења захтева, потребно је доставити Уговор о производњи и откупу конопље, што значи да се унапред мора одредити купац. То произвођаче ставља у неповољан положај, јер услови на тржишту у тренутку продаје могу бити значајно бољи него они договорени унапред. </w:t>
            </w:r>
            <w:r w:rsidR="00151536"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>Када</w:t>
            </w:r>
            <w:r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овај уговор </w:t>
            </w:r>
            <w:r w:rsidR="00151536"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>не би био</w:t>
            </w:r>
            <w:r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151536"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обавезни </w:t>
            </w:r>
            <w:r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>део документације</w:t>
            </w:r>
            <w:r w:rsidR="00151536"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која се предаје</w:t>
            </w:r>
            <w:r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када се конопља произведе </w:t>
            </w:r>
            <w:r w:rsidR="00151536"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>могла да би да се на тржишту прода купцу који за њу понуди најбоље услове</w:t>
            </w:r>
            <w:r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6253BF"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94428B"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>з захтев је потребно доставити и податке о семену које ће се користити, што је захтев који није оправдан, будући да је прописима (члан</w:t>
            </w:r>
            <w:r w:rsidR="00353443"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60. Закона, односно члан</w:t>
            </w:r>
            <w:r w:rsidR="0094428B"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2. и члан 3. став 1. Правилника) утврђено који услови морају бити испуњени у погледу сорте, начина производње, дораде, паковања и декларисања семена.</w:t>
            </w:r>
            <w:r w:rsidR="00942C70" w:rsidRPr="00A21A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</w:p>
          <w:p w14:paraId="6A1BF8CA" w14:textId="77777777" w:rsidR="00A056F6" w:rsidRDefault="00A056F6" w:rsidP="00942C70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  <w:p w14:paraId="6FE1CFA0" w14:textId="46061399" w:rsidR="00942C70" w:rsidRPr="00661421" w:rsidRDefault="00942C70" w:rsidP="00942C70">
            <w:pPr>
              <w:contextualSpacing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</w:pPr>
            <w:r w:rsidRPr="00A21A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4BCB02C2" w14:textId="24144B9B" w:rsidR="00942C70" w:rsidRPr="00972460" w:rsidRDefault="00942C70" w:rsidP="00942C7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21A45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Поступак подразумева подношење захтева лично</w:t>
            </w:r>
            <w:r w:rsidRPr="00661421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 xml:space="preserve"> на писарници или поштом</w:t>
            </w:r>
            <w:r w:rsidRPr="00A21A45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 xml:space="preserve">. Још увек није </w:t>
            </w:r>
            <w:r w:rsidRPr="00A21A45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lastRenderedPageBreak/>
              <w:t>успостављена пуна електронска управа, нити поједини сегменти електронске комуникације.</w:t>
            </w:r>
          </w:p>
        </w:tc>
      </w:tr>
      <w:tr w:rsidR="00DC6965" w:rsidRPr="00972460" w14:paraId="31663FC5" w14:textId="77777777" w:rsidTr="748068B1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DC6965" w:rsidRPr="00972460" w:rsidRDefault="00DC6965" w:rsidP="009A38F9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72460">
              <w:rPr>
                <w:b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DC6965" w:rsidRPr="00972460" w14:paraId="66715B57" w14:textId="77777777" w:rsidTr="748068B1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DC6965" w:rsidRPr="00972460" w:rsidRDefault="00DC6965" w:rsidP="00DC696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C6965" w:rsidRPr="00972460" w14:paraId="3010E605" w14:textId="77777777" w:rsidTr="748068B1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1"/>
              <w:gridCol w:w="7"/>
            </w:tblGrid>
            <w:tr w:rsidR="00DC6965" w:rsidRPr="00972460" w14:paraId="30C2F8E8" w14:textId="77777777" w:rsidTr="0049786F">
              <w:trPr>
                <w:trHeight w:val="749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DC6965" w:rsidRPr="00972460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7246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DC6965" w:rsidRPr="00972460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7246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DC6965" w:rsidRPr="00972460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7246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DC6965" w:rsidRPr="00972460" w14:paraId="2B15C487" w14:textId="77777777" w:rsidTr="0049786F">
              <w:trPr>
                <w:trHeight w:val="260"/>
              </w:trPr>
              <w:tc>
                <w:tcPr>
                  <w:tcW w:w="3336" w:type="dxa"/>
                  <w:vMerge/>
                </w:tcPr>
                <w:p w14:paraId="42D3BC1D" w14:textId="77777777" w:rsidR="00DC6965" w:rsidRPr="00972460" w:rsidRDefault="00DC6965" w:rsidP="00DC696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DC6965" w:rsidRPr="00972460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7246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DC6965" w:rsidRPr="00972460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7246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gridSpan w:val="2"/>
                  <w:vMerge/>
                </w:tcPr>
                <w:p w14:paraId="21FE126E" w14:textId="77777777" w:rsidR="00DC6965" w:rsidRPr="00972460" w:rsidRDefault="00DC6965" w:rsidP="00DC696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49786F" w:rsidRPr="00972460" w14:paraId="1E77C85A" w14:textId="77777777" w:rsidTr="00490432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34DF82C9" w14:textId="45BDD0B3" w:rsidR="0049786F" w:rsidRPr="00942C70" w:rsidRDefault="0049786F" w:rsidP="00DC6965">
                  <w:pPr>
                    <w:jc w:val="left"/>
                    <w:rPr>
                      <w:rFonts w:ascii="Times New Roman" w:eastAsia="Times New Roman" w:hAnsi="Times New Roman"/>
                      <w:lang w:val="sr-Cyrl-RS"/>
                    </w:rPr>
                  </w:pPr>
                  <w:r w:rsidRPr="00942C7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498" w:type="dxa"/>
                  <w:gridSpan w:val="4"/>
                  <w:vAlign w:val="center"/>
                </w:tcPr>
                <w:p w14:paraId="24710273" w14:textId="77777777" w:rsidR="0049786F" w:rsidRPr="00942C70" w:rsidRDefault="0049786F" w:rsidP="00DC6965">
                  <w:pPr>
                    <w:jc w:val="left"/>
                    <w:rPr>
                      <w:rFonts w:ascii="Times New Roman" w:eastAsia="Times New Roman" w:hAnsi="Times New Roman"/>
                      <w:lang w:val="sr-Cyrl-RS"/>
                    </w:rPr>
                  </w:pPr>
                </w:p>
              </w:tc>
            </w:tr>
            <w:tr w:rsidR="0049786F" w:rsidRPr="00972460" w14:paraId="0346E190" w14:textId="77777777" w:rsidTr="0049786F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74F3E08D" w14:textId="5449FF99" w:rsidR="0049786F" w:rsidRPr="00A5777C" w:rsidRDefault="0049786F" w:rsidP="0049786F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5777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4AFA7A62" w14:textId="77777777" w:rsidR="0049786F" w:rsidRPr="00942C70" w:rsidRDefault="0049786F" w:rsidP="0049786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635D081" w14:textId="35DF66FA" w:rsidR="0049786F" w:rsidRPr="00942C70" w:rsidRDefault="0049786F" w:rsidP="0049786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42C7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98" w:type="dxa"/>
                  <w:gridSpan w:val="2"/>
                </w:tcPr>
                <w:p w14:paraId="598CA29A" w14:textId="77777777" w:rsidR="0049786F" w:rsidRPr="00942C70" w:rsidRDefault="0049786F" w:rsidP="0049786F">
                  <w:pPr>
                    <w:jc w:val="left"/>
                    <w:rPr>
                      <w:rFonts w:ascii="Times New Roman" w:eastAsia="Times New Roman" w:hAnsi="Times New Roman"/>
                      <w:lang w:val="sr-Cyrl-RS"/>
                    </w:rPr>
                  </w:pPr>
                </w:p>
              </w:tc>
            </w:tr>
            <w:tr w:rsidR="0049786F" w:rsidRPr="00942C70" w14:paraId="1228D87D" w14:textId="77777777" w:rsidTr="0049786F">
              <w:trPr>
                <w:gridAfter w:val="1"/>
                <w:wAfter w:w="7" w:type="dxa"/>
                <w:trHeight w:val="489"/>
              </w:trPr>
              <w:tc>
                <w:tcPr>
                  <w:tcW w:w="3336" w:type="dxa"/>
                  <w:vAlign w:val="center"/>
                </w:tcPr>
                <w:p w14:paraId="406288B1" w14:textId="1C3367ED" w:rsidR="0049786F" w:rsidRPr="00942C70" w:rsidRDefault="0049786F" w:rsidP="0049786F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42C7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1948" w:type="dxa"/>
                </w:tcPr>
                <w:p w14:paraId="32D90DC8" w14:textId="77777777" w:rsidR="0049786F" w:rsidRPr="00942C70" w:rsidRDefault="0049786F" w:rsidP="0049786F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BF2735E" w14:textId="2F3CD7CF" w:rsidR="0049786F" w:rsidRPr="00942C70" w:rsidRDefault="0049786F" w:rsidP="0049786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42C7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91" w:type="dxa"/>
                </w:tcPr>
                <w:p w14:paraId="1F22B93B" w14:textId="74065ADF" w:rsidR="0049786F" w:rsidRPr="00942C70" w:rsidRDefault="0049786F" w:rsidP="0049786F">
                  <w:pPr>
                    <w:jc w:val="left"/>
                    <w:rPr>
                      <w:rFonts w:ascii="Times New Roman" w:eastAsia="Times New Roman" w:hAnsi="Times New Roman"/>
                      <w:lang w:val="sr-Cyrl-RS"/>
                    </w:rPr>
                  </w:pPr>
                </w:p>
              </w:tc>
            </w:tr>
            <w:tr w:rsidR="0049786F" w:rsidRPr="00A5777C" w14:paraId="27363661" w14:textId="77777777" w:rsidTr="004A6680">
              <w:trPr>
                <w:gridAfter w:val="1"/>
                <w:wAfter w:w="7" w:type="dxa"/>
                <w:trHeight w:val="489"/>
              </w:trPr>
              <w:tc>
                <w:tcPr>
                  <w:tcW w:w="3336" w:type="dxa"/>
                  <w:vAlign w:val="center"/>
                </w:tcPr>
                <w:p w14:paraId="5F2823AB" w14:textId="1179B28F" w:rsidR="0049786F" w:rsidRPr="00942C70" w:rsidRDefault="0049786F" w:rsidP="0049786F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42C7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91" w:type="dxa"/>
                  <w:gridSpan w:val="3"/>
                </w:tcPr>
                <w:p w14:paraId="105EFDAB" w14:textId="77777777" w:rsidR="0049786F" w:rsidRPr="00A5777C" w:rsidRDefault="0049786F" w:rsidP="0049786F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9786F" w:rsidRPr="00A5777C" w14:paraId="7156D9DA" w14:textId="77777777" w:rsidTr="0049786F">
              <w:trPr>
                <w:gridAfter w:val="1"/>
                <w:wAfter w:w="7" w:type="dxa"/>
                <w:trHeight w:val="489"/>
              </w:trPr>
              <w:tc>
                <w:tcPr>
                  <w:tcW w:w="3336" w:type="dxa"/>
                  <w:vAlign w:val="center"/>
                </w:tcPr>
                <w:p w14:paraId="6A698D49" w14:textId="1144B2D3" w:rsidR="0049786F" w:rsidRPr="00A5777C" w:rsidRDefault="0049786F" w:rsidP="0049786F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5777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6E5E1FFB" w14:textId="6D2944C2" w:rsidR="0049786F" w:rsidRPr="00942C70" w:rsidRDefault="0049786F" w:rsidP="0049786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42C7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  <w:vAlign w:val="center"/>
                </w:tcPr>
                <w:p w14:paraId="2BFDC0B1" w14:textId="7D0D056F" w:rsidR="0049786F" w:rsidRPr="00942C70" w:rsidRDefault="0049786F" w:rsidP="0049786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591" w:type="dxa"/>
                  <w:vAlign w:val="center"/>
                </w:tcPr>
                <w:p w14:paraId="40D61E58" w14:textId="372A8756" w:rsidR="0049786F" w:rsidRPr="00A5777C" w:rsidRDefault="0049786F" w:rsidP="0049786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777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</w:t>
                  </w:r>
                </w:p>
              </w:tc>
            </w:tr>
            <w:tr w:rsidR="0049786F" w:rsidRPr="00A5777C" w14:paraId="60CAE94D" w14:textId="637CC081" w:rsidTr="0049786F">
              <w:trPr>
                <w:gridAfter w:val="1"/>
                <w:wAfter w:w="7" w:type="dxa"/>
                <w:trHeight w:val="489"/>
              </w:trPr>
              <w:tc>
                <w:tcPr>
                  <w:tcW w:w="3336" w:type="dxa"/>
                  <w:vAlign w:val="center"/>
                </w:tcPr>
                <w:p w14:paraId="3D2B67D3" w14:textId="618A1AE9" w:rsidR="0049786F" w:rsidRPr="00A5777C" w:rsidRDefault="00942C70" w:rsidP="0049786F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5777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Доказ о електронској уплати без печата банке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453AE7FD" w14:textId="0A37452D" w:rsidR="0049786F" w:rsidRPr="00942C70" w:rsidRDefault="0049786F" w:rsidP="0049786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FE2A2AF" w14:textId="22476B1A" w:rsidR="0049786F" w:rsidRPr="00942C70" w:rsidRDefault="0049786F" w:rsidP="0049786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42C7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91" w:type="dxa"/>
                  <w:vAlign w:val="center"/>
                </w:tcPr>
                <w:p w14:paraId="3488023F" w14:textId="28E49033" w:rsidR="0049786F" w:rsidRPr="00A5777C" w:rsidRDefault="0049786F" w:rsidP="0049786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9786F" w:rsidRPr="00A5777C" w14:paraId="1260207A" w14:textId="77777777" w:rsidTr="00123AE5">
              <w:trPr>
                <w:gridAfter w:val="1"/>
                <w:wAfter w:w="7" w:type="dxa"/>
                <w:trHeight w:val="489"/>
              </w:trPr>
              <w:tc>
                <w:tcPr>
                  <w:tcW w:w="3336" w:type="dxa"/>
                  <w:vAlign w:val="center"/>
                </w:tcPr>
                <w:p w14:paraId="74FF4FB0" w14:textId="365C41F3" w:rsidR="0049786F" w:rsidRPr="00942C70" w:rsidRDefault="0049786F" w:rsidP="0049786F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42C7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Време важења и издати акт/исправа</w:t>
                  </w:r>
                </w:p>
              </w:tc>
              <w:tc>
                <w:tcPr>
                  <w:tcW w:w="5491" w:type="dxa"/>
                  <w:gridSpan w:val="3"/>
                  <w:vAlign w:val="center"/>
                </w:tcPr>
                <w:p w14:paraId="0E4BF0C3" w14:textId="77777777" w:rsidR="0049786F" w:rsidRPr="00A5777C" w:rsidRDefault="0049786F" w:rsidP="0049786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9786F" w:rsidRPr="00972460" w14:paraId="3BF2869F" w14:textId="77777777" w:rsidTr="0049786F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205E48AA" w14:textId="53A24FA1" w:rsidR="0049786F" w:rsidRPr="00A5777C" w:rsidRDefault="0049786F" w:rsidP="0049786F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5777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Продужетак времена важења </w:t>
                  </w:r>
                </w:p>
              </w:tc>
              <w:tc>
                <w:tcPr>
                  <w:tcW w:w="1948" w:type="dxa"/>
                  <w:vAlign w:val="center"/>
                </w:tcPr>
                <w:p w14:paraId="5C16615F" w14:textId="5FBE89A7" w:rsidR="0049786F" w:rsidRPr="00942C70" w:rsidRDefault="0049786F" w:rsidP="0049786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42C7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</w:tcPr>
                <w:p w14:paraId="61A25B84" w14:textId="77777777" w:rsidR="0049786F" w:rsidRPr="00942C70" w:rsidRDefault="0049786F" w:rsidP="0049786F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598" w:type="dxa"/>
                  <w:gridSpan w:val="2"/>
                  <w:vAlign w:val="center"/>
                </w:tcPr>
                <w:p w14:paraId="2C9DC746" w14:textId="7596B575" w:rsidR="0049786F" w:rsidRPr="00A5777C" w:rsidRDefault="0049786F" w:rsidP="0049786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777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2</w:t>
                  </w:r>
                </w:p>
              </w:tc>
            </w:tr>
          </w:tbl>
          <w:p w14:paraId="6E28D8C5" w14:textId="0960D1A6" w:rsidR="00DC6965" w:rsidRPr="00972460" w:rsidRDefault="00DC6965" w:rsidP="00DC6965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C6965" w:rsidRPr="00972460" w14:paraId="0B4EEBB8" w14:textId="77777777" w:rsidTr="748068B1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DC6965" w:rsidRPr="00972460" w:rsidRDefault="00DC6965" w:rsidP="009A38F9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72460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DC6965" w:rsidRPr="00972460" w14:paraId="4C67EFD3" w14:textId="77777777" w:rsidTr="748068B1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2963C78" w14:textId="0BAE82C5" w:rsidR="00DC6965" w:rsidRDefault="00466F1C" w:rsidP="00DC6965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7246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3.1. Увођење обрасца захтева</w:t>
            </w:r>
          </w:p>
          <w:p w14:paraId="40DB73DE" w14:textId="77777777" w:rsidR="00942C70" w:rsidRPr="00972460" w:rsidRDefault="00942C70" w:rsidP="00DC6965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D1B0E52" w14:textId="7FF7440D" w:rsidR="00466F1C" w:rsidRDefault="00466F1C" w:rsidP="00942C7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>Препоручује се увођење обрасца за подношење захтева. Ово је могуће учинити без измене постојећих прописа или утврђивањем обрасца у подзаконском акту који би се евентуално донео да ближе уреди поступак доношења овог решења.</w:t>
            </w:r>
            <w:r w:rsidR="00BE7CD8"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Препорука је да министарство креира образац који би био јавно доступан на сајту министарства. Са тачно наведеним подацима који се траже у обрасцу подношење захтева ће бити транспарентније и једноставније за подносиоца захтева, а прегледније за службенике који ће лакше доћи до потребних података за одлучивање.</w:t>
            </w:r>
          </w:p>
          <w:p w14:paraId="37B1E895" w14:textId="77777777" w:rsidR="00942C70" w:rsidRDefault="00942C70" w:rsidP="00942C7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1BAD689" w14:textId="72361699" w:rsidR="0049786F" w:rsidRPr="00942C70" w:rsidRDefault="0049786F" w:rsidP="0049786F">
            <w:pPr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942C70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није</w:t>
            </w:r>
            <w:r w:rsidR="00800323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942C70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потребн</w:t>
            </w:r>
            <w:r w:rsidR="00800323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а</w:t>
            </w:r>
            <w:r w:rsidRPr="00942C70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измена прописа.</w:t>
            </w:r>
          </w:p>
          <w:p w14:paraId="3AFCDD19" w14:textId="77777777" w:rsidR="0049786F" w:rsidRPr="00972460" w:rsidRDefault="0049786F" w:rsidP="00DC6965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D6ED234" w14:textId="3F346F13" w:rsidR="00466F1C" w:rsidRDefault="00466F1C" w:rsidP="00BE7CD8">
            <w:pPr>
              <w:spacing w:before="24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7246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3.2. Прибављање података по службеној дужности и документација која се прибавља од странке</w:t>
            </w:r>
          </w:p>
          <w:p w14:paraId="473C2319" w14:textId="77777777" w:rsidR="00BE7CD8" w:rsidRPr="00972460" w:rsidRDefault="00BE7CD8" w:rsidP="00BE7CD8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поступању надлежног органа потребно је да орган,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података, а пре свега: </w:t>
            </w:r>
          </w:p>
          <w:p w14:paraId="674FDAAE" w14:textId="5EC285BD" w:rsidR="156DACC5" w:rsidRDefault="156DACC5" w:rsidP="156DACC5">
            <w:pPr>
              <w:pStyle w:val="ListParagraph"/>
              <w:numPr>
                <w:ilvl w:val="1"/>
                <w:numId w:val="29"/>
              </w:numPr>
              <w:spacing w:before="120" w:after="120"/>
              <w:rPr>
                <w:sz w:val="22"/>
                <w:szCs w:val="22"/>
                <w:lang w:val="sr-Cyrl-RS"/>
              </w:rPr>
            </w:pPr>
            <w:r w:rsidRPr="156DACC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Извод из листа непокретности - </w:t>
            </w:r>
            <w:r w:rsidRPr="156DAC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увидом у Катастар непокретности који води реистар непокретности</w:t>
            </w:r>
          </w:p>
          <w:p w14:paraId="4E880E79" w14:textId="349EF7C5" w:rsidR="156DACC5" w:rsidRDefault="156DACC5" w:rsidP="156DACC5">
            <w:pPr>
              <w:pStyle w:val="ListParagraph"/>
              <w:numPr>
                <w:ilvl w:val="1"/>
                <w:numId w:val="29"/>
              </w:numPr>
              <w:spacing w:before="120" w:after="120"/>
              <w:rPr>
                <w:sz w:val="22"/>
                <w:szCs w:val="22"/>
                <w:lang w:val="sr-Cyrl-RS"/>
              </w:rPr>
            </w:pPr>
            <w:r w:rsidRPr="156DACC5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Лична карта  - </w:t>
            </w:r>
            <w:r w:rsidRPr="156DAC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службеник који обрађује захтев треба након пријема захтева и увида о подацима о подносиоцу захтева који су наведени у обрасцу захтева да од Министарства унутрашњих посова прибавити по службеној дужности потребне податке.</w:t>
            </w:r>
          </w:p>
          <w:p w14:paraId="1368AEE5" w14:textId="51FD9844" w:rsidR="156DACC5" w:rsidRDefault="156DACC5" w:rsidP="156DACC5">
            <w:pPr>
              <w:pStyle w:val="ListParagraph"/>
              <w:numPr>
                <w:ilvl w:val="1"/>
                <w:numId w:val="29"/>
              </w:numPr>
              <w:spacing w:before="120" w:after="120"/>
              <w:rPr>
                <w:sz w:val="22"/>
                <w:szCs w:val="22"/>
                <w:lang w:val="sr-Cyrl-RS"/>
              </w:rPr>
            </w:pPr>
            <w:r w:rsidRPr="156DACC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Доказ да одговорно лице у правном лицу или код предузетника или физичко лице није кажњавано за кривична дела неовлашћене производње и стављање у промет опојних дрога, неовлашћено држање опојних дрога и омогућавање уживања опојних дрога из Кривичног законика - </w:t>
            </w:r>
            <w:r w:rsidRPr="156DAC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службеник који обрађује захтев треба након пријема захтева и увида о подацима о подносиоцу захтева који су наведени у обрасцу захтева да од Министарства унутрашњих посова прибавити по службеној дужности потребне податке.</w:t>
            </w:r>
          </w:p>
          <w:p w14:paraId="394DA647" w14:textId="6A5DD7B6" w:rsidR="00942C70" w:rsidRPr="0049786F" w:rsidRDefault="0049786F" w:rsidP="0049786F">
            <w:p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 w:rsidRPr="00942C70">
              <w:rPr>
                <w:rFonts w:ascii="Times New Roman" w:hAnsi="Times New Roman"/>
                <w:b/>
                <w:i/>
                <w:sz w:val="22"/>
                <w:lang w:val="sr-Cyrl-RS"/>
              </w:rPr>
              <w:t>За примену ове препоруке није потребна измена прописа.</w:t>
            </w:r>
          </w:p>
          <w:p w14:paraId="7BAFB3E1" w14:textId="72F0C064" w:rsidR="00466F1C" w:rsidRDefault="00466F1C" w:rsidP="00DC6965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7246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3.3. Елиминација непотребне документације</w:t>
            </w:r>
          </w:p>
          <w:p w14:paraId="1911AAED" w14:textId="77777777" w:rsidR="00942C70" w:rsidRPr="00972460" w:rsidRDefault="00942C70" w:rsidP="00DC6965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FDDAE53" w14:textId="37F79369" w:rsidR="00F96202" w:rsidRPr="00972460" w:rsidRDefault="00F96202" w:rsidP="00942C7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Укинути обавезу да се приликом подношења захтева доставља Уговор о производњи и откупу конопље, већ да произвођач има обавезу да обавести Министарство о купцу по уговарању продаје. Наиме, обавеза да се унапред мора одредити купац произвођаче ставља у неповољан положај, јер услови на тржишту у тренутку продаје могу бити значајно бољи него они договорени унапред.</w:t>
            </w:r>
          </w:p>
          <w:p w14:paraId="2FDEE8C1" w14:textId="1556C45B" w:rsidR="00F96202" w:rsidRDefault="00F96202" w:rsidP="00942C7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Укинути обавезу да је уз захтев потребно доставити и податке о семену које ће се користити, што је захтев који није оправдан, будући да је прописима (члан 2. и члан 3. став 1. Правилника) утврђено који услови морају бити испуњени у погледу сорте, начина производње, дораде, паковања и декларисања семена.</w:t>
            </w:r>
          </w:p>
          <w:p w14:paraId="3CB79447" w14:textId="77777777" w:rsidR="00942C70" w:rsidRDefault="00942C70" w:rsidP="00942C7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4418F40" w14:textId="743DB9D9" w:rsidR="0049786F" w:rsidRPr="00942C70" w:rsidRDefault="0049786F" w:rsidP="00DC6965">
            <w:pPr>
              <w:jc w:val="left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942C70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За примену ове препоруке, потребне су измене и допуне Закона о </w:t>
            </w:r>
            <w:r w:rsidRPr="00942C70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психоактивним контролисаним супстанцама</w:t>
            </w:r>
            <w:r w:rsidRPr="00942C70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.</w:t>
            </w:r>
          </w:p>
          <w:p w14:paraId="19370A0F" w14:textId="7FF6E044" w:rsidR="00466F1C" w:rsidRPr="00972460" w:rsidRDefault="00466F1C" w:rsidP="00F96202">
            <w:pPr>
              <w:spacing w:before="24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7246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3.4. Продужетак времена важења</w:t>
            </w:r>
          </w:p>
          <w:p w14:paraId="3D0686F1" w14:textId="77777777" w:rsidR="00F96202" w:rsidRPr="00972460" w:rsidRDefault="00F96202" w:rsidP="00DC6965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9BBADD5" w14:textId="69C02AA0" w:rsidR="00F96202" w:rsidRDefault="00FB4676" w:rsidP="00942C7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Полазећи од тога да важење дозволе од 12 месеци оптерећује подносиоце захтева компликованим администрирањем и отежава планирање пољопривредне производње, предлаже се продужење рока важења дозволе на три године. </w:t>
            </w:r>
          </w:p>
          <w:p w14:paraId="0C303D3B" w14:textId="77777777" w:rsidR="00942C70" w:rsidRDefault="00942C70" w:rsidP="00942C7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8DC82F8" w14:textId="450E04D6" w:rsidR="0049786F" w:rsidRPr="00942C70" w:rsidRDefault="0049786F" w:rsidP="00DC6965">
            <w:pPr>
              <w:jc w:val="left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942C70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препоруке, потребне су измене и допуне Правилника о условима за гајење конопље.</w:t>
            </w:r>
          </w:p>
          <w:p w14:paraId="4D4C5EC6" w14:textId="05DCB3B7" w:rsidR="0049786F" w:rsidRDefault="0049786F" w:rsidP="00DC6965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50AB3F7" w14:textId="33C55B3C" w:rsidR="0049786F" w:rsidRDefault="0049786F" w:rsidP="0049786F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3.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5</w:t>
            </w:r>
            <w:r w:rsidRPr="003458B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 Документација</w:t>
            </w:r>
          </w:p>
          <w:p w14:paraId="5636E584" w14:textId="3549CE49" w:rsidR="00942C70" w:rsidRPr="003458B3" w:rsidRDefault="00942C70" w:rsidP="0049786F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6A6B405" w14:textId="06817479" w:rsidR="0049786F" w:rsidRDefault="0049786F" w:rsidP="0049786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промена форме докумената – доказа о уплати републичк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их</w:t>
            </w: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административн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их</w:t>
            </w: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такс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, из оригинала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 односно оверене копије,</w:t>
            </w: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копију извода са пословног рачуна странке без печата банке, у складу са мишљењем Министарства финансија бр. 434-01-7/07-04 од 25.05.2009. године у коме се наводи да је извод са пословног рачуна странке без печата банке, валидан доказ о уплати таксе.</w:t>
            </w:r>
          </w:p>
          <w:p w14:paraId="109DDC03" w14:textId="2F5E0174" w:rsidR="00942C70" w:rsidRDefault="00942C70" w:rsidP="0049786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454DA84" w14:textId="6BB5B610" w:rsidR="0049786F" w:rsidRDefault="0049786F" w:rsidP="0049786F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942C70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35167089" w14:textId="77777777" w:rsidR="00FB73CE" w:rsidRPr="00942C70" w:rsidRDefault="00FB73CE" w:rsidP="0049786F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064FC45C" w14:textId="3AC19B4E" w:rsidR="0049786F" w:rsidRPr="00877BA4" w:rsidRDefault="001B21FC" w:rsidP="0049786F">
            <w:pPr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  <w:r w:rsidRPr="00877BA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У</w:t>
            </w:r>
            <w:r w:rsidR="00877BA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</w:t>
            </w:r>
            <w:r w:rsidRPr="00877BA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рава за заштиту биља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  </w:t>
            </w:r>
          </w:p>
          <w:p w14:paraId="18250156" w14:textId="77777777" w:rsidR="001B21FC" w:rsidRPr="001B21FC" w:rsidRDefault="001B21FC" w:rsidP="0049786F">
            <w:pPr>
              <w:rPr>
                <w:rFonts w:ascii="Times New Roman" w:hAnsi="Times New Roman"/>
                <w:sz w:val="22"/>
                <w:szCs w:val="22"/>
                <w:lang w:val="sr-Latn-RS"/>
              </w:rPr>
            </w:pPr>
          </w:p>
          <w:p w14:paraId="3D2CBF0F" w14:textId="568D7572" w:rsidR="0049786F" w:rsidRDefault="0049786F" w:rsidP="0049786F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3.6. </w:t>
            </w:r>
            <w:r w:rsidRPr="003458B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Подношење електронск</w:t>
            </w:r>
            <w:r w:rsidR="00942C7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ог</w:t>
            </w:r>
            <w:r w:rsidRPr="003458B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захтева странке</w:t>
            </w:r>
          </w:p>
          <w:p w14:paraId="1DEB165A" w14:textId="77777777" w:rsidR="00942C70" w:rsidRPr="003458B3" w:rsidRDefault="00942C70" w:rsidP="0049786F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8AA80C8" w14:textId="77777777" w:rsidR="0049786F" w:rsidRPr="003458B3" w:rsidRDefault="0049786F" w:rsidP="0049786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Законом о општем управном поступку („Сл. гласник РС“, бр. 18/2016), чл. 56, предвиђено је електронско општење између органа и странака, а чланом 39. Закона о електронској управи ("Сл. гласник РС", број 27/2018), који ће се примењивати од октобра 2019. 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401B6CCC" w14:textId="317B25F9" w:rsidR="0049786F" w:rsidRDefault="0049786F" w:rsidP="0049786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омогућавање електронског подношења захтева.</w:t>
            </w:r>
          </w:p>
          <w:p w14:paraId="5C6C9CA5" w14:textId="77777777" w:rsidR="00942C70" w:rsidRPr="003458B3" w:rsidRDefault="00942C70" w:rsidP="0049786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5A112E0" w14:textId="77777777" w:rsidR="00466F1C" w:rsidRDefault="0049786F" w:rsidP="00942C70">
            <w:pPr>
              <w:jc w:val="left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942C70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19744195" w14:textId="77777777" w:rsidR="00942C70" w:rsidRDefault="00942C70" w:rsidP="00942C70">
            <w:pPr>
              <w:jc w:val="left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3EAB4AF8" w14:textId="3F5E2312" w:rsidR="00942C70" w:rsidRPr="00972460" w:rsidRDefault="00942C70" w:rsidP="00942C70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DC6965" w:rsidRPr="00972460" w14:paraId="52C990E5" w14:textId="77777777" w:rsidTr="748068B1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DC6965" w:rsidRPr="00972460" w:rsidRDefault="00DC6965" w:rsidP="009A38F9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72460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DC6965" w:rsidRPr="00972460" w14:paraId="077D3505" w14:textId="77777777" w:rsidTr="748068B1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FB19CCC" w14:textId="604C2313" w:rsidR="00F96202" w:rsidRPr="00A5777C" w:rsidRDefault="00A5777C" w:rsidP="00A5777C">
            <w:pPr>
              <w:pStyle w:val="ListParagraph"/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bookmarkStart w:id="2" w:name="_Hlk528440038"/>
            <w:r w:rsidRPr="00A5777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1.</w:t>
            </w:r>
          </w:p>
          <w:p w14:paraId="2D295E53" w14:textId="77777777" w:rsidR="00A5777C" w:rsidRPr="00A5777C" w:rsidRDefault="00D903FF" w:rsidP="00A5777C">
            <w:pPr>
              <w:spacing w:before="120" w:after="120"/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5777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НАЦРТ </w:t>
            </w:r>
          </w:p>
          <w:p w14:paraId="16ADAA18" w14:textId="77777777" w:rsidR="00A5777C" w:rsidRPr="00A5777C" w:rsidRDefault="00F96202" w:rsidP="00F96202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5777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ЗАКОН О ИЗМЕН</w:t>
            </w:r>
            <w:r w:rsidR="00D903FF" w:rsidRPr="00A5777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И</w:t>
            </w:r>
            <w:r w:rsidRPr="00A5777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ЗАКОНА О ПСИХОАКТИВНИМ </w:t>
            </w:r>
          </w:p>
          <w:p w14:paraId="13AA522C" w14:textId="1F6319E3" w:rsidR="00F96202" w:rsidRPr="00A5777C" w:rsidRDefault="00F96202" w:rsidP="00F96202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5777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КОНТРОЛИСАНИМ СУПСТАНЦАМА</w:t>
            </w:r>
          </w:p>
          <w:bookmarkEnd w:id="2"/>
          <w:p w14:paraId="2041CC78" w14:textId="472EE58F" w:rsidR="00CD3805" w:rsidRDefault="00CD3805" w:rsidP="00CD3805">
            <w:pPr>
              <w:pStyle w:val="ListParagraph"/>
              <w:spacing w:before="240" w:after="12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3494B136" w14:textId="0334A53E" w:rsidR="00353443" w:rsidRPr="00972460" w:rsidRDefault="00DE5000" w:rsidP="007D7F8C">
            <w:pPr>
              <w:pStyle w:val="ListParagraph"/>
              <w:spacing w:before="240" w:after="120"/>
              <w:ind w:left="0"/>
              <w:contextualSpacing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  </w:t>
            </w:r>
            <w:r w:rsidR="00CD38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 </w:t>
            </w:r>
            <w:r w:rsidRPr="0097246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353443" w:rsidRPr="0097246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Закону </w:t>
            </w:r>
            <w:r w:rsidR="00353443"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 психоактивним контролисаним супстанцама ("Службени гласник РС", </w:t>
            </w:r>
            <w:r w:rsidR="007A7A4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бр. </w:t>
            </w:r>
            <w:r w:rsidR="007A7A45" w:rsidRPr="00E07B99">
              <w:rPr>
                <w:rFonts w:ascii="Times New Roman" w:hAnsi="Times New Roman"/>
                <w:sz w:val="22"/>
                <w:szCs w:val="22"/>
                <w:lang w:val="sr-Cyrl-RS"/>
              </w:rPr>
              <w:t>99/10</w:t>
            </w:r>
            <w:r w:rsidR="007A7A4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="007A7A45" w:rsidRPr="00E07B99">
              <w:rPr>
                <w:rFonts w:ascii="Times New Roman" w:hAnsi="Times New Roman"/>
                <w:sz w:val="22"/>
                <w:szCs w:val="22"/>
                <w:lang w:val="sr-Cyrl-RS"/>
              </w:rPr>
              <w:t>57/18</w:t>
            </w:r>
            <w:r w:rsidR="00353443"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) у </w:t>
            </w:r>
            <w:r w:rsidR="00F96202"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>члану</w:t>
            </w:r>
            <w:r w:rsidR="00353443"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60. став 3. бриш</w:t>
            </w:r>
            <w:r w:rsidR="007025CA"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="00353443"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се.</w:t>
            </w:r>
            <w:r w:rsidR="007A7A4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BBF56EF" w14:textId="6E1FF470" w:rsidR="00CD3805" w:rsidRDefault="00DE5000" w:rsidP="007D7F8C">
            <w:pPr>
              <w:pStyle w:val="ListParagraph"/>
              <w:spacing w:before="240" w:after="120"/>
              <w:ind w:lef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     </w:t>
            </w:r>
            <w:r w:rsidR="00353443" w:rsidRPr="0097246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Досадашњи став </w:t>
            </w:r>
            <w:r w:rsidR="007025CA" w:rsidRPr="0097246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4</w:t>
            </w:r>
            <w:r w:rsidR="00353443" w:rsidRPr="0097246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постаје став 3. </w:t>
            </w:r>
          </w:p>
          <w:p w14:paraId="3BDC8717" w14:textId="73EA731E" w:rsidR="00CD3805" w:rsidRDefault="00CD3805" w:rsidP="007D7F8C">
            <w:pPr>
              <w:pStyle w:val="ListParagraph"/>
              <w:spacing w:before="240" w:after="12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044F43A2" w14:textId="34B92F98" w:rsidR="00CD3805" w:rsidRPr="00972460" w:rsidRDefault="00CD3805" w:rsidP="007D7F8C">
            <w:pPr>
              <w:pStyle w:val="ListParagraph"/>
              <w:spacing w:before="240" w:after="120"/>
              <w:ind w:lef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   </w:t>
            </w:r>
            <w:r w:rsidRPr="009A366A">
              <w:rPr>
                <w:rFonts w:ascii="Times New Roman" w:hAnsi="Times New Roman"/>
                <w:sz w:val="22"/>
                <w:szCs w:val="22"/>
                <w:lang w:val="sr-Cyrl-RS"/>
              </w:rPr>
              <w:t>Овај закон ступа на снагу осмог дана од дана објављивања у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9A366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„Службеном гласнику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Р</w:t>
            </w:r>
            <w:r w:rsidRPr="009A366A">
              <w:rPr>
                <w:rFonts w:ascii="Times New Roman" w:hAnsi="Times New Roman"/>
                <w:sz w:val="22"/>
                <w:szCs w:val="22"/>
                <w:lang w:val="sr-Cyrl-RS"/>
              </w:rPr>
              <w:t>епублике Србије”.</w:t>
            </w:r>
          </w:p>
          <w:p w14:paraId="72BCB46C" w14:textId="63EA7235" w:rsidR="00FB4676" w:rsidRPr="00A5777C" w:rsidRDefault="00A5777C" w:rsidP="00A5777C">
            <w:pPr>
              <w:pStyle w:val="ListParagraph"/>
              <w:spacing w:before="240" w:after="120"/>
              <w:ind w:left="0"/>
              <w:contextualSpacing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5777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2.</w:t>
            </w:r>
          </w:p>
          <w:p w14:paraId="7A5B7F0A" w14:textId="77777777" w:rsidR="00CD3805" w:rsidRPr="00972460" w:rsidRDefault="00CD3805" w:rsidP="007D7F8C">
            <w:pPr>
              <w:pStyle w:val="ListParagraph"/>
              <w:spacing w:before="240" w:after="120"/>
              <w:ind w:lef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42C4115" w14:textId="77777777" w:rsidR="00A5777C" w:rsidRPr="00A5777C" w:rsidRDefault="00D903FF" w:rsidP="00A5777C">
            <w:pPr>
              <w:spacing w:before="120" w:after="120"/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5777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НАЦРТ </w:t>
            </w:r>
          </w:p>
          <w:p w14:paraId="56FF2583" w14:textId="77777777" w:rsidR="00A5777C" w:rsidRPr="00A5777C" w:rsidRDefault="00FB4676" w:rsidP="007D7F8C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5777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ПРАВИЛНИК О ИЗМЕНАМА ПРАВИЛНИКА</w:t>
            </w:r>
          </w:p>
          <w:p w14:paraId="4C628905" w14:textId="154EEA55" w:rsidR="00FB4676" w:rsidRPr="00A5777C" w:rsidRDefault="00FB4676" w:rsidP="007D7F8C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5777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О УСЛОВИМА ЗА ГАЈЕЊЕ КОНОПЉЕ</w:t>
            </w:r>
          </w:p>
          <w:p w14:paraId="6F726FF2" w14:textId="77777777" w:rsidR="00CD3805" w:rsidRDefault="00FB4676" w:rsidP="007D7F8C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</w:t>
            </w:r>
          </w:p>
          <w:p w14:paraId="18150015" w14:textId="1410D9FE" w:rsidR="00CD3805" w:rsidRDefault="00CD3805" w:rsidP="007D7F8C">
            <w:pPr>
              <w:pStyle w:val="ListParagraph"/>
              <w:spacing w:before="120" w:after="120"/>
              <w:ind w:left="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7B2F7355" w14:textId="1E83BE94" w:rsidR="00FB4676" w:rsidRDefault="007A7A45" w:rsidP="007D7F8C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</w:t>
            </w:r>
            <w:r w:rsidR="00CD380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</w:t>
            </w:r>
            <w:r w:rsidR="00FB4676"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Правилнику о условима за гајење конопље ("Службени гласник РС",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бр. </w:t>
            </w:r>
            <w:r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>64/13</w:t>
            </w:r>
            <w:r w:rsidR="00FB4676"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>), у</w:t>
            </w:r>
            <w:r w:rsidR="00FB4676" w:rsidRPr="0097246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члану 5. став 1. тачка 4) брише се.</w:t>
            </w:r>
          </w:p>
          <w:p w14:paraId="3F32E991" w14:textId="1F372330" w:rsidR="00CD3805" w:rsidRDefault="00CD3805" w:rsidP="007D7F8C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6688102" w14:textId="780BC487" w:rsidR="00FB4676" w:rsidRPr="00972460" w:rsidRDefault="00CD3805" w:rsidP="007D7F8C">
            <w:pPr>
              <w:pStyle w:val="ListParagraph"/>
              <w:spacing w:before="120" w:after="120"/>
              <w:ind w:left="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1245F0C7" w14:textId="6943EE75" w:rsidR="00FB4676" w:rsidRDefault="00FB4676" w:rsidP="007D7F8C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</w:t>
            </w:r>
            <w:r w:rsidR="007A7A4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</w:t>
            </w:r>
            <w:r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члану 7. став 1. речи „једну производну годину“ се замењују речима „три производне године“.</w:t>
            </w:r>
          </w:p>
          <w:p w14:paraId="46B17BB4" w14:textId="77777777" w:rsidR="00CD3805" w:rsidRDefault="00CD3805" w:rsidP="007D7F8C">
            <w:pPr>
              <w:pStyle w:val="ListParagraph"/>
              <w:spacing w:before="240" w:after="12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Члан 3.</w:t>
            </w:r>
          </w:p>
          <w:p w14:paraId="0F1E48B1" w14:textId="77777777" w:rsidR="00CD3805" w:rsidRPr="00811BAB" w:rsidRDefault="00CD3805" w:rsidP="007D7F8C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    </w:t>
            </w:r>
            <w:r w:rsidRPr="009A366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Овај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</w:t>
            </w:r>
            <w:r w:rsidRPr="009A366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ступа на снагу осмог дана од дана објављивања у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9A366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„Службеном гласнику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Р</w:t>
            </w:r>
            <w:r w:rsidRPr="009A366A">
              <w:rPr>
                <w:rFonts w:ascii="Times New Roman" w:hAnsi="Times New Roman"/>
                <w:sz w:val="22"/>
                <w:szCs w:val="22"/>
                <w:lang w:val="sr-Cyrl-RS"/>
              </w:rPr>
              <w:t>епублике Србије”.</w:t>
            </w:r>
          </w:p>
          <w:p w14:paraId="39763933" w14:textId="6C2E48F3" w:rsidR="00CD3805" w:rsidRPr="00972460" w:rsidRDefault="00CD3805" w:rsidP="00FB4676">
            <w:pPr>
              <w:pStyle w:val="ListParagraph"/>
              <w:spacing w:before="240" w:after="12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DC6965" w:rsidRPr="00972460" w14:paraId="0489C5FC" w14:textId="77777777" w:rsidTr="748068B1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DC6965" w:rsidRPr="00972460" w:rsidRDefault="00DC6965" w:rsidP="009A38F9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72460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DC6965" w:rsidRPr="00972460" w14:paraId="3C4DDA6A" w14:textId="77777777" w:rsidTr="748068B1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9987325" w14:textId="0F808D42" w:rsidR="00DC6965" w:rsidRPr="00972460" w:rsidRDefault="00A5777C" w:rsidP="00A5777C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1.</w:t>
            </w:r>
          </w:p>
          <w:p w14:paraId="4EB993B0" w14:textId="2716894D" w:rsidR="00FB4676" w:rsidRPr="00A5777C" w:rsidRDefault="00D903FF" w:rsidP="007A7A45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5777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ПРЕГЛЕД ОДРЕДБИ</w:t>
            </w:r>
            <w:r w:rsidR="007025CA" w:rsidRPr="00A5777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ЗАКОНА О ПСИХОАКТИВНИМ КОНТРОЛИСАНИМ СУПСТАНЦАМА</w:t>
            </w:r>
            <w:r w:rsidRPr="00A5777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КОЈЕ СЕ МЕЊАЈУ </w:t>
            </w:r>
          </w:p>
          <w:p w14:paraId="4C4C1F3C" w14:textId="77777777" w:rsidR="00FB4676" w:rsidRPr="00972460" w:rsidRDefault="00FB4676" w:rsidP="00DC6965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F572D12" w14:textId="77777777" w:rsidR="00FB4676" w:rsidRPr="00972460" w:rsidRDefault="00FB4676" w:rsidP="00FB4676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Дозвољено гајење конопље</w:t>
            </w:r>
          </w:p>
          <w:p w14:paraId="6E68D112" w14:textId="77777777" w:rsidR="00FB4676" w:rsidRPr="00972460" w:rsidRDefault="00FB4676" w:rsidP="00FB4676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Члан 60.</w:t>
            </w:r>
          </w:p>
          <w:p w14:paraId="46298EF5" w14:textId="77777777" w:rsidR="00FB4676" w:rsidRPr="00972460" w:rsidRDefault="00FB4676" w:rsidP="00FB4676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Дозвољено је гајење конопље (Cannabis) само ради производње влакана, производње семена за исхрану животиња, даљег размножавања, прераде, испитивања квалитета семена, као и његовог промета.</w:t>
            </w:r>
          </w:p>
          <w:p w14:paraId="435E2ABD" w14:textId="77777777" w:rsidR="00FB4676" w:rsidRPr="00972460" w:rsidRDefault="00FB4676" w:rsidP="00FB4676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Дозвољено је гајење конопље само правном, односно физичком лицу које има дозволу коју је издало министарство надлежно за послове пољопривреде.</w:t>
            </w:r>
          </w:p>
          <w:p w14:paraId="0E9A776B" w14:textId="77777777" w:rsidR="00FB4676" w:rsidRPr="00972460" w:rsidRDefault="00FB4676" w:rsidP="00FB4676">
            <w:pPr>
              <w:spacing w:after="150"/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strike/>
                <w:color w:val="000000"/>
                <w:sz w:val="22"/>
                <w:szCs w:val="22"/>
                <w:lang w:val="sr-Cyrl-RS"/>
              </w:rPr>
              <w:t>Дозвола из става 2. овог члана може да се изда само ако је склопљен уговор о производњи и откупу конопље с правним лицем које је регистровано за откуп и производњу конопље, односно за обављање делатности из става 1. овог члана.</w:t>
            </w:r>
          </w:p>
          <w:p w14:paraId="56E406C8" w14:textId="77777777" w:rsidR="00FB4676" w:rsidRPr="00972460" w:rsidRDefault="00FB4676" w:rsidP="00FB4676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Дозвола из става 2. овог члана може да се изда и правном лицу које гаји конопљу ако је то правно лице регистровано за откуп и производњу конопље, односно за обављање делатности из става 1. овог члана.</w:t>
            </w:r>
          </w:p>
          <w:p w14:paraId="04E5085E" w14:textId="77777777" w:rsidR="00FB4676" w:rsidRPr="00972460" w:rsidRDefault="00FB4676" w:rsidP="00FB4676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Министар надлежан за послове пољопривреде прописује:</w:t>
            </w:r>
          </w:p>
          <w:p w14:paraId="617EAC3A" w14:textId="77777777" w:rsidR="00FB4676" w:rsidRPr="00972460" w:rsidRDefault="00FB4676" w:rsidP="00FB4676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1) сорту конопље (Cannabis) коју је дозвољено гајити;</w:t>
            </w:r>
          </w:p>
          <w:p w14:paraId="53A2221C" w14:textId="77777777" w:rsidR="00FB4676" w:rsidRPr="00972460" w:rsidRDefault="00FB4676" w:rsidP="00FB4676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2) услове које мора испуњавати правно или физичко лице за добијање дозволе за гајење конопље;</w:t>
            </w:r>
          </w:p>
          <w:p w14:paraId="0E035B60" w14:textId="77777777" w:rsidR="00FB4676" w:rsidRPr="00972460" w:rsidRDefault="00FB4676" w:rsidP="00FB4676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3) начин издавања и рок важења дозволе, као и трошкове издавања дозволе за гајење конопље (Cannabis);</w:t>
            </w:r>
          </w:p>
          <w:p w14:paraId="31D52521" w14:textId="77777777" w:rsidR="00FB4676" w:rsidRPr="00972460" w:rsidRDefault="00FB4676" w:rsidP="00FB4676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4) остале услове за дозвољено гајење конопље (Cannabis) у складу са законом.</w:t>
            </w:r>
          </w:p>
          <w:p w14:paraId="58FE1FC1" w14:textId="77777777" w:rsidR="00FB4676" w:rsidRPr="00972460" w:rsidRDefault="00FB4676" w:rsidP="00FB4676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Лице из става 2. овог члана дужно је да обавести министарство надлежно за унутрашње послове и министарство надлежно за послове пољопривреде о свакој околности која указује на могућност да су конопља или делови конопље употребљени или да би могли бити употребљени за недозвољену производњу психоактивних контролисаних супстанци.</w:t>
            </w:r>
          </w:p>
          <w:p w14:paraId="281514DE" w14:textId="4FC78D4D" w:rsidR="00FB4676" w:rsidRPr="00972460" w:rsidRDefault="00FB4676" w:rsidP="00FB4676">
            <w:pPr>
              <w:spacing w:after="15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Министарство надлежно за послове пољопривреде обавештава Министарство о обављеној контроли гајења конопље.</w:t>
            </w:r>
          </w:p>
          <w:p w14:paraId="35849CF6" w14:textId="13BF0413" w:rsidR="007025CA" w:rsidRPr="00A5777C" w:rsidRDefault="00A5777C" w:rsidP="00A5777C">
            <w:pPr>
              <w:spacing w:after="15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5777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2.</w:t>
            </w:r>
          </w:p>
          <w:p w14:paraId="220C082C" w14:textId="77777777" w:rsidR="00A5777C" w:rsidRPr="00A5777C" w:rsidRDefault="00D903FF" w:rsidP="007025CA">
            <w:pPr>
              <w:spacing w:after="15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5777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ПРЕГЛЕД ОДРЕДБИ</w:t>
            </w:r>
            <w:r w:rsidR="007025CA" w:rsidRPr="00A5777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ПРАВИЛНИКА О УСЛОВИМА ЗА </w:t>
            </w:r>
          </w:p>
          <w:p w14:paraId="4ADF5680" w14:textId="42A24D76" w:rsidR="007025CA" w:rsidRPr="00972460" w:rsidRDefault="007025CA" w:rsidP="007025CA">
            <w:pPr>
              <w:spacing w:after="15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777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ГАЈЕЊЕ КОНОПЉЕ</w:t>
            </w:r>
            <w:r w:rsidR="00D903FF" w:rsidRPr="00A5777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КОЈЕ СЕ МЕЊАЈУ</w:t>
            </w:r>
          </w:p>
          <w:p w14:paraId="735091F2" w14:textId="77777777" w:rsidR="007A7A45" w:rsidRDefault="007A7A45" w:rsidP="007025CA">
            <w:pPr>
              <w:spacing w:after="12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024F6C12" w14:textId="225D60A0" w:rsidR="007025CA" w:rsidRPr="00972460" w:rsidRDefault="007025CA" w:rsidP="007025CA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Члан 5.</w:t>
            </w:r>
          </w:p>
          <w:p w14:paraId="3BF1B340" w14:textId="77777777" w:rsidR="007025CA" w:rsidRPr="00972460" w:rsidRDefault="007025CA" w:rsidP="007025CA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lastRenderedPageBreak/>
              <w:t>Захтев садржи:</w:t>
            </w:r>
          </w:p>
          <w:p w14:paraId="42766762" w14:textId="77777777" w:rsidR="007025CA" w:rsidRPr="00972460" w:rsidRDefault="007025CA" w:rsidP="007025CA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1) назив, седиште и матични број правног лица или предузетника из решења о регистрацији у Регистар привредних субјеката, односно име, адресу физичког лица и јединствени матични број грађана и број телефона за контакт;</w:t>
            </w:r>
          </w:p>
          <w:p w14:paraId="5368EFDE" w14:textId="77777777" w:rsidR="007025CA" w:rsidRPr="00972460" w:rsidRDefault="007025CA" w:rsidP="007025CA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2) сврху гајења конопље;</w:t>
            </w:r>
          </w:p>
          <w:p w14:paraId="7BC70C9C" w14:textId="77777777" w:rsidR="007025CA" w:rsidRPr="00972460" w:rsidRDefault="007025CA" w:rsidP="007025CA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3) податке о парцели (власништво, основ коришћења, катастарска општина, потес, број катастарске парцеле и површина на којој се планира гајење конопље);</w:t>
            </w:r>
          </w:p>
          <w:p w14:paraId="1E3BAB45" w14:textId="77777777" w:rsidR="007025CA" w:rsidRPr="00972460" w:rsidRDefault="007025CA" w:rsidP="007025CA">
            <w:pPr>
              <w:spacing w:after="150"/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strike/>
                <w:color w:val="000000"/>
                <w:sz w:val="22"/>
                <w:szCs w:val="22"/>
                <w:lang w:val="sr-Cyrl-RS"/>
              </w:rPr>
              <w:t>4) податке о семену конопље које ће се користити за сетву (назив сорте, категорија и количина семена);</w:t>
            </w:r>
          </w:p>
          <w:p w14:paraId="72262D70" w14:textId="77777777" w:rsidR="007025CA" w:rsidRPr="00972460" w:rsidRDefault="007025CA" w:rsidP="007025CA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5) планирани датум сетве и жетве;</w:t>
            </w:r>
          </w:p>
          <w:p w14:paraId="3DAA0472" w14:textId="77777777" w:rsidR="007025CA" w:rsidRPr="00972460" w:rsidRDefault="007025CA" w:rsidP="007025CA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6) изјаву подносиоца захтева да је упознат са одредбама члана 87. Закона о психоактивним контролисаним супстанцама („Службени гласник РС”, број 99/10);</w:t>
            </w:r>
          </w:p>
          <w:p w14:paraId="3E794C7A" w14:textId="77777777" w:rsidR="007025CA" w:rsidRPr="00972460" w:rsidRDefault="007025CA" w:rsidP="007025CA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7) датум подношења захтева и потпис подносиоца захтева.</w:t>
            </w:r>
          </w:p>
          <w:p w14:paraId="72A00819" w14:textId="77777777" w:rsidR="007025CA" w:rsidRPr="00972460" w:rsidRDefault="007025CA" w:rsidP="007025CA">
            <w:pPr>
              <w:spacing w:after="12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15455E4C" w14:textId="77777777" w:rsidR="007025CA" w:rsidRPr="00972460" w:rsidRDefault="007025CA" w:rsidP="007025CA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Члан 7.</w:t>
            </w:r>
          </w:p>
          <w:p w14:paraId="213F572A" w14:textId="26DFE04A" w:rsidR="007025CA" w:rsidRPr="00972460" w:rsidRDefault="007025CA" w:rsidP="007025CA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Дозвола за гајење конопље важи </w:t>
            </w:r>
            <w:r w:rsidRPr="00972460">
              <w:rPr>
                <w:rFonts w:ascii="Times New Roman" w:hAnsi="Times New Roman"/>
                <w:strike/>
                <w:color w:val="000000"/>
                <w:sz w:val="22"/>
                <w:szCs w:val="22"/>
                <w:lang w:val="sr-Cyrl-RS"/>
              </w:rPr>
              <w:t>једну производну годину</w:t>
            </w:r>
            <w:r w:rsidRPr="0097246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972460">
              <w:rPr>
                <w:rFonts w:ascii="Times New Roman" w:hAnsi="Times New Roman"/>
                <w:sz w:val="22"/>
                <w:szCs w:val="22"/>
                <w:lang w:val="sr-Cyrl-RS"/>
              </w:rPr>
              <w:t>ТРИ ПРОИЗВОДНЕ ГОДИНЕ</w:t>
            </w:r>
            <w:r w:rsidRPr="0097246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и садржи податке из члана 5. тач. 1)–5) овог правилника.</w:t>
            </w:r>
          </w:p>
          <w:p w14:paraId="15FF99A9" w14:textId="77777777" w:rsidR="007025CA" w:rsidRPr="00972460" w:rsidRDefault="007025CA" w:rsidP="007025CA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По примерак дозволе за гајење конопље доставља се министарству надлежном за послове здравља и министарству надлежном за унутрашње послове.</w:t>
            </w:r>
          </w:p>
          <w:p w14:paraId="09B6B31A" w14:textId="77777777" w:rsidR="007025CA" w:rsidRPr="00972460" w:rsidRDefault="007025CA" w:rsidP="007025CA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2460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Трошкови издавања дозволе за гајење конопље обухватају таксу за поступак по захтеву и таксу за издавање решења, односно дозволе за гајење конопље које су прописане законом којим се уређују републичке административне таксе.</w:t>
            </w:r>
          </w:p>
          <w:p w14:paraId="2E760FF8" w14:textId="77777777" w:rsidR="007025CA" w:rsidRPr="00972460" w:rsidRDefault="007025CA" w:rsidP="00FB4676">
            <w:pPr>
              <w:spacing w:after="150"/>
              <w:rPr>
                <w:sz w:val="22"/>
                <w:szCs w:val="22"/>
                <w:lang w:val="sr-Cyrl-RS"/>
              </w:rPr>
            </w:pPr>
          </w:p>
          <w:p w14:paraId="1506ADFF" w14:textId="4063B60E" w:rsidR="00FB4676" w:rsidRPr="00972460" w:rsidRDefault="00FB4676" w:rsidP="00DC6965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DC6965" w:rsidRPr="00972460" w14:paraId="429F5407" w14:textId="77777777" w:rsidTr="748068B1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DC6965" w:rsidRPr="00972460" w:rsidRDefault="00DC6965" w:rsidP="009A38F9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72460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DC6965" w:rsidRPr="00972460" w14:paraId="72BD2239" w14:textId="77777777" w:rsidTr="748068B1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4DE4BC" w14:textId="77777777" w:rsidR="00A5777C" w:rsidRDefault="00A5777C" w:rsidP="00A5777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E621446" w14:textId="77777777" w:rsidR="00A5777C" w:rsidRPr="00A5777C" w:rsidRDefault="00A5777C" w:rsidP="00A5777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77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99.010,30 РСД. Усвајање и примена препорука ће донети привредним субјектима годишње директне уштеде од 73.358,99 РСД или 603,17 ЕУР. Ове уштеде износе 74,09% укупних директних трошкова привредних субјеката у поступку.</w:t>
            </w:r>
          </w:p>
          <w:p w14:paraId="53B0975F" w14:textId="77777777" w:rsidR="00A5777C" w:rsidRPr="00A5777C" w:rsidRDefault="00A5777C" w:rsidP="00A5777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77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2C7015D8" w14:textId="50EDD2AD" w:rsidR="00A5777C" w:rsidRDefault="00063713" w:rsidP="00A5777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FF72E9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поступка.</w:t>
            </w:r>
          </w:p>
          <w:p w14:paraId="7989459B" w14:textId="4F8C46CD" w:rsidR="00A5777C" w:rsidRDefault="00A5777C" w:rsidP="00A5777C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поступка, правној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сигурности привредних субјеката, поједностављењу поступка за привредне субјекте, смањењу документације.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  <w:p w14:paraId="22404BE3" w14:textId="77777777" w:rsidR="00A5777C" w:rsidRDefault="00A5777C" w:rsidP="00A5777C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31CCBA4" w14:textId="38ABFE77" w:rsidR="00A5777C" w:rsidRPr="00972460" w:rsidRDefault="00A5777C" w:rsidP="00A5777C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972460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972460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F430F" w14:textId="77777777" w:rsidR="00297866" w:rsidRDefault="00297866" w:rsidP="002A202F">
      <w:r>
        <w:separator/>
      </w:r>
    </w:p>
  </w:endnote>
  <w:endnote w:type="continuationSeparator" w:id="0">
    <w:p w14:paraId="37579BA9" w14:textId="77777777" w:rsidR="00297866" w:rsidRDefault="0029786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E240741" w:rsidR="001F51F2" w:rsidRDefault="001F51F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76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1F51F2" w:rsidRDefault="001F51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F6CA4" w14:textId="77777777" w:rsidR="00297866" w:rsidRDefault="00297866" w:rsidP="002A202F">
      <w:r>
        <w:separator/>
      </w:r>
    </w:p>
  </w:footnote>
  <w:footnote w:type="continuationSeparator" w:id="0">
    <w:p w14:paraId="214AD3B8" w14:textId="77777777" w:rsidR="00297866" w:rsidRDefault="0029786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75A64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21C04"/>
    <w:multiLevelType w:val="hybridMultilevel"/>
    <w:tmpl w:val="D8C813C2"/>
    <w:lvl w:ilvl="0" w:tplc="FF0AB7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7B7F0A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B37728"/>
    <w:multiLevelType w:val="hybridMultilevel"/>
    <w:tmpl w:val="F9A4C830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2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450504B0"/>
    <w:multiLevelType w:val="hybridMultilevel"/>
    <w:tmpl w:val="ED5448D4"/>
    <w:lvl w:ilvl="0" w:tplc="2A72C7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B540E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0766884"/>
    <w:multiLevelType w:val="hybridMultilevel"/>
    <w:tmpl w:val="38A0BB28"/>
    <w:lvl w:ilvl="0" w:tplc="7DA80B5E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6"/>
  </w:num>
  <w:num w:numId="4">
    <w:abstractNumId w:val="3"/>
  </w:num>
  <w:num w:numId="5">
    <w:abstractNumId w:val="1"/>
  </w:num>
  <w:num w:numId="6">
    <w:abstractNumId w:val="15"/>
  </w:num>
  <w:num w:numId="7">
    <w:abstractNumId w:val="27"/>
  </w:num>
  <w:num w:numId="8">
    <w:abstractNumId w:val="12"/>
  </w:num>
  <w:num w:numId="9">
    <w:abstractNumId w:val="25"/>
  </w:num>
  <w:num w:numId="10">
    <w:abstractNumId w:val="23"/>
  </w:num>
  <w:num w:numId="11">
    <w:abstractNumId w:val="22"/>
  </w:num>
  <w:num w:numId="12">
    <w:abstractNumId w:val="21"/>
  </w:num>
  <w:num w:numId="13">
    <w:abstractNumId w:val="17"/>
  </w:num>
  <w:num w:numId="14">
    <w:abstractNumId w:val="24"/>
  </w:num>
  <w:num w:numId="15">
    <w:abstractNumId w:val="19"/>
  </w:num>
  <w:num w:numId="16">
    <w:abstractNumId w:val="13"/>
  </w:num>
  <w:num w:numId="17">
    <w:abstractNumId w:val="9"/>
  </w:num>
  <w:num w:numId="18">
    <w:abstractNumId w:val="26"/>
  </w:num>
  <w:num w:numId="19">
    <w:abstractNumId w:val="4"/>
  </w:num>
  <w:num w:numId="20">
    <w:abstractNumId w:val="28"/>
  </w:num>
  <w:num w:numId="21">
    <w:abstractNumId w:val="6"/>
  </w:num>
  <w:num w:numId="22">
    <w:abstractNumId w:val="2"/>
  </w:num>
  <w:num w:numId="23">
    <w:abstractNumId w:val="18"/>
  </w:num>
  <w:num w:numId="24">
    <w:abstractNumId w:val="0"/>
  </w:num>
  <w:num w:numId="25">
    <w:abstractNumId w:val="10"/>
  </w:num>
  <w:num w:numId="26">
    <w:abstractNumId w:val="8"/>
  </w:num>
  <w:num w:numId="27">
    <w:abstractNumId w:val="5"/>
  </w:num>
  <w:num w:numId="28">
    <w:abstractNumId w:val="14"/>
  </w:num>
  <w:num w:numId="29">
    <w:abstractNumId w:val="2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0D28"/>
    <w:rsid w:val="00044F35"/>
    <w:rsid w:val="00044F63"/>
    <w:rsid w:val="00050616"/>
    <w:rsid w:val="000565B2"/>
    <w:rsid w:val="00061070"/>
    <w:rsid w:val="00063713"/>
    <w:rsid w:val="00083993"/>
    <w:rsid w:val="00092B84"/>
    <w:rsid w:val="0009542A"/>
    <w:rsid w:val="000A53F3"/>
    <w:rsid w:val="000A5CDC"/>
    <w:rsid w:val="000B54D7"/>
    <w:rsid w:val="000D5029"/>
    <w:rsid w:val="000E2036"/>
    <w:rsid w:val="000F48CF"/>
    <w:rsid w:val="000F5E72"/>
    <w:rsid w:val="0010505A"/>
    <w:rsid w:val="001156BA"/>
    <w:rsid w:val="00151536"/>
    <w:rsid w:val="0015182D"/>
    <w:rsid w:val="00161847"/>
    <w:rsid w:val="00170CA7"/>
    <w:rsid w:val="001711C5"/>
    <w:rsid w:val="001A023F"/>
    <w:rsid w:val="001A3FAC"/>
    <w:rsid w:val="001A6472"/>
    <w:rsid w:val="001B21FC"/>
    <w:rsid w:val="001B2BCF"/>
    <w:rsid w:val="001C5538"/>
    <w:rsid w:val="001D0EDE"/>
    <w:rsid w:val="001D20E2"/>
    <w:rsid w:val="001E38DE"/>
    <w:rsid w:val="001F509C"/>
    <w:rsid w:val="001F51F2"/>
    <w:rsid w:val="001F7B31"/>
    <w:rsid w:val="0020601F"/>
    <w:rsid w:val="00212DA5"/>
    <w:rsid w:val="0021347C"/>
    <w:rsid w:val="002323AC"/>
    <w:rsid w:val="00250BFA"/>
    <w:rsid w:val="00261404"/>
    <w:rsid w:val="002673B0"/>
    <w:rsid w:val="00275E2A"/>
    <w:rsid w:val="00283766"/>
    <w:rsid w:val="00296938"/>
    <w:rsid w:val="00297866"/>
    <w:rsid w:val="002A202F"/>
    <w:rsid w:val="002B188D"/>
    <w:rsid w:val="002B19B4"/>
    <w:rsid w:val="002F1BEC"/>
    <w:rsid w:val="002F4757"/>
    <w:rsid w:val="00322199"/>
    <w:rsid w:val="003223C7"/>
    <w:rsid w:val="003241DA"/>
    <w:rsid w:val="00326555"/>
    <w:rsid w:val="003410E0"/>
    <w:rsid w:val="00350EAD"/>
    <w:rsid w:val="00353443"/>
    <w:rsid w:val="003651DB"/>
    <w:rsid w:val="003715A0"/>
    <w:rsid w:val="0037171F"/>
    <w:rsid w:val="0037693A"/>
    <w:rsid w:val="00376FD1"/>
    <w:rsid w:val="003845DE"/>
    <w:rsid w:val="0039002C"/>
    <w:rsid w:val="003943E1"/>
    <w:rsid w:val="003A76DB"/>
    <w:rsid w:val="003B44DB"/>
    <w:rsid w:val="003B4BC9"/>
    <w:rsid w:val="003B6298"/>
    <w:rsid w:val="003B6C4E"/>
    <w:rsid w:val="003C0B52"/>
    <w:rsid w:val="003C2952"/>
    <w:rsid w:val="003E2EB1"/>
    <w:rsid w:val="003E3C16"/>
    <w:rsid w:val="003F2232"/>
    <w:rsid w:val="00407D96"/>
    <w:rsid w:val="00425B4A"/>
    <w:rsid w:val="00432495"/>
    <w:rsid w:val="004362F0"/>
    <w:rsid w:val="00444DA7"/>
    <w:rsid w:val="00457882"/>
    <w:rsid w:val="00463CC7"/>
    <w:rsid w:val="00466F1C"/>
    <w:rsid w:val="004724D9"/>
    <w:rsid w:val="00472979"/>
    <w:rsid w:val="004735A8"/>
    <w:rsid w:val="004809C4"/>
    <w:rsid w:val="0048433C"/>
    <w:rsid w:val="004847B1"/>
    <w:rsid w:val="0049545B"/>
    <w:rsid w:val="0049786F"/>
    <w:rsid w:val="004C0A51"/>
    <w:rsid w:val="004D3BD0"/>
    <w:rsid w:val="004D45B1"/>
    <w:rsid w:val="004D68A7"/>
    <w:rsid w:val="004E29D1"/>
    <w:rsid w:val="004E6AE5"/>
    <w:rsid w:val="00500566"/>
    <w:rsid w:val="005073A3"/>
    <w:rsid w:val="00514279"/>
    <w:rsid w:val="00523608"/>
    <w:rsid w:val="00524F7E"/>
    <w:rsid w:val="00525C0A"/>
    <w:rsid w:val="00535608"/>
    <w:rsid w:val="00556688"/>
    <w:rsid w:val="0056162B"/>
    <w:rsid w:val="0056707B"/>
    <w:rsid w:val="00580BD1"/>
    <w:rsid w:val="00581A9D"/>
    <w:rsid w:val="0059428E"/>
    <w:rsid w:val="005A2503"/>
    <w:rsid w:val="005B3CB5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53BF"/>
    <w:rsid w:val="00627AF7"/>
    <w:rsid w:val="00632540"/>
    <w:rsid w:val="00633688"/>
    <w:rsid w:val="00633F73"/>
    <w:rsid w:val="00640925"/>
    <w:rsid w:val="00645199"/>
    <w:rsid w:val="00645850"/>
    <w:rsid w:val="00661ECF"/>
    <w:rsid w:val="00664033"/>
    <w:rsid w:val="006648BC"/>
    <w:rsid w:val="00664D4F"/>
    <w:rsid w:val="00677908"/>
    <w:rsid w:val="00690BA9"/>
    <w:rsid w:val="0069170E"/>
    <w:rsid w:val="00692071"/>
    <w:rsid w:val="00694B28"/>
    <w:rsid w:val="006B5C98"/>
    <w:rsid w:val="006C5349"/>
    <w:rsid w:val="006C5F2A"/>
    <w:rsid w:val="006C662C"/>
    <w:rsid w:val="006E0B38"/>
    <w:rsid w:val="006F4A5C"/>
    <w:rsid w:val="007025CA"/>
    <w:rsid w:val="007051BE"/>
    <w:rsid w:val="00715F5C"/>
    <w:rsid w:val="007278C1"/>
    <w:rsid w:val="00733493"/>
    <w:rsid w:val="00737F1D"/>
    <w:rsid w:val="0076455B"/>
    <w:rsid w:val="00782816"/>
    <w:rsid w:val="00785A46"/>
    <w:rsid w:val="007861E3"/>
    <w:rsid w:val="007940D6"/>
    <w:rsid w:val="007A7A45"/>
    <w:rsid w:val="007B1740"/>
    <w:rsid w:val="007B373E"/>
    <w:rsid w:val="007C61B5"/>
    <w:rsid w:val="007D3889"/>
    <w:rsid w:val="007D39E4"/>
    <w:rsid w:val="007D43A7"/>
    <w:rsid w:val="007D7F8C"/>
    <w:rsid w:val="007E1695"/>
    <w:rsid w:val="007E181E"/>
    <w:rsid w:val="007F204C"/>
    <w:rsid w:val="00800323"/>
    <w:rsid w:val="00804060"/>
    <w:rsid w:val="008166C9"/>
    <w:rsid w:val="00824E43"/>
    <w:rsid w:val="00833D8C"/>
    <w:rsid w:val="00834C9A"/>
    <w:rsid w:val="00836FFA"/>
    <w:rsid w:val="0084708C"/>
    <w:rsid w:val="00850AD5"/>
    <w:rsid w:val="00852069"/>
    <w:rsid w:val="00852739"/>
    <w:rsid w:val="008629CC"/>
    <w:rsid w:val="00863B41"/>
    <w:rsid w:val="008644E9"/>
    <w:rsid w:val="00865EBB"/>
    <w:rsid w:val="00877BA4"/>
    <w:rsid w:val="008823BB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8F7743"/>
    <w:rsid w:val="009056DB"/>
    <w:rsid w:val="00942C70"/>
    <w:rsid w:val="0094428B"/>
    <w:rsid w:val="00947592"/>
    <w:rsid w:val="00950280"/>
    <w:rsid w:val="009709E0"/>
    <w:rsid w:val="00972460"/>
    <w:rsid w:val="00991A18"/>
    <w:rsid w:val="00994A16"/>
    <w:rsid w:val="009A30D3"/>
    <w:rsid w:val="009A38F9"/>
    <w:rsid w:val="009D03A7"/>
    <w:rsid w:val="009D0B3F"/>
    <w:rsid w:val="009D2D21"/>
    <w:rsid w:val="009D6C82"/>
    <w:rsid w:val="009E0479"/>
    <w:rsid w:val="00A0102E"/>
    <w:rsid w:val="00A056F6"/>
    <w:rsid w:val="00A1195E"/>
    <w:rsid w:val="00A12960"/>
    <w:rsid w:val="00A1570D"/>
    <w:rsid w:val="00A15E6B"/>
    <w:rsid w:val="00A22386"/>
    <w:rsid w:val="00A331AF"/>
    <w:rsid w:val="00A34552"/>
    <w:rsid w:val="00A56B75"/>
    <w:rsid w:val="00A5777C"/>
    <w:rsid w:val="00A71C04"/>
    <w:rsid w:val="00AA0017"/>
    <w:rsid w:val="00AA4BC5"/>
    <w:rsid w:val="00AA5CDF"/>
    <w:rsid w:val="00AB09B3"/>
    <w:rsid w:val="00AC02D1"/>
    <w:rsid w:val="00AD506C"/>
    <w:rsid w:val="00B06019"/>
    <w:rsid w:val="00B07409"/>
    <w:rsid w:val="00B1006E"/>
    <w:rsid w:val="00B174E9"/>
    <w:rsid w:val="00B175BC"/>
    <w:rsid w:val="00B178FB"/>
    <w:rsid w:val="00B41B22"/>
    <w:rsid w:val="00B46193"/>
    <w:rsid w:val="00B5252A"/>
    <w:rsid w:val="00B63DB1"/>
    <w:rsid w:val="00B67138"/>
    <w:rsid w:val="00B6715C"/>
    <w:rsid w:val="00B81CFE"/>
    <w:rsid w:val="00B903AE"/>
    <w:rsid w:val="00B9157F"/>
    <w:rsid w:val="00B95225"/>
    <w:rsid w:val="00BA1941"/>
    <w:rsid w:val="00BA55D3"/>
    <w:rsid w:val="00BA6759"/>
    <w:rsid w:val="00BA7204"/>
    <w:rsid w:val="00BB012F"/>
    <w:rsid w:val="00BB2C8C"/>
    <w:rsid w:val="00BB6833"/>
    <w:rsid w:val="00BC6826"/>
    <w:rsid w:val="00BC69C5"/>
    <w:rsid w:val="00BE7CD8"/>
    <w:rsid w:val="00C0295C"/>
    <w:rsid w:val="00C03C06"/>
    <w:rsid w:val="00C052F0"/>
    <w:rsid w:val="00C121EC"/>
    <w:rsid w:val="00C12C65"/>
    <w:rsid w:val="00C2580F"/>
    <w:rsid w:val="00C36D7E"/>
    <w:rsid w:val="00C445E2"/>
    <w:rsid w:val="00C70F1B"/>
    <w:rsid w:val="00C7129D"/>
    <w:rsid w:val="00C748D1"/>
    <w:rsid w:val="00C91014"/>
    <w:rsid w:val="00CA1CE9"/>
    <w:rsid w:val="00CB1A4E"/>
    <w:rsid w:val="00CC29F6"/>
    <w:rsid w:val="00CD2287"/>
    <w:rsid w:val="00CD3805"/>
    <w:rsid w:val="00CD5BBB"/>
    <w:rsid w:val="00CD67E2"/>
    <w:rsid w:val="00CE0685"/>
    <w:rsid w:val="00D27E29"/>
    <w:rsid w:val="00D37EA5"/>
    <w:rsid w:val="00D66C7C"/>
    <w:rsid w:val="00D73628"/>
    <w:rsid w:val="00D73918"/>
    <w:rsid w:val="00D903FF"/>
    <w:rsid w:val="00D967D7"/>
    <w:rsid w:val="00DA125D"/>
    <w:rsid w:val="00DB19B9"/>
    <w:rsid w:val="00DC3FE5"/>
    <w:rsid w:val="00DC4BC2"/>
    <w:rsid w:val="00DC6965"/>
    <w:rsid w:val="00DE057D"/>
    <w:rsid w:val="00DE5000"/>
    <w:rsid w:val="00DF6467"/>
    <w:rsid w:val="00DF7EE8"/>
    <w:rsid w:val="00E0020F"/>
    <w:rsid w:val="00E07B99"/>
    <w:rsid w:val="00E113A4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870B5"/>
    <w:rsid w:val="00EB266B"/>
    <w:rsid w:val="00EB3053"/>
    <w:rsid w:val="00F11C98"/>
    <w:rsid w:val="00F12E47"/>
    <w:rsid w:val="00F223B2"/>
    <w:rsid w:val="00F53241"/>
    <w:rsid w:val="00F67790"/>
    <w:rsid w:val="00F84521"/>
    <w:rsid w:val="00F96202"/>
    <w:rsid w:val="00FB1A1B"/>
    <w:rsid w:val="00FB4676"/>
    <w:rsid w:val="00FB645B"/>
    <w:rsid w:val="00FB73CE"/>
    <w:rsid w:val="00FC09D6"/>
    <w:rsid w:val="00FC34EC"/>
    <w:rsid w:val="00FC3F69"/>
    <w:rsid w:val="00FC5312"/>
    <w:rsid w:val="00FD3964"/>
    <w:rsid w:val="00FE3CDD"/>
    <w:rsid w:val="00FF4DB4"/>
    <w:rsid w:val="00FF78E5"/>
    <w:rsid w:val="156DACC5"/>
    <w:rsid w:val="7480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47B13EFF-F091-4890-8BB0-B4C805800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BF7CD-B74D-4824-A977-CEE91E8C6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1963</Words>
  <Characters>11194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5</cp:revision>
  <cp:lastPrinted>2018-09-05T12:48:00Z</cp:lastPrinted>
  <dcterms:created xsi:type="dcterms:W3CDTF">2019-06-04T19:51:00Z</dcterms:created>
  <dcterms:modified xsi:type="dcterms:W3CDTF">2019-07-12T15:04:00Z</dcterms:modified>
</cp:coreProperties>
</file>