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2F3FE2" w14:textId="445A34F0" w:rsidR="00B16CC5" w:rsidRPr="00021444" w:rsidRDefault="00D96439" w:rsidP="009A366A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021444">
        <w:rPr>
          <w:b/>
          <w:sz w:val="22"/>
          <w:szCs w:val="22"/>
          <w:lang w:val="sr-Cyrl-RS"/>
        </w:rPr>
        <w:t>ПОЈЕДНОСТАВЉЕЊЕ ПОСТУПКА ИЗДАВАЊА ОДОБРЕЊА ЗА УПОТРЕБУ ГМО У ЗАТВОРЕНОМ СИСТЕМУ</w:t>
      </w:r>
    </w:p>
    <w:p w14:paraId="22734E30" w14:textId="77777777" w:rsidR="00D96439" w:rsidRPr="003458B3" w:rsidRDefault="00D96439" w:rsidP="009A366A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3458B3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3458B3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2993FCA" w:rsidR="000E2036" w:rsidRPr="003458B3" w:rsidRDefault="00B839A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458B3">
              <w:rPr>
                <w:sz w:val="22"/>
                <w:szCs w:val="22"/>
                <w:lang w:val="sr-Cyrl-RS"/>
              </w:rPr>
              <w:t>Одобрење за употребу ГМО у затвореном систему</w:t>
            </w:r>
          </w:p>
        </w:tc>
      </w:tr>
      <w:tr w:rsidR="00DC6965" w:rsidRPr="003458B3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DC6965" w:rsidRPr="003458B3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458B3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C43A080" w:rsidR="00DC6965" w:rsidRPr="003458B3" w:rsidRDefault="00DC6965" w:rsidP="00DC696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458B3">
              <w:rPr>
                <w:color w:val="000000" w:themeColor="text1"/>
                <w:sz w:val="22"/>
                <w:szCs w:val="22"/>
                <w:lang w:val="sr-Cyrl-RS"/>
              </w:rPr>
              <w:t>16.02.003</w:t>
            </w:r>
            <w:r w:rsidR="00EE28FE" w:rsidRPr="003458B3">
              <w:rPr>
                <w:color w:val="000000" w:themeColor="text1"/>
                <w:sz w:val="22"/>
                <w:szCs w:val="22"/>
                <w:lang w:val="sr-Cyrl-RS"/>
              </w:rPr>
              <w:t>4</w:t>
            </w:r>
          </w:p>
        </w:tc>
      </w:tr>
      <w:tr w:rsidR="00DC6965" w:rsidRPr="003458B3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DC6965" w:rsidRPr="003458B3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458B3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DC6965" w:rsidRPr="003458B3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458B3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1F931B8" w:rsidR="00DC6965" w:rsidRPr="003458B3" w:rsidRDefault="009D0B3F" w:rsidP="00DC696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458B3">
              <w:rPr>
                <w:sz w:val="22"/>
                <w:szCs w:val="22"/>
                <w:lang w:val="sr-Cyrl-RS"/>
              </w:rPr>
              <w:t>Управа за заштиту биља</w:t>
            </w:r>
          </w:p>
        </w:tc>
      </w:tr>
      <w:tr w:rsidR="00DC6965" w:rsidRPr="003458B3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DC6965" w:rsidRPr="003458B3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458B3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9BA62F4" w14:textId="20A20FD2" w:rsidR="0010505A" w:rsidRPr="003458B3" w:rsidRDefault="00B839AB" w:rsidP="00E444AF">
            <w:pPr>
              <w:pStyle w:val="ListParagraph"/>
              <w:numPr>
                <w:ilvl w:val="0"/>
                <w:numId w:val="30"/>
              </w:numPr>
              <w:spacing w:before="120" w:after="120"/>
              <w:ind w:left="260" w:hanging="27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Закон о генетички модификованим организмима ("Сл</w:t>
            </w:r>
            <w:r w:rsidR="00BA3279"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</w:t>
            </w:r>
            <w:r w:rsidR="00BA3279"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асник</w:t>
            </w: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РС", бр</w:t>
            </w:r>
            <w:r w:rsidR="00BA3279"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41/09)</w:t>
            </w:r>
          </w:p>
          <w:p w14:paraId="2CCB5DCC" w14:textId="6A6D2C4C" w:rsidR="00B839AB" w:rsidRPr="003458B3" w:rsidRDefault="00F5653E" w:rsidP="00E444AF">
            <w:pPr>
              <w:pStyle w:val="ListParagraph"/>
              <w:numPr>
                <w:ilvl w:val="0"/>
                <w:numId w:val="30"/>
              </w:numPr>
              <w:spacing w:before="120" w:after="120"/>
              <w:ind w:left="260" w:hanging="27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и обрасцу пријаве за употребу у затвореним системима генетички модификованих организама, начину заштите поверљивих података из пријаве, као и о садржини пријаве за обнављање одобрења за употребу у затвореним системима</w:t>
            </w:r>
            <w:r w:rsidR="00BA3279"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("Сл. гласник РС", бр. </w:t>
            </w: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69/12</w:t>
            </w:r>
            <w:r w:rsidR="00BA3279"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44/18 (др. закон)</w:t>
            </w:r>
            <w:r w:rsidR="00BA3279"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DC6965" w:rsidRPr="003458B3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C6965" w:rsidRPr="003458B3" w:rsidRDefault="00DC6965" w:rsidP="00DC696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3458B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5DDFBC0" w:rsidR="007B373E" w:rsidRPr="003458B3" w:rsidRDefault="00BA3279" w:rsidP="00E83052">
            <w:pPr>
              <w:spacing w:before="120" w:after="120"/>
              <w:ind w:left="-29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1. Закон о генетички модификованим организмима ("Сл. гласник РС", бр. 41/09)</w:t>
            </w:r>
          </w:p>
        </w:tc>
      </w:tr>
      <w:tr w:rsidR="00DC6965" w:rsidRPr="003458B3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DC6965" w:rsidRPr="003458B3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458B3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000FB2B8" w:rsidR="00DC6965" w:rsidRPr="003458B3" w:rsidRDefault="003445B5" w:rsidP="005102F1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811BAB" w:rsidRPr="003458B3">
              <w:rPr>
                <w:sz w:val="22"/>
                <w:szCs w:val="22"/>
                <w:lang w:val="sr-Cyrl-RS"/>
              </w:rPr>
              <w:t xml:space="preserve"> квартал </w:t>
            </w:r>
            <w:r w:rsidR="005102F1" w:rsidRPr="003458B3">
              <w:rPr>
                <w:sz w:val="22"/>
                <w:szCs w:val="22"/>
                <w:lang w:val="sr-Cyrl-RS"/>
              </w:rPr>
              <w:t>20</w:t>
            </w:r>
            <w:r w:rsidR="005102F1">
              <w:rPr>
                <w:sz w:val="22"/>
                <w:szCs w:val="22"/>
                <w:lang w:val="sr-Cyrl-RS"/>
              </w:rPr>
              <w:t>20</w:t>
            </w:r>
            <w:r w:rsidR="00811BAB" w:rsidRPr="003458B3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DC6965" w:rsidRPr="003458B3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DC6965" w:rsidRPr="003458B3" w:rsidRDefault="00DC6965" w:rsidP="00DC696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458B3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DC6965" w:rsidRPr="003458B3" w14:paraId="4635A4BE" w14:textId="77777777" w:rsidTr="00CA1CE9">
        <w:tc>
          <w:tcPr>
            <w:tcW w:w="9060" w:type="dxa"/>
            <w:gridSpan w:val="2"/>
          </w:tcPr>
          <w:p w14:paraId="4EE3257C" w14:textId="4125B7D3" w:rsidR="00ED3A5F" w:rsidRPr="00661421" w:rsidRDefault="009C29F8" w:rsidP="00661421">
            <w:pPr>
              <w:contextualSpacing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Latn-RS"/>
              </w:rPr>
            </w:pPr>
            <w:r w:rsidRPr="00661421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Прописима није утврђен рок за доношење мишљења Стручног савета, што је први у низу елемената који утичу на непредвидивост трајања овог поступка.</w:t>
            </w:r>
            <w:r w:rsidR="00B16CC5" w:rsidRPr="00661421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ED3A5F" w:rsidRPr="00661421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Прописима није дефинисан рок у оквиру кога је овлашћена лабораторија дужна да после извршеног испитивања сачини извештај и достави га Министарству. Овим се уноси моменат потпуне неизвесности о трајању поступка.</w:t>
            </w:r>
            <w:r w:rsidR="00B16CC5" w:rsidRPr="00661421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ED3A5F" w:rsidRPr="00661421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Прописима није утврђен рок Министарству да донесе решење о одобрењу за употребу ГМО у затвореном систему. Ово је додатни елемент неизвесности на страни подносиоца захтева у вези са могућим трајањем овог поступка.</w:t>
            </w:r>
          </w:p>
          <w:p w14:paraId="5A4FC1F3" w14:textId="77777777" w:rsidR="00E444AF" w:rsidRDefault="00E444AF" w:rsidP="00661421">
            <w:pPr>
              <w:contextualSpacing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</w:pPr>
          </w:p>
          <w:p w14:paraId="36420AAB" w14:textId="6B69F102" w:rsidR="00661421" w:rsidRDefault="009C29F8" w:rsidP="00661421">
            <w:pPr>
              <w:contextualSpacing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</w:pPr>
            <w:r w:rsidRPr="00661421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 xml:space="preserve">Време важења одобрења није утврђено прописима, већ Закон наводи да ће министар решењем утврдити време трајања одобрења. </w:t>
            </w:r>
            <w:r w:rsidR="00F3082A" w:rsidRPr="00661421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Овим се поред неизвесности у погледу трајања поступка исходовања овог одобрења уводи и моменат неизвесности у погледу адекватности таквог одобрења, ако један од његови</w:t>
            </w:r>
            <w:r w:rsidR="000818FD" w:rsidRPr="00661421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х</w:t>
            </w:r>
            <w:r w:rsidR="00F3082A" w:rsidRPr="00661421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 xml:space="preserve"> најзначајнијих елемената није унапред познат.</w:t>
            </w:r>
          </w:p>
          <w:p w14:paraId="18FBE19A" w14:textId="77777777" w:rsidR="00E444AF" w:rsidRDefault="00E444AF" w:rsidP="00661421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  <w:p w14:paraId="1B47EA99" w14:textId="186A53CB" w:rsidR="00F269BA" w:rsidRPr="00661421" w:rsidRDefault="00BF1CDB" w:rsidP="00661421">
            <w:pPr>
              <w:contextualSpacing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</w:pPr>
            <w:r w:rsidRPr="00A21A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3B331621" w14:textId="77777777" w:rsidR="00E444AF" w:rsidRDefault="00E444AF" w:rsidP="00661421">
            <w:pPr>
              <w:contextualSpacing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</w:pPr>
          </w:p>
          <w:p w14:paraId="65315E26" w14:textId="6817889C" w:rsidR="00661421" w:rsidRPr="00A21A45" w:rsidRDefault="00661421" w:rsidP="00661421">
            <w:pPr>
              <w:contextualSpacing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</w:pPr>
            <w:r w:rsidRPr="00A21A45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Поступак подразумева подношење захтева лично</w:t>
            </w:r>
            <w:r w:rsidRPr="00661421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 xml:space="preserve"> на писарници или поштом</w:t>
            </w:r>
            <w:r w:rsidRPr="00A21A45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. Још увек није успостављена пуна електронска управа, нити поједини сегменти електронске комуникације.</w:t>
            </w:r>
          </w:p>
          <w:p w14:paraId="7C6BB2E0" w14:textId="77777777" w:rsidR="00340DA1" w:rsidRPr="00661421" w:rsidRDefault="00340DA1" w:rsidP="00661421">
            <w:pPr>
              <w:contextualSpacing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</w:pPr>
          </w:p>
          <w:p w14:paraId="4BCB02C2" w14:textId="05C384EF" w:rsidR="00B16CC5" w:rsidRPr="00661421" w:rsidRDefault="00B16CC5" w:rsidP="00661421">
            <w:pPr>
              <w:pStyle w:val="ListParagraph"/>
              <w:ind w:left="0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</w:pPr>
          </w:p>
        </w:tc>
      </w:tr>
      <w:tr w:rsidR="00DC6965" w:rsidRPr="003458B3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DC6965" w:rsidRPr="003458B3" w:rsidRDefault="00DC6965" w:rsidP="009A38F9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458B3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DC6965" w:rsidRPr="003458B3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DC6965" w:rsidRPr="003458B3" w:rsidRDefault="00DC6965" w:rsidP="00DC696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C6965" w:rsidRPr="003458B3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DC6965" w:rsidRPr="003458B3" w14:paraId="30C2F8E8" w14:textId="77777777" w:rsidTr="003458B3">
              <w:trPr>
                <w:trHeight w:val="749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DC6965" w:rsidRPr="003458B3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458B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DC6965" w:rsidRPr="003458B3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458B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DC6965" w:rsidRPr="003458B3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458B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DC6965" w:rsidRPr="003458B3" w14:paraId="2B15C487" w14:textId="77777777" w:rsidTr="003458B3">
              <w:trPr>
                <w:trHeight w:val="260"/>
              </w:trPr>
              <w:tc>
                <w:tcPr>
                  <w:tcW w:w="3336" w:type="dxa"/>
                  <w:vMerge/>
                </w:tcPr>
                <w:p w14:paraId="42D3BC1D" w14:textId="77777777" w:rsidR="00DC6965" w:rsidRPr="003458B3" w:rsidRDefault="00DC6965" w:rsidP="00DC696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DC6965" w:rsidRPr="003458B3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458B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DC6965" w:rsidRPr="003458B3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458B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</w:tcPr>
                <w:p w14:paraId="21FE126E" w14:textId="77777777" w:rsidR="00DC6965" w:rsidRPr="003458B3" w:rsidRDefault="00DC6965" w:rsidP="00DC696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458B3" w:rsidRPr="003458B3" w14:paraId="390F9A32" w14:textId="77777777" w:rsidTr="00AD436D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3B8DB5A2" w14:textId="2503C410" w:rsidR="003458B3" w:rsidRPr="00805435" w:rsidRDefault="003458B3" w:rsidP="00DC6965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0543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Рокови</w:t>
                  </w:r>
                </w:p>
              </w:tc>
              <w:tc>
                <w:tcPr>
                  <w:tcW w:w="5498" w:type="dxa"/>
                  <w:gridSpan w:val="3"/>
                  <w:vAlign w:val="center"/>
                </w:tcPr>
                <w:p w14:paraId="066A5A1C" w14:textId="5ABC28AE" w:rsidR="003458B3" w:rsidRPr="003458B3" w:rsidRDefault="003458B3" w:rsidP="00BA3279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458B3" w:rsidRPr="003458B3" w14:paraId="7D2F8400" w14:textId="77777777" w:rsidTr="003458B3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157F3B35" w14:textId="62DBE6BD" w:rsidR="003458B3" w:rsidRPr="003445B5" w:rsidRDefault="003458B3" w:rsidP="003458B3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445B5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Прописивање рокова посебним законом</w:t>
                  </w:r>
                </w:p>
              </w:tc>
              <w:tc>
                <w:tcPr>
                  <w:tcW w:w="1948" w:type="dxa"/>
                  <w:vAlign w:val="center"/>
                </w:tcPr>
                <w:p w14:paraId="4D0F0CFC" w14:textId="292FD0E8" w:rsidR="003458B3" w:rsidRPr="00B16CC5" w:rsidRDefault="003458B3" w:rsidP="003458B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16CC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  <w:vAlign w:val="center"/>
                </w:tcPr>
                <w:p w14:paraId="55720A3E" w14:textId="77777777" w:rsidR="003458B3" w:rsidRPr="00B16CC5" w:rsidRDefault="003458B3" w:rsidP="003458B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14:paraId="12FFDF8B" w14:textId="2A15B74F" w:rsidR="003458B3" w:rsidRPr="003445B5" w:rsidRDefault="003458B3" w:rsidP="003458B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445B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  <w:r w:rsidR="003445B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.</w:t>
                  </w:r>
                </w:p>
              </w:tc>
            </w:tr>
            <w:tr w:rsidR="003458B3" w:rsidRPr="003458B3" w14:paraId="6747DD57" w14:textId="77777777" w:rsidTr="003458B3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530882DF" w14:textId="327F496D" w:rsidR="003458B3" w:rsidRPr="00805435" w:rsidRDefault="003458B3" w:rsidP="003458B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0543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Време важења и издати акт/исправа</w:t>
                  </w:r>
                </w:p>
              </w:tc>
              <w:tc>
                <w:tcPr>
                  <w:tcW w:w="5498" w:type="dxa"/>
                  <w:gridSpan w:val="3"/>
                  <w:vAlign w:val="center"/>
                </w:tcPr>
                <w:p w14:paraId="49D0B8A1" w14:textId="77777777" w:rsidR="003458B3" w:rsidRPr="003445B5" w:rsidRDefault="003458B3" w:rsidP="003458B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458B3" w:rsidRPr="003458B3" w14:paraId="3BF2869F" w14:textId="77777777" w:rsidTr="003458B3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205E48AA" w14:textId="53A24FA1" w:rsidR="003458B3" w:rsidRPr="003445B5" w:rsidRDefault="003458B3" w:rsidP="003458B3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3445B5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 xml:space="preserve">Продужетак времена важења </w:t>
                  </w:r>
                </w:p>
              </w:tc>
              <w:tc>
                <w:tcPr>
                  <w:tcW w:w="1948" w:type="dxa"/>
                  <w:vAlign w:val="center"/>
                </w:tcPr>
                <w:p w14:paraId="5C16615F" w14:textId="05B16753" w:rsidR="003458B3" w:rsidRPr="00B16CC5" w:rsidRDefault="003458B3" w:rsidP="003458B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16CC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  <w:vAlign w:val="center"/>
                </w:tcPr>
                <w:p w14:paraId="61A25B84" w14:textId="77777777" w:rsidR="003458B3" w:rsidRPr="00B16CC5" w:rsidRDefault="003458B3" w:rsidP="003458B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14:paraId="2C9DC746" w14:textId="1E2626D2" w:rsidR="003458B3" w:rsidRPr="003445B5" w:rsidRDefault="003458B3" w:rsidP="003458B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445B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  <w:r w:rsidR="003445B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.</w:t>
                  </w:r>
                </w:p>
              </w:tc>
            </w:tr>
            <w:tr w:rsidR="003458B3" w:rsidRPr="003458B3" w14:paraId="70DE3D31" w14:textId="77777777" w:rsidTr="003E1893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4C8563F2" w14:textId="60F7DC9D" w:rsidR="003458B3" w:rsidRPr="00805435" w:rsidRDefault="003458B3" w:rsidP="003458B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0543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98" w:type="dxa"/>
                  <w:gridSpan w:val="3"/>
                  <w:vAlign w:val="center"/>
                </w:tcPr>
                <w:p w14:paraId="17C80E6D" w14:textId="77777777" w:rsidR="003458B3" w:rsidRPr="003445B5" w:rsidRDefault="003458B3" w:rsidP="003458B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458B3" w:rsidRPr="003458B3" w14:paraId="5B3EE011" w14:textId="74D9FA3D" w:rsidTr="003458B3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1C4FBDFC" w14:textId="718F3644" w:rsidR="003458B3" w:rsidRPr="003445B5" w:rsidRDefault="00805435" w:rsidP="003458B3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445B5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Доказ о електронској уплати без печата банке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3A383F32" w14:textId="1E21C65E" w:rsidR="003458B3" w:rsidRPr="00B16CC5" w:rsidRDefault="003458B3" w:rsidP="003458B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ADD220E" w14:textId="3FE1015E" w:rsidR="003458B3" w:rsidRPr="00B16CC5" w:rsidRDefault="003458B3" w:rsidP="003458B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16CC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98" w:type="dxa"/>
                  <w:vAlign w:val="center"/>
                </w:tcPr>
                <w:p w14:paraId="3070321A" w14:textId="35FE38E8" w:rsidR="003458B3" w:rsidRPr="003445B5" w:rsidRDefault="003458B3" w:rsidP="003458B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16CC5" w:rsidRPr="003458B3" w14:paraId="4F01F3C5" w14:textId="77777777" w:rsidTr="003458B3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14AE6AB7" w14:textId="23C24EFC" w:rsidR="00B16CC5" w:rsidRPr="003445B5" w:rsidRDefault="00B16CC5" w:rsidP="003458B3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3445B5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0240A1BC" w14:textId="77777777" w:rsidR="00B16CC5" w:rsidRPr="00B16CC5" w:rsidRDefault="00B16CC5" w:rsidP="003458B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4896611" w14:textId="448CC61F" w:rsidR="00B16CC5" w:rsidRPr="00B16CC5" w:rsidRDefault="00B16CC5" w:rsidP="003458B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16CC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98" w:type="dxa"/>
                  <w:vAlign w:val="center"/>
                </w:tcPr>
                <w:p w14:paraId="261D5992" w14:textId="77777777" w:rsidR="00B16CC5" w:rsidRPr="003445B5" w:rsidRDefault="00B16CC5" w:rsidP="003458B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10AB35AE" w14:textId="77777777" w:rsidR="00DC6965" w:rsidRDefault="00DC6965" w:rsidP="00DC6965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6F1278F3" w:rsidR="003445B5" w:rsidRPr="003458B3" w:rsidRDefault="003445B5" w:rsidP="00DC6965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C6965" w:rsidRPr="003458B3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DC6965" w:rsidRPr="003458B3" w:rsidRDefault="00DC6965" w:rsidP="009A38F9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458B3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DC6965" w:rsidRPr="003458B3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E3D48AC" w14:textId="6AB2AA00" w:rsidR="00DC6965" w:rsidRDefault="0044640E" w:rsidP="003458B3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3.1. </w:t>
            </w:r>
            <w:r w:rsidR="006D2845" w:rsidRPr="003458B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Прописивање рокова посебним законом</w:t>
            </w:r>
          </w:p>
          <w:p w14:paraId="6330A73A" w14:textId="77777777" w:rsidR="00B16CC5" w:rsidRPr="003458B3" w:rsidRDefault="00B16CC5" w:rsidP="003458B3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5284061" w14:textId="6582F89C" w:rsidR="006D2845" w:rsidRPr="003458B3" w:rsidRDefault="00DE5DB5" w:rsidP="003458B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Потребно је дефинисати рок за доношење мишљења Стручног савета. Наиме, чињеница да прописима није утврђен рок за доношење мишљења Стручног савета, утиче на непредвидивост трајања овог поступка.</w:t>
            </w:r>
            <w:r w:rsidR="0006349A"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Поред тога, непостојање рока за одлучивање неповољно делује на Стручни савет да обезбеди доношење одлуке у разумним роковима.</w:t>
            </w: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E4327A2" w14:textId="35A3F61C" w:rsidR="0006349A" w:rsidRPr="003458B3" w:rsidRDefault="0006349A" w:rsidP="003458B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Из истих разлога потребно је дефинисати рок у оквиру кога је овлашћена лабораторија дужна да после извршеног испитивања сачини извештај и достави га Министарству.</w:t>
            </w:r>
          </w:p>
          <w:p w14:paraId="6E256763" w14:textId="6AF0055B" w:rsidR="0006349A" w:rsidRDefault="0006349A" w:rsidP="003458B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Такође, потребно је дефинисати рок за доношење решења Министарства о одобрењу за употребу ГМО у затвореном систему.</w:t>
            </w:r>
          </w:p>
          <w:p w14:paraId="150A74CA" w14:textId="77777777" w:rsidR="00B16CC5" w:rsidRDefault="00B16CC5" w:rsidP="003458B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F5A7B7D" w14:textId="639952DB" w:rsidR="00913BD2" w:rsidRPr="00B16CC5" w:rsidRDefault="00913BD2" w:rsidP="003458B3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16CC5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За спровођење ове препоруке, потребне су измене и допуне Закона о генетички модификованим организмима.</w:t>
            </w:r>
          </w:p>
          <w:p w14:paraId="54367205" w14:textId="4D2F1F41" w:rsidR="006D2845" w:rsidRDefault="006D2845" w:rsidP="003458B3">
            <w:pPr>
              <w:spacing w:before="24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3.2. Продужетак времена важења</w:t>
            </w:r>
          </w:p>
          <w:p w14:paraId="4C36773C" w14:textId="77777777" w:rsidR="00B16CC5" w:rsidRDefault="00B16CC5" w:rsidP="003458B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C39C6F8" w14:textId="60891A94" w:rsidR="003061ED" w:rsidRDefault="00597091" w:rsidP="003458B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Потребно је обезбедити да важење одобрења буде утврђено прописима, једнозначно или у одређеном временском опсегу. Наиме, в</w:t>
            </w:r>
            <w:r w:rsidR="003061ED"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реме важења одобрења није утврђено прописима, већ Закон наводи да ће министар решењем утврдити време трајања одобрења. Овим се поред неизвесности у погледу трајања поступка исходовања овог одобрења уводи и моменат неизвесности у погледу адекватности таквог одобрења, ако један од његових најзначајнијих елемената није унапред познат.</w:t>
            </w: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Предлаже се да се законом утврди да време важења одобрења не може бити краће од шест месеци нити дуже од две године.</w:t>
            </w:r>
          </w:p>
          <w:p w14:paraId="06CD7B2F" w14:textId="77777777" w:rsidR="00B16CC5" w:rsidRDefault="00B16CC5" w:rsidP="003458B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2F14E99" w14:textId="390550CB" w:rsidR="00913BD2" w:rsidRPr="00B16CC5" w:rsidRDefault="00913BD2" w:rsidP="00913BD2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16CC5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потребне су измене и допуне Закона о генетички модификованим организмима.</w:t>
            </w:r>
          </w:p>
          <w:p w14:paraId="598427BC" w14:textId="77777777" w:rsidR="00913BD2" w:rsidRDefault="00913BD2" w:rsidP="003458B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48A68F9" w14:textId="0A07B67E" w:rsidR="003458B3" w:rsidRDefault="003458B3" w:rsidP="003458B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4F0C0BC" w14:textId="77777777" w:rsidR="00B16CC5" w:rsidRDefault="00B16CC5" w:rsidP="003458B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91A7BAA" w14:textId="5886076A" w:rsidR="003458B3" w:rsidRDefault="003458B3" w:rsidP="003458B3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lastRenderedPageBreak/>
              <w:t>3.3. Документација</w:t>
            </w:r>
          </w:p>
          <w:p w14:paraId="2D5C2647" w14:textId="28D75CEE" w:rsidR="00B16CC5" w:rsidRPr="003458B3" w:rsidRDefault="00B16CC5" w:rsidP="003458B3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AB72601" w14:textId="04C848EA" w:rsidR="003458B3" w:rsidRDefault="003458B3" w:rsidP="003458B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промена форме докумената – доказа о уплати републичк</w:t>
            </w:r>
            <w:r w:rsidR="00913BD2">
              <w:rPr>
                <w:rFonts w:ascii="Times New Roman" w:hAnsi="Times New Roman"/>
                <w:sz w:val="22"/>
                <w:szCs w:val="22"/>
                <w:lang w:val="sr-Cyrl-RS"/>
              </w:rPr>
              <w:t>их</w:t>
            </w: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административн</w:t>
            </w:r>
            <w:r w:rsidR="00913BD2">
              <w:rPr>
                <w:rFonts w:ascii="Times New Roman" w:hAnsi="Times New Roman"/>
                <w:sz w:val="22"/>
                <w:szCs w:val="22"/>
                <w:lang w:val="sr-Cyrl-RS"/>
              </w:rPr>
              <w:t>их</w:t>
            </w: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такс</w:t>
            </w:r>
            <w:r w:rsidR="00913BD2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, из оригинала</w:t>
            </w:r>
            <w:r w:rsidR="00913BD2">
              <w:rPr>
                <w:rFonts w:ascii="Times New Roman" w:hAnsi="Times New Roman"/>
                <w:sz w:val="22"/>
                <w:szCs w:val="22"/>
                <w:lang w:val="sr-Cyrl-RS"/>
              </w:rPr>
              <w:t>, односно оверене копије,</w:t>
            </w: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копију извода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банке, валидан доказ о уплати таксе.</w:t>
            </w:r>
          </w:p>
          <w:p w14:paraId="3F5B6ECF" w14:textId="12A1E884" w:rsidR="00B16CC5" w:rsidRDefault="00B16CC5" w:rsidP="003458B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BC59B3A" w14:textId="2EE590D2" w:rsidR="00913BD2" w:rsidRDefault="00913BD2" w:rsidP="003458B3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16CC5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37F19ED5" w14:textId="77777777" w:rsidR="00DD4605" w:rsidRPr="00B16CC5" w:rsidRDefault="00DD4605" w:rsidP="003458B3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45616A4F" w14:textId="7547F8A2" w:rsidR="003458B3" w:rsidRPr="001E1A7D" w:rsidRDefault="001E1A7D" w:rsidP="003458B3">
            <w:pPr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Уп</w:t>
            </w:r>
            <w:r w:rsidR="00766B4D" w:rsidRPr="001E1A7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рава за заштиту биља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  </w:t>
            </w:r>
          </w:p>
          <w:p w14:paraId="5AE778CB" w14:textId="77777777" w:rsidR="00766B4D" w:rsidRPr="00766B4D" w:rsidRDefault="00766B4D" w:rsidP="003458B3">
            <w:pPr>
              <w:rPr>
                <w:rFonts w:ascii="Times New Roman" w:hAnsi="Times New Roman"/>
                <w:sz w:val="22"/>
                <w:szCs w:val="22"/>
                <w:lang w:val="sr-Latn-RS"/>
              </w:rPr>
            </w:pPr>
          </w:p>
          <w:p w14:paraId="7F9B76AE" w14:textId="53C060CE" w:rsidR="003458B3" w:rsidRDefault="003458B3" w:rsidP="003458B3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A02F2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4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. </w:t>
            </w:r>
            <w:r w:rsidRPr="003458B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Подношење електронских захтева странке</w:t>
            </w:r>
          </w:p>
          <w:p w14:paraId="45141D06" w14:textId="77777777" w:rsidR="00B16CC5" w:rsidRPr="003458B3" w:rsidRDefault="00B16CC5" w:rsidP="003458B3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A24F35D" w14:textId="77777777" w:rsidR="003458B3" w:rsidRPr="003458B3" w:rsidRDefault="003458B3" w:rsidP="003458B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о општем управном поступку („Сл. гласник РС“, бр. 18/2016), чл. 56, предвиђено је електронско општење између органа и странака, а чланом 39. Закона о електронској управи ("Сл. гласник РС", број 27/2018), који ће се примењивати од октобра 2019. 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1A3C4FAF" w14:textId="704658D8" w:rsidR="003458B3" w:rsidRDefault="003458B3" w:rsidP="003458B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омогућавање електронског подношења захтева.</w:t>
            </w:r>
          </w:p>
          <w:p w14:paraId="55CB5BEA" w14:textId="77777777" w:rsidR="00B16CC5" w:rsidRPr="003458B3" w:rsidRDefault="00B16CC5" w:rsidP="003458B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6AB94CB" w14:textId="2234B174" w:rsidR="00A30DAD" w:rsidRPr="00B16CC5" w:rsidRDefault="00913BD2" w:rsidP="00DC6965">
            <w:pPr>
              <w:jc w:val="left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16CC5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3EAB4AF8" w14:textId="1BF9512B" w:rsidR="00913BD2" w:rsidRPr="003458B3" w:rsidRDefault="00913BD2" w:rsidP="00DC6965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DC6965" w:rsidRPr="003458B3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DC6965" w:rsidRPr="003458B3" w:rsidRDefault="00DC6965" w:rsidP="009A38F9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458B3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DC6965" w:rsidRPr="003458B3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AAC1A09" w14:textId="076F8BB6" w:rsidR="003445B5" w:rsidRDefault="003445B5" w:rsidP="003445B5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1.</w:t>
            </w:r>
          </w:p>
          <w:p w14:paraId="2F559597" w14:textId="77777777" w:rsidR="003445B5" w:rsidRPr="003445B5" w:rsidRDefault="00A30DAD" w:rsidP="003445B5">
            <w:pPr>
              <w:spacing w:before="120" w:after="120"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445B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5D9FD765" w14:textId="77777777" w:rsidR="003445B5" w:rsidRPr="003445B5" w:rsidRDefault="00A30DAD" w:rsidP="00A30DAD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445B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ЗАКОН О ИЗМЕНАМА И ДОПУНАМА ЗАКОНА О </w:t>
            </w:r>
          </w:p>
          <w:p w14:paraId="6C01917D" w14:textId="58172325" w:rsidR="00A30DAD" w:rsidRPr="003445B5" w:rsidRDefault="00A30DAD" w:rsidP="00A30DAD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445B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ГЕНЕТИЧКИ МОДИФИКОВАНИМ ОРГАНИЗМИМА </w:t>
            </w:r>
          </w:p>
          <w:p w14:paraId="197055CC" w14:textId="42DFE240" w:rsidR="009A366A" w:rsidRPr="003458B3" w:rsidRDefault="009A366A" w:rsidP="003458B3">
            <w:pPr>
              <w:pStyle w:val="ListParagraph"/>
              <w:spacing w:before="120" w:after="120"/>
              <w:ind w:left="7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bookmarkStart w:id="1" w:name="_Hlk535702634"/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5D186E0C" w14:textId="3295C6A5" w:rsidR="00F3082A" w:rsidRPr="003458B3" w:rsidRDefault="00913BD2" w:rsidP="003458B3">
            <w:pPr>
              <w:pStyle w:val="ListParagraph"/>
              <w:spacing w:before="120" w:after="120"/>
              <w:ind w:left="7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  </w:t>
            </w:r>
            <w:r w:rsidR="00F3082A"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У Закону о генетички модификованим организмима (</w:t>
            </w:r>
            <w:r w:rsidR="003445B5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="00F3082A"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Службени гласник РС</w:t>
            </w:r>
            <w:r w:rsidR="003445B5">
              <w:rPr>
                <w:rFonts w:ascii="Times New Roman" w:hAnsi="Times New Roman"/>
                <w:sz w:val="22"/>
                <w:szCs w:val="22"/>
                <w:lang w:val="sr-Cyrl-RS"/>
              </w:rPr>
              <w:t>“</w:t>
            </w:r>
            <w:r w:rsidR="00F3082A"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, број 41/2009) у члану 7. после става 2. додаје се став 3. који гласи:</w:t>
            </w:r>
          </w:p>
          <w:p w14:paraId="0D42ACE9" w14:textId="2485671F" w:rsidR="00F3082A" w:rsidRPr="003458B3" w:rsidRDefault="00F3082A" w:rsidP="003458B3">
            <w:pPr>
              <w:pStyle w:val="ListParagraph"/>
              <w:spacing w:before="120" w:after="120"/>
              <w:ind w:left="7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„Савет даје стручно мишљење из става 1. тачка 3) овог члана у року од 30 дана од пријема захтева за давање стручног мишљења, односно у року од 30 дана од достављања извештаја овлашћене лабораторије, ако је такво мишљење затражено.“</w:t>
            </w:r>
          </w:p>
          <w:p w14:paraId="51F0255C" w14:textId="21F78566" w:rsidR="00F3082A" w:rsidRPr="003458B3" w:rsidRDefault="00F3082A" w:rsidP="003458B3">
            <w:pPr>
              <w:pStyle w:val="ListParagraph"/>
              <w:spacing w:before="120" w:after="120"/>
              <w:ind w:left="7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 Досадашњи став 3. постаје став 4.</w:t>
            </w:r>
          </w:p>
          <w:p w14:paraId="2FC54CDB" w14:textId="3F224D3E" w:rsidR="009A366A" w:rsidRPr="003458B3" w:rsidRDefault="009A366A" w:rsidP="003458B3">
            <w:pPr>
              <w:pStyle w:val="ListParagraph"/>
              <w:spacing w:before="120" w:after="120"/>
              <w:ind w:left="7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1FA1BA4" w14:textId="0E2F62BA" w:rsidR="009A366A" w:rsidRPr="003458B3" w:rsidRDefault="009A366A" w:rsidP="003458B3">
            <w:pPr>
              <w:pStyle w:val="ListParagraph"/>
              <w:spacing w:before="120" w:after="120"/>
              <w:ind w:left="7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6E89F49E" w14:textId="051F68B1" w:rsidR="00F3082A" w:rsidRPr="003458B3" w:rsidRDefault="00FA7BA1" w:rsidP="003458B3">
            <w:pPr>
              <w:pStyle w:val="ListParagraph"/>
              <w:spacing w:before="120" w:after="120"/>
              <w:ind w:left="7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  </w:t>
            </w:r>
            <w:r w:rsidR="00F3082A"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члану 14. став 2. после речи „достави га Министарству“ брише се тачка и додају речи „у року који не може бити дужи од 15 дана од времена неопходног за спровођење испитивања.“ </w:t>
            </w:r>
          </w:p>
          <w:p w14:paraId="3D7A4C5B" w14:textId="4AEB2BFF" w:rsidR="00F3082A" w:rsidRPr="003458B3" w:rsidRDefault="00F3082A" w:rsidP="003458B3">
            <w:pPr>
              <w:pStyle w:val="ListParagraph"/>
              <w:spacing w:before="120" w:after="120"/>
              <w:ind w:left="7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B03B8D8" w14:textId="012C4AAD" w:rsidR="009A366A" w:rsidRPr="003458B3" w:rsidRDefault="009A366A" w:rsidP="003458B3">
            <w:pPr>
              <w:pStyle w:val="ListParagraph"/>
              <w:spacing w:before="120" w:after="120"/>
              <w:ind w:left="7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Члан 3.</w:t>
            </w:r>
          </w:p>
          <w:p w14:paraId="1AA79F4F" w14:textId="34D394C8" w:rsidR="00F3082A" w:rsidRPr="003458B3" w:rsidRDefault="00F3082A" w:rsidP="003458B3">
            <w:pPr>
              <w:pStyle w:val="ListParagraph"/>
              <w:spacing w:before="120" w:after="120"/>
              <w:ind w:left="7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</w:t>
            </w:r>
            <w:r w:rsidR="00FA7BA1"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 </w:t>
            </w: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У члану 16. после става 4. додају се нови ставови 5. и 6. који гласе:</w:t>
            </w:r>
          </w:p>
          <w:p w14:paraId="2B974FCD" w14:textId="2E6559E6" w:rsidR="00F3082A" w:rsidRPr="003458B3" w:rsidRDefault="00F3082A" w:rsidP="003458B3">
            <w:pPr>
              <w:pStyle w:val="ListParagraph"/>
              <w:spacing w:before="120" w:after="120"/>
              <w:ind w:left="7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</w:t>
            </w:r>
            <w:r w:rsidR="00FA7BA1"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</w:t>
            </w: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„Министар доноси решење из ст. 1. и 2. овог члана у року који не може бити дужи од 15 дана од дана достављања мишљења Стручног савета и извештаја овлашћене лабораторије“</w:t>
            </w:r>
          </w:p>
          <w:p w14:paraId="66DD247E" w14:textId="195951DA" w:rsidR="00F3082A" w:rsidRPr="003458B3" w:rsidRDefault="00F3082A" w:rsidP="003458B3">
            <w:pPr>
              <w:pStyle w:val="ListParagraph"/>
              <w:spacing w:before="120" w:after="120"/>
              <w:ind w:left="7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</w:t>
            </w:r>
            <w:r w:rsidR="00FA7BA1"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</w:t>
            </w: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Време важења одобрења из става 1. овог члана не може бити краће од шест месеци нити дуже од две године.“</w:t>
            </w:r>
          </w:p>
          <w:p w14:paraId="4CCDD861" w14:textId="1A8B3D21" w:rsidR="00F3082A" w:rsidRPr="003458B3" w:rsidRDefault="00F3082A" w:rsidP="003458B3">
            <w:pPr>
              <w:pStyle w:val="ListParagraph"/>
              <w:spacing w:before="120" w:after="120"/>
              <w:ind w:left="7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</w:t>
            </w:r>
            <w:r w:rsidR="00FA7BA1"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</w:t>
            </w: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Досадашњи став 5. постаје став 7.</w:t>
            </w:r>
          </w:p>
          <w:bookmarkEnd w:id="1"/>
          <w:p w14:paraId="6A2B9B53" w14:textId="659CD438" w:rsidR="0003021C" w:rsidRPr="003458B3" w:rsidRDefault="0003021C" w:rsidP="003458B3">
            <w:pPr>
              <w:pStyle w:val="ListParagraph"/>
              <w:spacing w:before="120" w:after="120"/>
              <w:ind w:left="7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7CFDFF1" w14:textId="77777777" w:rsidR="009A366A" w:rsidRPr="003458B3" w:rsidRDefault="009A366A" w:rsidP="003458B3">
            <w:pPr>
              <w:spacing w:before="120" w:after="120"/>
              <w:ind w:left="7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Члан 4. </w:t>
            </w:r>
          </w:p>
          <w:p w14:paraId="44154959" w14:textId="363E0172" w:rsidR="009A366A" w:rsidRPr="003458B3" w:rsidRDefault="009A366A" w:rsidP="003458B3">
            <w:pPr>
              <w:ind w:left="70" w:firstLine="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 Овај закон ступа на снагу осмог дана од дана објављивања у „Службеном гласнику Републике Србије”.</w:t>
            </w:r>
          </w:p>
          <w:p w14:paraId="39763933" w14:textId="31EDE362" w:rsidR="00DC6965" w:rsidRPr="003458B3" w:rsidRDefault="00DC6965" w:rsidP="004C5DFB">
            <w:pPr>
              <w:pStyle w:val="ListParagraph"/>
              <w:spacing w:before="120" w:after="120"/>
              <w:ind w:left="7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DC6965" w:rsidRPr="003458B3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DC6965" w:rsidRPr="003458B3" w:rsidRDefault="00DC6965" w:rsidP="009A38F9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458B3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DC6965" w:rsidRPr="003458B3" w14:paraId="3C4DDA6A" w14:textId="77777777" w:rsidTr="001F51D3">
        <w:trPr>
          <w:trHeight w:val="6290"/>
        </w:trPr>
        <w:tc>
          <w:tcPr>
            <w:tcW w:w="9060" w:type="dxa"/>
            <w:gridSpan w:val="2"/>
            <w:shd w:val="clear" w:color="auto" w:fill="auto"/>
          </w:tcPr>
          <w:p w14:paraId="1E72314C" w14:textId="377B04B8" w:rsidR="002C3611" w:rsidRPr="003458B3" w:rsidRDefault="002C3611" w:rsidP="002C3611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НАЦРТ ЗАКОНА О ИЗМЕНАМА И ДОПУНАМА ЗАКОНА О ГЕНЕТИЧКИ МОДИФИКОВАНИМ ОРГАНИЗМИМА</w:t>
            </w:r>
          </w:p>
          <w:p w14:paraId="249C3AB5" w14:textId="77777777" w:rsidR="00DC6965" w:rsidRPr="003458B3" w:rsidRDefault="00DC6965" w:rsidP="00DC6965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6B575B5" w14:textId="77777777" w:rsidR="002C3611" w:rsidRPr="003458B3" w:rsidRDefault="002C3611" w:rsidP="002C3611">
            <w:pPr>
              <w:spacing w:after="6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Послови Стручног савета</w:t>
            </w:r>
          </w:p>
          <w:p w14:paraId="303956B8" w14:textId="77777777" w:rsidR="002C3611" w:rsidRPr="003458B3" w:rsidRDefault="002C3611" w:rsidP="002C3611">
            <w:pPr>
              <w:spacing w:after="6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7.</w:t>
            </w:r>
          </w:p>
          <w:p w14:paraId="22C08D2A" w14:textId="77777777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Стручни савет:</w:t>
            </w:r>
          </w:p>
          <w:p w14:paraId="4FF44033" w14:textId="77777777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1) процењује тачност података из пријаве која се подноси за издавање одобрења за употребу у затвореним системима и за намерно увођење у животну средину на основу приложене документације, при чему се користе подаци из светске праксе;</w:t>
            </w:r>
          </w:p>
          <w:p w14:paraId="684FCA5A" w14:textId="77777777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2) врши процену ризика при намерном увођењу у животну средину;</w:t>
            </w:r>
          </w:p>
          <w:p w14:paraId="5812D921" w14:textId="77777777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3) даје стручно мишљење министарству надлежном за послове пољопривреде (у даљем тексту: Министарство) о испуњености услова за добијање дозволе за употребу у затвореним системима;</w:t>
            </w:r>
          </w:p>
          <w:p w14:paraId="6620992F" w14:textId="77777777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4) даје стручно мишљење Министарству о испуњености услова за давање одобрења за намерно увођење у животну средину;</w:t>
            </w:r>
          </w:p>
          <w:p w14:paraId="0BA183E2" w14:textId="77777777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5) разматра резултате намерног увођења у животну средину;</w:t>
            </w:r>
          </w:p>
          <w:p w14:paraId="4E4D267B" w14:textId="77777777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6) разматра предлоге за измену прописа о ГМО;</w:t>
            </w:r>
          </w:p>
          <w:p w14:paraId="00CA0B10" w14:textId="77777777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7) разматра друга стручна мишљења која се односе на ГМО и производе од ГМО.</w:t>
            </w:r>
          </w:p>
          <w:p w14:paraId="62171823" w14:textId="6D0295F5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Стручни савет ради по принципу „случај по случај”, у свом раду се руководи подацима који су засновани на научним сазнањима и поштује принцип предострожности.</w:t>
            </w:r>
          </w:p>
          <w:p w14:paraId="173FBE5C" w14:textId="2AB86DF6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>САВЕТ ДАЈЕ СТРУЧНО МИШЉЕЊЕ ИЗ СТАВА 1. ТАЧКА 3) ОВОГ ЧЛАНА У РОКУ ОД 30 ДАНА ОД ПРИЈЕМА ЗАХТЕВА ЗА ДАВАЊЕ СТРУЧНОГ МИШЉЕЊА, ОДНОСНО У РОКУ ОД 30 ДАНА ОД ДОСТАВЉАЊА ИЗВЕШТАЈА ОВЛАШЋЕНЕ ЛАБОРАТОРИЈЕ, АКО ЈЕ ТАКВО МИШЉЕЊЕ ЗАТРАЖЕНО.</w:t>
            </w:r>
          </w:p>
          <w:p w14:paraId="4E96890E" w14:textId="77777777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Стручни савет доноси Пословник о свом раду.</w:t>
            </w:r>
          </w:p>
          <w:p w14:paraId="375C3FB3" w14:textId="77777777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2739A28" w14:textId="77777777" w:rsidR="002C3611" w:rsidRPr="003458B3" w:rsidRDefault="002C3611" w:rsidP="002C3611">
            <w:pPr>
              <w:spacing w:after="6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Испитивање и извештај о извршеном испитивању</w:t>
            </w:r>
          </w:p>
          <w:p w14:paraId="2AC6B5AC" w14:textId="77777777" w:rsidR="002C3611" w:rsidRPr="003458B3" w:rsidRDefault="002C3611" w:rsidP="002C3611">
            <w:pPr>
              <w:spacing w:after="6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14.</w:t>
            </w:r>
          </w:p>
          <w:p w14:paraId="2434600D" w14:textId="77777777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Подносилац пријаве доставља овлашћеној лабараторији одређену количину материјала ради испитивања ГМО и производа од ГМО на захтев Министарства у току разматрања пријаве или по добијању одобрења.</w:t>
            </w:r>
          </w:p>
          <w:p w14:paraId="0855A107" w14:textId="49043FE1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Овлашћена лабораторија дужна је да после извршеног испитивања из става 1. овог члана </w:t>
            </w: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сачини извештај и достави га Министарству</w:t>
            </w:r>
            <w:r w:rsidRPr="003458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РОКУ КОЈИ НЕ МОЖЕ БИТИ ДУЖИ ОД 15 ДАНА ОД ВРЕМЕНА НЕОПХОДНОГ ЗА СПРОВОЂЕЊЕ ИСПИТИВАЊА.</w:t>
            </w:r>
          </w:p>
          <w:p w14:paraId="580F35E6" w14:textId="77777777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Овлашћена лабораторија и запослени у њој дужни су да чувају податке који су означени као поверљиви, као и резултате добијене на основу испитивања, у складу са овим законом.</w:t>
            </w:r>
          </w:p>
          <w:p w14:paraId="4BC236CD" w14:textId="77777777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 прописује начин и рокове за извештавање из става 2. овог члана.</w:t>
            </w:r>
          </w:p>
          <w:p w14:paraId="181028F4" w14:textId="77777777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55650EE" w14:textId="77777777" w:rsidR="002C3611" w:rsidRPr="003458B3" w:rsidRDefault="002C3611" w:rsidP="002C3611">
            <w:pPr>
              <w:spacing w:after="6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Доношење одлуке</w:t>
            </w:r>
          </w:p>
          <w:p w14:paraId="66340187" w14:textId="77777777" w:rsidR="002C3611" w:rsidRPr="003458B3" w:rsidRDefault="002C3611" w:rsidP="002C3611">
            <w:pPr>
              <w:spacing w:after="6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16.</w:t>
            </w:r>
          </w:p>
          <w:p w14:paraId="742B76F9" w14:textId="77777777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 основу мишљења Стручног савета, а имајући у виду и релевантне примедбе јавности, као и извештај овлашћене лабораторије уколико је извештај тражен, министар доноси решење којим одобрава употребу у затвореним системима, намерно увођење у животну средину, одређује мере сигурности и време трајања одобрења.</w:t>
            </w:r>
          </w:p>
          <w:p w14:paraId="428033FB" w14:textId="77777777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Уколико нису испуњени услови прописани овим законом за употребу у затвореним системима и за намерно увођење у животну средину министар доноси решење којим одбија захтев подносиоца пријаве.</w:t>
            </w:r>
          </w:p>
          <w:p w14:paraId="4B56F209" w14:textId="77777777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Решење министра из ст. 1. и 2. овог члана је коначно.</w:t>
            </w:r>
          </w:p>
          <w:p w14:paraId="6190128B" w14:textId="2E65DF44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Ако надлежни орган државне управе после доношења решења којим се одобрава употреба у затвореним системима и намерно увођење у животну средину утврди да стваралац, корисник или њихов овлашћен заступник у Републици Србији више не испуњава услове прописане за добијање одобрења наложиће наведеним лицима да предузму одговарајуће мере и решењем по потреби привремено или трајно одузети одобрење.</w:t>
            </w:r>
          </w:p>
          <w:p w14:paraId="5886418F" w14:textId="6CB61F35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 ДОНОСИ РЕШЕЊЕ ИЗ СТ. 1. И 2. ОВОГ ЧЛАНА У РОКУ КОЈИ НЕ МОЖЕ БИТИ ДУЖИ ОД 15 ДАНА ОД ДАНА ДОСТАВЉАЊА МИШЉЕЊА СТРУЧНОГ САВЕТА И ИЗВЕШТАЈА ОВЛАШЋЕНЕ ЛАБОРАТОРИЈЕ.</w:t>
            </w:r>
          </w:p>
          <w:p w14:paraId="153307C7" w14:textId="32BE4E40" w:rsidR="002C3611" w:rsidRPr="003458B3" w:rsidRDefault="002C3611" w:rsidP="002C3611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ВРЕМЕ ВАЖЕЊА ОДОБРЕЊА ИЗ СТАВА 1. ОВОГ ЧЛАНА НЕ МОЖЕ БИТИ КРАЋЕ ОД ШЕСТ МЕСЕЦИ НИТИ ДУЖЕ ОД ДВЕ ГОДИНЕ.</w:t>
            </w:r>
          </w:p>
          <w:p w14:paraId="50601735" w14:textId="300FCC0B" w:rsidR="002C3611" w:rsidRDefault="002C3611" w:rsidP="00CA479C">
            <w:pPr>
              <w:spacing w:after="6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58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Решење министра из става 4. овог члана је коначно.</w:t>
            </w:r>
          </w:p>
          <w:p w14:paraId="1506ADFF" w14:textId="6D9BB787" w:rsidR="003445B5" w:rsidRPr="003458B3" w:rsidRDefault="003445B5" w:rsidP="002C361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DC6965" w:rsidRPr="003458B3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DC6965" w:rsidRPr="003458B3" w:rsidRDefault="00DC6965" w:rsidP="009A38F9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458B3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DC6965" w:rsidRPr="003458B3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2430768" w14:textId="77777777" w:rsidR="003445B5" w:rsidRDefault="003445B5" w:rsidP="003445B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8FEE0F2" w14:textId="77777777" w:rsidR="003445B5" w:rsidRDefault="003445B5" w:rsidP="003445B5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правној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сигурности привредних субјеката, поједностављењу поступка за привредне субјекте, скраћењу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рокова у поступку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331CCBA4" w14:textId="1F8B2B0A" w:rsidR="003445B5" w:rsidRPr="003458B3" w:rsidRDefault="003445B5" w:rsidP="003445B5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3458B3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3458B3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CA761" w14:textId="77777777" w:rsidR="00F74BFE" w:rsidRDefault="00F74BFE" w:rsidP="002A202F">
      <w:r>
        <w:separator/>
      </w:r>
    </w:p>
  </w:endnote>
  <w:endnote w:type="continuationSeparator" w:id="0">
    <w:p w14:paraId="5E671AB9" w14:textId="77777777" w:rsidR="00F74BFE" w:rsidRDefault="00F74BF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38FC594" w:rsidR="001F51F2" w:rsidRDefault="001F51F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5E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1F51F2" w:rsidRDefault="001F51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176B5" w14:textId="77777777" w:rsidR="00F74BFE" w:rsidRDefault="00F74BFE" w:rsidP="002A202F">
      <w:r>
        <w:separator/>
      </w:r>
    </w:p>
  </w:footnote>
  <w:footnote w:type="continuationSeparator" w:id="0">
    <w:p w14:paraId="7CDA9CF5" w14:textId="77777777" w:rsidR="00F74BFE" w:rsidRDefault="00F74BFE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75A64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21C04"/>
    <w:multiLevelType w:val="hybridMultilevel"/>
    <w:tmpl w:val="D8C813C2"/>
    <w:lvl w:ilvl="0" w:tplc="FF0AB7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7B7F0A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450504B0"/>
    <w:multiLevelType w:val="hybridMultilevel"/>
    <w:tmpl w:val="ED5448D4"/>
    <w:lvl w:ilvl="0" w:tplc="2A72C7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40E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3A46EE"/>
    <w:multiLevelType w:val="hybridMultilevel"/>
    <w:tmpl w:val="99ACDA14"/>
    <w:lvl w:ilvl="0" w:tplc="C682F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932B0C"/>
    <w:multiLevelType w:val="hybridMultilevel"/>
    <w:tmpl w:val="69102256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8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5"/>
  </w:num>
  <w:num w:numId="4">
    <w:abstractNumId w:val="3"/>
  </w:num>
  <w:num w:numId="5">
    <w:abstractNumId w:val="1"/>
  </w:num>
  <w:num w:numId="6">
    <w:abstractNumId w:val="14"/>
  </w:num>
  <w:num w:numId="7">
    <w:abstractNumId w:val="26"/>
  </w:num>
  <w:num w:numId="8">
    <w:abstractNumId w:val="11"/>
  </w:num>
  <w:num w:numId="9">
    <w:abstractNumId w:val="24"/>
  </w:num>
  <w:num w:numId="10">
    <w:abstractNumId w:val="21"/>
  </w:num>
  <w:num w:numId="11">
    <w:abstractNumId w:val="20"/>
  </w:num>
  <w:num w:numId="12">
    <w:abstractNumId w:val="19"/>
  </w:num>
  <w:num w:numId="13">
    <w:abstractNumId w:val="16"/>
  </w:num>
  <w:num w:numId="14">
    <w:abstractNumId w:val="22"/>
  </w:num>
  <w:num w:numId="15">
    <w:abstractNumId w:val="18"/>
  </w:num>
  <w:num w:numId="16">
    <w:abstractNumId w:val="12"/>
  </w:num>
  <w:num w:numId="17">
    <w:abstractNumId w:val="9"/>
  </w:num>
  <w:num w:numId="18">
    <w:abstractNumId w:val="25"/>
  </w:num>
  <w:num w:numId="19">
    <w:abstractNumId w:val="4"/>
  </w:num>
  <w:num w:numId="20">
    <w:abstractNumId w:val="28"/>
  </w:num>
  <w:num w:numId="21">
    <w:abstractNumId w:val="6"/>
  </w:num>
  <w:num w:numId="22">
    <w:abstractNumId w:val="2"/>
  </w:num>
  <w:num w:numId="23">
    <w:abstractNumId w:val="17"/>
  </w:num>
  <w:num w:numId="24">
    <w:abstractNumId w:val="0"/>
  </w:num>
  <w:num w:numId="25">
    <w:abstractNumId w:val="10"/>
  </w:num>
  <w:num w:numId="26">
    <w:abstractNumId w:val="8"/>
  </w:num>
  <w:num w:numId="27">
    <w:abstractNumId w:val="5"/>
  </w:num>
  <w:num w:numId="28">
    <w:abstractNumId w:val="13"/>
  </w:num>
  <w:num w:numId="29">
    <w:abstractNumId w:val="23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1444"/>
    <w:rsid w:val="00023EF9"/>
    <w:rsid w:val="00025711"/>
    <w:rsid w:val="00026C2F"/>
    <w:rsid w:val="00027945"/>
    <w:rsid w:val="0003021C"/>
    <w:rsid w:val="00036812"/>
    <w:rsid w:val="00044F35"/>
    <w:rsid w:val="00044F63"/>
    <w:rsid w:val="00050616"/>
    <w:rsid w:val="000565B2"/>
    <w:rsid w:val="00061070"/>
    <w:rsid w:val="0006349A"/>
    <w:rsid w:val="000818FD"/>
    <w:rsid w:val="00083993"/>
    <w:rsid w:val="00092B84"/>
    <w:rsid w:val="0009542A"/>
    <w:rsid w:val="000A53F3"/>
    <w:rsid w:val="000A5CDC"/>
    <w:rsid w:val="000B54D7"/>
    <w:rsid w:val="000D3C3C"/>
    <w:rsid w:val="000D5029"/>
    <w:rsid w:val="000E2036"/>
    <w:rsid w:val="000E2A21"/>
    <w:rsid w:val="000F48CF"/>
    <w:rsid w:val="000F5E72"/>
    <w:rsid w:val="0010505A"/>
    <w:rsid w:val="001156BA"/>
    <w:rsid w:val="0012312A"/>
    <w:rsid w:val="00127CBE"/>
    <w:rsid w:val="0015182D"/>
    <w:rsid w:val="00161847"/>
    <w:rsid w:val="00162301"/>
    <w:rsid w:val="00170CA7"/>
    <w:rsid w:val="001711C5"/>
    <w:rsid w:val="00176EBC"/>
    <w:rsid w:val="00186E68"/>
    <w:rsid w:val="001A023F"/>
    <w:rsid w:val="001A3FAC"/>
    <w:rsid w:val="001A6472"/>
    <w:rsid w:val="001B2BCF"/>
    <w:rsid w:val="001C5538"/>
    <w:rsid w:val="001C7273"/>
    <w:rsid w:val="001D0EDE"/>
    <w:rsid w:val="001D20E2"/>
    <w:rsid w:val="001E1A7D"/>
    <w:rsid w:val="001E38DE"/>
    <w:rsid w:val="001F51D3"/>
    <w:rsid w:val="001F51F2"/>
    <w:rsid w:val="001F7B31"/>
    <w:rsid w:val="0020285C"/>
    <w:rsid w:val="0020601F"/>
    <w:rsid w:val="00212DA5"/>
    <w:rsid w:val="0021347C"/>
    <w:rsid w:val="002323AC"/>
    <w:rsid w:val="00250BFA"/>
    <w:rsid w:val="00261404"/>
    <w:rsid w:val="002673B0"/>
    <w:rsid w:val="0026784B"/>
    <w:rsid w:val="00275E2A"/>
    <w:rsid w:val="00287E93"/>
    <w:rsid w:val="0029118F"/>
    <w:rsid w:val="00293EDF"/>
    <w:rsid w:val="00296938"/>
    <w:rsid w:val="00296969"/>
    <w:rsid w:val="002A202F"/>
    <w:rsid w:val="002B19B4"/>
    <w:rsid w:val="002C3611"/>
    <w:rsid w:val="002D47C0"/>
    <w:rsid w:val="002F1BEC"/>
    <w:rsid w:val="002F4757"/>
    <w:rsid w:val="003061ED"/>
    <w:rsid w:val="00322199"/>
    <w:rsid w:val="003223C7"/>
    <w:rsid w:val="00326555"/>
    <w:rsid w:val="00340DA1"/>
    <w:rsid w:val="003410E0"/>
    <w:rsid w:val="003445B5"/>
    <w:rsid w:val="003458B3"/>
    <w:rsid w:val="00350EAD"/>
    <w:rsid w:val="003651DB"/>
    <w:rsid w:val="003715A0"/>
    <w:rsid w:val="0037171F"/>
    <w:rsid w:val="0037196C"/>
    <w:rsid w:val="0037693A"/>
    <w:rsid w:val="00376FD1"/>
    <w:rsid w:val="0039002C"/>
    <w:rsid w:val="003B44DB"/>
    <w:rsid w:val="003B4BC9"/>
    <w:rsid w:val="003B6298"/>
    <w:rsid w:val="003C2952"/>
    <w:rsid w:val="003E2EB1"/>
    <w:rsid w:val="003E3C16"/>
    <w:rsid w:val="003F2232"/>
    <w:rsid w:val="00407D96"/>
    <w:rsid w:val="004147F3"/>
    <w:rsid w:val="00432495"/>
    <w:rsid w:val="004362F0"/>
    <w:rsid w:val="00444DA7"/>
    <w:rsid w:val="0044640E"/>
    <w:rsid w:val="0045766B"/>
    <w:rsid w:val="00457882"/>
    <w:rsid w:val="00463CC7"/>
    <w:rsid w:val="004735A8"/>
    <w:rsid w:val="004809C4"/>
    <w:rsid w:val="0048433C"/>
    <w:rsid w:val="004847B1"/>
    <w:rsid w:val="0049545B"/>
    <w:rsid w:val="004C0A51"/>
    <w:rsid w:val="004C5DFB"/>
    <w:rsid w:val="004D3BD0"/>
    <w:rsid w:val="004D45B1"/>
    <w:rsid w:val="004D68A7"/>
    <w:rsid w:val="004E29D1"/>
    <w:rsid w:val="004E6AE5"/>
    <w:rsid w:val="00500566"/>
    <w:rsid w:val="005073A3"/>
    <w:rsid w:val="005102F1"/>
    <w:rsid w:val="00523608"/>
    <w:rsid w:val="00525009"/>
    <w:rsid w:val="00525C0A"/>
    <w:rsid w:val="00535608"/>
    <w:rsid w:val="00556688"/>
    <w:rsid w:val="0056162B"/>
    <w:rsid w:val="0056707B"/>
    <w:rsid w:val="00581A9D"/>
    <w:rsid w:val="0058727F"/>
    <w:rsid w:val="00597091"/>
    <w:rsid w:val="005A2503"/>
    <w:rsid w:val="005B4F04"/>
    <w:rsid w:val="005B7CB9"/>
    <w:rsid w:val="005D0023"/>
    <w:rsid w:val="005E21C4"/>
    <w:rsid w:val="005F3923"/>
    <w:rsid w:val="005F4D59"/>
    <w:rsid w:val="0060001C"/>
    <w:rsid w:val="00600D31"/>
    <w:rsid w:val="00602B62"/>
    <w:rsid w:val="0060786A"/>
    <w:rsid w:val="006237FE"/>
    <w:rsid w:val="006249FA"/>
    <w:rsid w:val="00627AF7"/>
    <w:rsid w:val="00632540"/>
    <w:rsid w:val="00633F73"/>
    <w:rsid w:val="00645199"/>
    <w:rsid w:val="00645850"/>
    <w:rsid w:val="00654D39"/>
    <w:rsid w:val="00661421"/>
    <w:rsid w:val="00661ECF"/>
    <w:rsid w:val="0066434F"/>
    <w:rsid w:val="006648BC"/>
    <w:rsid w:val="00675E17"/>
    <w:rsid w:val="00682E2C"/>
    <w:rsid w:val="00692071"/>
    <w:rsid w:val="00694B28"/>
    <w:rsid w:val="006C5349"/>
    <w:rsid w:val="006C5F2A"/>
    <w:rsid w:val="006C662C"/>
    <w:rsid w:val="006D2845"/>
    <w:rsid w:val="006D2A5A"/>
    <w:rsid w:val="006E0B38"/>
    <w:rsid w:val="006F4A5C"/>
    <w:rsid w:val="00715F5C"/>
    <w:rsid w:val="007278C1"/>
    <w:rsid w:val="007309BD"/>
    <w:rsid w:val="00733493"/>
    <w:rsid w:val="00737F1D"/>
    <w:rsid w:val="00754CF8"/>
    <w:rsid w:val="0076455B"/>
    <w:rsid w:val="00766B4D"/>
    <w:rsid w:val="00782816"/>
    <w:rsid w:val="00785A46"/>
    <w:rsid w:val="007861E3"/>
    <w:rsid w:val="007936B5"/>
    <w:rsid w:val="007940D6"/>
    <w:rsid w:val="007B1740"/>
    <w:rsid w:val="007B373E"/>
    <w:rsid w:val="007C61B5"/>
    <w:rsid w:val="007D3889"/>
    <w:rsid w:val="007D39E4"/>
    <w:rsid w:val="007D43A7"/>
    <w:rsid w:val="007D5536"/>
    <w:rsid w:val="007E1695"/>
    <w:rsid w:val="007F204C"/>
    <w:rsid w:val="00804060"/>
    <w:rsid w:val="00805435"/>
    <w:rsid w:val="00811BAB"/>
    <w:rsid w:val="008166C9"/>
    <w:rsid w:val="00824E43"/>
    <w:rsid w:val="00833D8C"/>
    <w:rsid w:val="00834C9A"/>
    <w:rsid w:val="00836FFA"/>
    <w:rsid w:val="0084708C"/>
    <w:rsid w:val="00850AD5"/>
    <w:rsid w:val="00851C2A"/>
    <w:rsid w:val="00852069"/>
    <w:rsid w:val="00852739"/>
    <w:rsid w:val="0085297E"/>
    <w:rsid w:val="0085419B"/>
    <w:rsid w:val="008629CC"/>
    <w:rsid w:val="00865EBB"/>
    <w:rsid w:val="00877B88"/>
    <w:rsid w:val="008823BB"/>
    <w:rsid w:val="00886C36"/>
    <w:rsid w:val="008876A5"/>
    <w:rsid w:val="008A6AC8"/>
    <w:rsid w:val="008C5591"/>
    <w:rsid w:val="008D04A6"/>
    <w:rsid w:val="008D4C1A"/>
    <w:rsid w:val="008E77C0"/>
    <w:rsid w:val="008F0867"/>
    <w:rsid w:val="008F172F"/>
    <w:rsid w:val="008F2044"/>
    <w:rsid w:val="008F2BE1"/>
    <w:rsid w:val="008F4DD1"/>
    <w:rsid w:val="009056DB"/>
    <w:rsid w:val="00913BD2"/>
    <w:rsid w:val="00947592"/>
    <w:rsid w:val="00950280"/>
    <w:rsid w:val="00991A18"/>
    <w:rsid w:val="00994A16"/>
    <w:rsid w:val="009A30D3"/>
    <w:rsid w:val="009A366A"/>
    <w:rsid w:val="009A38F9"/>
    <w:rsid w:val="009C29F8"/>
    <w:rsid w:val="009D03A7"/>
    <w:rsid w:val="009D0B3F"/>
    <w:rsid w:val="009D2D21"/>
    <w:rsid w:val="009E0479"/>
    <w:rsid w:val="00A0102E"/>
    <w:rsid w:val="00A02A86"/>
    <w:rsid w:val="00A02F2F"/>
    <w:rsid w:val="00A1039D"/>
    <w:rsid w:val="00A1195E"/>
    <w:rsid w:val="00A12960"/>
    <w:rsid w:val="00A1570D"/>
    <w:rsid w:val="00A22386"/>
    <w:rsid w:val="00A30DAD"/>
    <w:rsid w:val="00A331AF"/>
    <w:rsid w:val="00A34082"/>
    <w:rsid w:val="00A34552"/>
    <w:rsid w:val="00A56B75"/>
    <w:rsid w:val="00A71C04"/>
    <w:rsid w:val="00A7253E"/>
    <w:rsid w:val="00AA0017"/>
    <w:rsid w:val="00AA4BC5"/>
    <w:rsid w:val="00AA5CDF"/>
    <w:rsid w:val="00AB09B3"/>
    <w:rsid w:val="00AB5AC4"/>
    <w:rsid w:val="00AB71D5"/>
    <w:rsid w:val="00AC02D1"/>
    <w:rsid w:val="00AD506C"/>
    <w:rsid w:val="00AE7004"/>
    <w:rsid w:val="00B06019"/>
    <w:rsid w:val="00B07409"/>
    <w:rsid w:val="00B1006E"/>
    <w:rsid w:val="00B12788"/>
    <w:rsid w:val="00B16CC5"/>
    <w:rsid w:val="00B178FB"/>
    <w:rsid w:val="00B41B22"/>
    <w:rsid w:val="00B5252A"/>
    <w:rsid w:val="00B63DB1"/>
    <w:rsid w:val="00B67138"/>
    <w:rsid w:val="00B6715C"/>
    <w:rsid w:val="00B75EED"/>
    <w:rsid w:val="00B81CFE"/>
    <w:rsid w:val="00B839AB"/>
    <w:rsid w:val="00B903AE"/>
    <w:rsid w:val="00B9157F"/>
    <w:rsid w:val="00B95225"/>
    <w:rsid w:val="00BA3279"/>
    <w:rsid w:val="00BA55D3"/>
    <w:rsid w:val="00BA6759"/>
    <w:rsid w:val="00BA7204"/>
    <w:rsid w:val="00BB2BAA"/>
    <w:rsid w:val="00BB2C8C"/>
    <w:rsid w:val="00BC6826"/>
    <w:rsid w:val="00BC6D45"/>
    <w:rsid w:val="00BF1CDB"/>
    <w:rsid w:val="00C0295C"/>
    <w:rsid w:val="00C03C06"/>
    <w:rsid w:val="00C052F0"/>
    <w:rsid w:val="00C054DC"/>
    <w:rsid w:val="00C121EC"/>
    <w:rsid w:val="00C12C65"/>
    <w:rsid w:val="00C445E2"/>
    <w:rsid w:val="00C70F1B"/>
    <w:rsid w:val="00C7129D"/>
    <w:rsid w:val="00C748D1"/>
    <w:rsid w:val="00C91014"/>
    <w:rsid w:val="00CA1CE9"/>
    <w:rsid w:val="00CA479C"/>
    <w:rsid w:val="00CB1A4E"/>
    <w:rsid w:val="00CC29F6"/>
    <w:rsid w:val="00CD2287"/>
    <w:rsid w:val="00CD5BBB"/>
    <w:rsid w:val="00CE0685"/>
    <w:rsid w:val="00D16677"/>
    <w:rsid w:val="00D37EA5"/>
    <w:rsid w:val="00D73628"/>
    <w:rsid w:val="00D73918"/>
    <w:rsid w:val="00D90FA9"/>
    <w:rsid w:val="00D96439"/>
    <w:rsid w:val="00D967D7"/>
    <w:rsid w:val="00DA125D"/>
    <w:rsid w:val="00DB19B9"/>
    <w:rsid w:val="00DC3FE5"/>
    <w:rsid w:val="00DC4BC2"/>
    <w:rsid w:val="00DC6965"/>
    <w:rsid w:val="00DD4605"/>
    <w:rsid w:val="00DE057D"/>
    <w:rsid w:val="00DE5DB5"/>
    <w:rsid w:val="00E0020F"/>
    <w:rsid w:val="00E118C7"/>
    <w:rsid w:val="00E1427B"/>
    <w:rsid w:val="00E14E0D"/>
    <w:rsid w:val="00E2143C"/>
    <w:rsid w:val="00E22B8B"/>
    <w:rsid w:val="00E24307"/>
    <w:rsid w:val="00E317D1"/>
    <w:rsid w:val="00E40DF0"/>
    <w:rsid w:val="00E4267B"/>
    <w:rsid w:val="00E444AF"/>
    <w:rsid w:val="00E47DAC"/>
    <w:rsid w:val="00E63C8A"/>
    <w:rsid w:val="00E70BF6"/>
    <w:rsid w:val="00E83052"/>
    <w:rsid w:val="00E91834"/>
    <w:rsid w:val="00EB0E74"/>
    <w:rsid w:val="00ED3A5F"/>
    <w:rsid w:val="00EE28FE"/>
    <w:rsid w:val="00EF41CB"/>
    <w:rsid w:val="00F11C98"/>
    <w:rsid w:val="00F12E47"/>
    <w:rsid w:val="00F223B2"/>
    <w:rsid w:val="00F269BA"/>
    <w:rsid w:val="00F3082A"/>
    <w:rsid w:val="00F4049D"/>
    <w:rsid w:val="00F53241"/>
    <w:rsid w:val="00F5653E"/>
    <w:rsid w:val="00F67790"/>
    <w:rsid w:val="00F74BFE"/>
    <w:rsid w:val="00F84521"/>
    <w:rsid w:val="00FA18BC"/>
    <w:rsid w:val="00FA7BA1"/>
    <w:rsid w:val="00FB1A1B"/>
    <w:rsid w:val="00FB645B"/>
    <w:rsid w:val="00FC09D6"/>
    <w:rsid w:val="00FC34EC"/>
    <w:rsid w:val="00FC3F69"/>
    <w:rsid w:val="00FC5312"/>
    <w:rsid w:val="00FD3964"/>
    <w:rsid w:val="00FF1DA6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47B13EFF-F091-4890-8BB0-B4C805800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37086-8D09-4D3F-BF78-3FB1994E4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1642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7</cp:revision>
  <cp:lastPrinted>2018-09-05T12:48:00Z</cp:lastPrinted>
  <dcterms:created xsi:type="dcterms:W3CDTF">2019-06-04T19:47:00Z</dcterms:created>
  <dcterms:modified xsi:type="dcterms:W3CDTF">2019-07-12T15:03:00Z</dcterms:modified>
</cp:coreProperties>
</file>