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30588D4C" w:rsidR="00B1006E" w:rsidRPr="00456CB4" w:rsidRDefault="00CD1C1E" w:rsidP="000E2036">
      <w:pPr>
        <w:pStyle w:val="NormalWeb"/>
        <w:spacing w:before="0" w:beforeAutospacing="0" w:after="0" w:afterAutospacing="0" w:line="336" w:lineRule="atLeast"/>
        <w:jc w:val="center"/>
        <w:rPr>
          <w:b/>
          <w:color w:val="000000" w:themeColor="text1"/>
          <w:sz w:val="22"/>
          <w:szCs w:val="22"/>
          <w:lang w:val="sr-Cyrl-RS"/>
        </w:rPr>
      </w:pPr>
      <w:bookmarkStart w:id="0" w:name="_GoBack"/>
      <w:bookmarkEnd w:id="0"/>
      <w:r w:rsidRPr="00456CB4">
        <w:rPr>
          <w:b/>
          <w:color w:val="000000" w:themeColor="text1"/>
          <w:sz w:val="22"/>
          <w:szCs w:val="22"/>
          <w:lang w:val="sr-Cyrl-RS"/>
        </w:rPr>
        <w:t>ДИГИТАЛИЗАЦИЈА УЗ ПОЈЕДНОСТАВЉЕЊЕ ПОСТУПКА УПИСА У РЕГИСТАР ПРОИЗВОЂАЧА САДНОГ МАТЕРИЈАЛА, ВОЋАКА, ВИНОВЕ ЛОЗЕ И ХМЕЉА</w:t>
      </w:r>
    </w:p>
    <w:p w14:paraId="27687AA3" w14:textId="77777777" w:rsidR="00BF3BC5" w:rsidRPr="00456CB4" w:rsidRDefault="00BF3BC5" w:rsidP="000E2036">
      <w:pPr>
        <w:pStyle w:val="NormalWeb"/>
        <w:spacing w:before="0" w:beforeAutospacing="0" w:after="0" w:afterAutospacing="0" w:line="336" w:lineRule="atLeast"/>
        <w:jc w:val="center"/>
        <w:rPr>
          <w:b/>
          <w:color w:val="000000" w:themeColor="text1"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3174A5" w:rsidRPr="00A962A7" w14:paraId="1976FB87" w14:textId="77777777" w:rsidTr="771F800B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456CB4" w:rsidRDefault="000E2036" w:rsidP="00850AD5">
            <w:pPr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12FDB25" w:rsidR="000E2036" w:rsidRPr="00456CB4" w:rsidRDefault="771F800B" w:rsidP="771F800B">
            <w:pPr>
              <w:pStyle w:val="NormalWeb"/>
              <w:spacing w:before="120" w:beforeAutospacing="0" w:after="12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456CB4">
              <w:rPr>
                <w:b/>
                <w:bCs/>
                <w:sz w:val="22"/>
                <w:szCs w:val="22"/>
                <w:lang w:val="sr-Cyrl-RS"/>
              </w:rPr>
              <w:t>Упис у Регистар произвођача садног материјала воћака, винове лозе и хмеља</w:t>
            </w:r>
          </w:p>
        </w:tc>
      </w:tr>
      <w:tr w:rsidR="003174A5" w:rsidRPr="00456CB4" w14:paraId="7A6AA442" w14:textId="77777777" w:rsidTr="771F800B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456CB4" w:rsidRDefault="000E2036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b/>
                <w:color w:val="000000" w:themeColor="text1"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F2D2894" w:rsidR="000E2036" w:rsidRPr="00456CB4" w:rsidRDefault="0087477A" w:rsidP="00850AD5">
            <w:pPr>
              <w:pStyle w:val="NormalWeb"/>
              <w:spacing w:before="120" w:beforeAutospacing="0" w:after="12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b/>
                <w:color w:val="000000" w:themeColor="text1"/>
                <w:sz w:val="22"/>
                <w:szCs w:val="22"/>
                <w:lang w:val="sr-Cyrl-RS"/>
              </w:rPr>
              <w:t>16.02.0015</w:t>
            </w:r>
          </w:p>
        </w:tc>
      </w:tr>
      <w:tr w:rsidR="003174A5" w:rsidRPr="00A962A7" w14:paraId="2CEE52A6" w14:textId="77777777" w:rsidTr="771F800B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456CB4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b/>
                <w:color w:val="000000" w:themeColor="text1"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456CB4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b/>
                <w:color w:val="000000" w:themeColor="text1"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674EA30" w14:textId="77777777" w:rsidR="00092B84" w:rsidRPr="00456CB4" w:rsidRDefault="00812F42" w:rsidP="00850AD5">
            <w:pPr>
              <w:pStyle w:val="NormalWeb"/>
              <w:spacing w:before="120" w:beforeAutospacing="0" w:after="12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color w:val="000000" w:themeColor="text1"/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7E4926C0" w:rsidR="0070324B" w:rsidRPr="00456CB4" w:rsidRDefault="0070324B" w:rsidP="00850AD5">
            <w:pPr>
              <w:pStyle w:val="NormalWeb"/>
              <w:spacing w:before="120" w:beforeAutospacing="0" w:after="12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color w:val="000000" w:themeColor="text1"/>
                <w:sz w:val="22"/>
                <w:szCs w:val="22"/>
                <w:lang w:val="sr-Cyrl-RS"/>
              </w:rPr>
              <w:t>Управа за заштиту биља</w:t>
            </w:r>
          </w:p>
        </w:tc>
      </w:tr>
      <w:tr w:rsidR="003174A5" w:rsidRPr="00456CB4" w14:paraId="10DA1CD3" w14:textId="77777777" w:rsidTr="771F800B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456CB4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b/>
                <w:color w:val="000000" w:themeColor="text1"/>
                <w:sz w:val="22"/>
                <w:szCs w:val="22"/>
                <w:lang w:val="sr-Cyrl-RS"/>
              </w:rPr>
              <w:t>Правни о</w:t>
            </w:r>
            <w:r w:rsidR="00B903AE" w:rsidRPr="00456CB4">
              <w:rPr>
                <w:b/>
                <w:color w:val="000000" w:themeColor="text1"/>
                <w:sz w:val="22"/>
                <w:szCs w:val="22"/>
                <w:lang w:val="sr-Cyrl-RS"/>
              </w:rPr>
              <w:t>квир</w:t>
            </w:r>
            <w:r w:rsidR="00DC4BC2" w:rsidRPr="00456CB4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510BD2F" w14:textId="3344167C" w:rsidR="003F40A1" w:rsidRPr="00456CB4" w:rsidRDefault="0087477A" w:rsidP="00A5786F">
            <w:pPr>
              <w:pStyle w:val="ListParagraph"/>
              <w:numPr>
                <w:ilvl w:val="0"/>
                <w:numId w:val="27"/>
              </w:numPr>
              <w:spacing w:before="120" w:after="120"/>
              <w:ind w:left="346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Закон о садном материјалу воћака, винове лозе и хмеља</w:t>
            </w:r>
            <w:r w:rsidR="00A5786F"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70324B" w:rsidRPr="00A962A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("Сл. </w:t>
            </w:r>
            <w:r w:rsidR="0070324B"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Гласник РС“ бр. </w:t>
            </w:r>
            <w:r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18/2005-1, 30/2010-111 (др. закон)</w:t>
            </w:r>
            <w:r w:rsidR="00A5786F"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)</w:t>
            </w:r>
          </w:p>
          <w:p w14:paraId="2CCB5DCC" w14:textId="6677ACA4" w:rsidR="00812F42" w:rsidRPr="00456CB4" w:rsidRDefault="0087477A" w:rsidP="0070324B">
            <w:pPr>
              <w:pStyle w:val="ListParagraph"/>
              <w:numPr>
                <w:ilvl w:val="0"/>
                <w:numId w:val="27"/>
              </w:numPr>
              <w:spacing w:before="120" w:after="120"/>
              <w:ind w:left="346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Правилник о садржини и начину вођења Регистра произвођача садног материј</w:t>
            </w:r>
            <w:r w:rsidR="00A5786F"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ала воћака, винове лозе и хмеља </w:t>
            </w:r>
            <w:r w:rsidR="00A5786F" w:rsidRPr="00A962A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(</w:t>
            </w:r>
            <w:r w:rsidR="0070324B" w:rsidRPr="00A962A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("Сл. </w:t>
            </w:r>
            <w:r w:rsidR="0070324B"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Гласник РС“ бр. </w:t>
            </w:r>
            <w:r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29/2006-7</w:t>
            </w:r>
            <w:r w:rsidR="00A5786F"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)</w:t>
            </w:r>
          </w:p>
        </w:tc>
      </w:tr>
      <w:tr w:rsidR="003174A5" w:rsidRPr="00A962A7" w14:paraId="724CF23D" w14:textId="77777777" w:rsidTr="771F800B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456CB4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456CB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456CB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456CB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456CB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456CB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926C5AC" w:rsidR="00D73918" w:rsidRPr="00456CB4" w:rsidRDefault="00BF3BC5" w:rsidP="00850AD5">
            <w:pPr>
              <w:spacing w:before="120" w:after="12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>1. Закон о садном материјалу воћака, винове лозе и хмеља  ("Сл. Гласник РС“ бр. 18/2005, 30/2010</w:t>
            </w:r>
            <w:r w:rsid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 xml:space="preserve"> </w:t>
            </w: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>(др. закон))</w:t>
            </w:r>
          </w:p>
        </w:tc>
      </w:tr>
      <w:tr w:rsidR="003174A5" w:rsidRPr="00456CB4" w14:paraId="58812BCA" w14:textId="77777777" w:rsidTr="771F800B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456CB4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b/>
                <w:color w:val="000000" w:themeColor="text1"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456CB4">
              <w:rPr>
                <w:b/>
                <w:color w:val="000000" w:themeColor="text1"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61AD465" w:rsidR="00804060" w:rsidRPr="00456CB4" w:rsidRDefault="0070324B" w:rsidP="00776154">
            <w:pPr>
              <w:pStyle w:val="NormalWeb"/>
              <w:spacing w:before="0" w:beforeAutospacing="0" w:after="0" w:afterAutospacing="0"/>
              <w:contextualSpacing/>
              <w:rPr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color w:val="000000" w:themeColor="text1"/>
                <w:sz w:val="22"/>
                <w:szCs w:val="22"/>
                <w:lang w:val="sr-Cyrl-RS"/>
              </w:rPr>
              <w:t>Четврти квартал 20</w:t>
            </w:r>
            <w:r w:rsidR="00776154" w:rsidRPr="00456CB4">
              <w:rPr>
                <w:color w:val="000000" w:themeColor="text1"/>
                <w:sz w:val="22"/>
                <w:szCs w:val="22"/>
                <w:lang w:val="sr-Cyrl-RS"/>
              </w:rPr>
              <w:t>20</w:t>
            </w:r>
            <w:r w:rsidRPr="00456CB4">
              <w:rPr>
                <w:color w:val="000000" w:themeColor="text1"/>
                <w:sz w:val="22"/>
                <w:szCs w:val="22"/>
                <w:lang w:val="sr-Cyrl-RS"/>
              </w:rPr>
              <w:t xml:space="preserve">. </w:t>
            </w:r>
            <w:r w:rsidR="00776154" w:rsidRPr="00456CB4">
              <w:rPr>
                <w:color w:val="000000" w:themeColor="text1"/>
                <w:sz w:val="22"/>
                <w:szCs w:val="22"/>
                <w:lang w:val="sr-Cyrl-RS"/>
              </w:rPr>
              <w:t>године</w:t>
            </w:r>
            <w:r w:rsidRPr="00456CB4">
              <w:rPr>
                <w:color w:val="000000" w:themeColor="text1"/>
                <w:sz w:val="22"/>
                <w:szCs w:val="22"/>
                <w:lang w:val="sr-Cyrl-RS"/>
              </w:rPr>
              <w:t>.</w:t>
            </w:r>
          </w:p>
        </w:tc>
      </w:tr>
      <w:tr w:rsidR="003174A5" w:rsidRPr="00456CB4" w14:paraId="539113B1" w14:textId="77777777" w:rsidTr="771F800B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674499CB" w:rsidR="00275E2A" w:rsidRPr="00456CB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b/>
                <w:color w:val="000000" w:themeColor="text1"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3174A5" w:rsidRPr="00A962A7" w14:paraId="4635A4BE" w14:textId="77777777" w:rsidTr="771F800B">
        <w:tc>
          <w:tcPr>
            <w:tcW w:w="9060" w:type="dxa"/>
            <w:gridSpan w:val="2"/>
          </w:tcPr>
          <w:p w14:paraId="20B2CFFD" w14:textId="77777777" w:rsidR="00776154" w:rsidRPr="00456CB4" w:rsidRDefault="00776154" w:rsidP="004C77BF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02507B03" w14:textId="285A065C" w:rsidR="004C77BF" w:rsidRPr="00A962A7" w:rsidRDefault="003174A5" w:rsidP="004C77BF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У</w:t>
            </w:r>
            <w:r w:rsidR="004C77BF"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становљено </w:t>
            </w:r>
            <w:r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је </w:t>
            </w:r>
            <w:r w:rsidR="004C77BF"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да се уз захтев потражује достављање  Уговора о сарадњи, ради података о физичким лицима која за потребе подносиоца захтева производе садни материјал , овај уговор подносилац захтева предаје у оргиналу, копији или овереној копији,  као и  Дипломе о завршеном образовању,  ради података о степену и образовном профилу лица које ће вршити промет за потребе подносиоца захтева, овај документ подносилац захтева предаје у копији или овереној копији, и Уговора о закупу царинског складишта/складиштењу, ради података о  власнику царинског складишта и адреси царинског складишта , овај уговор подносилац захтева предаје у копији или овереној копији,   Достављање ових докумената у оргиналу или овереној копији увећава индиректне трошкове подносиоца захтева. </w:t>
            </w:r>
            <w:r w:rsidR="004C77BF" w:rsidRPr="00A962A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12B69A77" w14:textId="77777777" w:rsidR="004C77BF" w:rsidRPr="00456CB4" w:rsidRDefault="004C77BF" w:rsidP="00D664D2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580A82C7" w14:textId="1E23C685" w:rsidR="004C77BF" w:rsidRPr="00456CB4" w:rsidRDefault="004C77BF" w:rsidP="004C77BF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673A9AB2" w14:textId="77777777" w:rsidR="00D664D2" w:rsidRPr="00456CB4" w:rsidRDefault="00D664D2" w:rsidP="00D664D2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569D6CC0" w14:textId="3BA87DE4" w:rsidR="00715FB0" w:rsidRPr="00456CB4" w:rsidRDefault="00A44D61" w:rsidP="00D664D2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Образац захтева је припремљен од стране организационе јединице, на основу елемената дефинисаних прописом и садржи информације које су у складу са начином на који се поступак спроводи </w:t>
            </w:r>
            <w:r w:rsidR="003174A5"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тренутно.</w:t>
            </w:r>
          </w:p>
          <w:p w14:paraId="1BB4B98F" w14:textId="77777777" w:rsidR="00D664D2" w:rsidRPr="00456CB4" w:rsidRDefault="00D664D2" w:rsidP="00D664D2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69F29183" w14:textId="45BEDCE3" w:rsidR="00B502CA" w:rsidRPr="00456CB4" w:rsidRDefault="00B502CA" w:rsidP="00D664D2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Анализом овог административног поступка утврђено је да се на обрасцу захтева </w:t>
            </w:r>
            <w:r w:rsidR="005B518B"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који је припремљен од стране организационе јединице на основу елемената дефинисаних прописом захтева </w:t>
            </w:r>
            <w:r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печат</w:t>
            </w:r>
            <w:r w:rsidR="005B518B"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подносиоца захтева</w:t>
            </w:r>
            <w:r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. Ово је супротно члану 25. Закона о привредним друштвима.</w:t>
            </w:r>
          </w:p>
          <w:p w14:paraId="462CC369" w14:textId="77777777" w:rsidR="00C3776D" w:rsidRPr="00456CB4" w:rsidRDefault="00C3776D" w:rsidP="00D664D2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60C12D8D" w14:textId="77777777" w:rsidR="004C77BF" w:rsidRPr="00456CB4" w:rsidRDefault="004C77BF" w:rsidP="004C77BF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</w:pPr>
            <w:r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  <w:t xml:space="preserve"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</w:t>
            </w:r>
            <w:r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  <w:lastRenderedPageBreak/>
              <w:t>евиденција а који су неопходни за одлучивање у поступку и да се поступак води без одуговлачења и са што мање трошкова по странку. Достављање ових података од стране подносиоца захтева њима ствара непотребно административно оптерећење.</w:t>
            </w:r>
          </w:p>
          <w:p w14:paraId="4BCB02C2" w14:textId="56624571" w:rsidR="00715FB0" w:rsidRPr="00456CB4" w:rsidRDefault="00715FB0" w:rsidP="00D664D2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3174A5" w:rsidRPr="00456CB4" w14:paraId="31663FC5" w14:textId="77777777" w:rsidTr="771F800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456CB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3174A5" w:rsidRPr="00456CB4" w14:paraId="3010E605" w14:textId="77777777" w:rsidTr="771F800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1"/>
              <w:gridCol w:w="7"/>
            </w:tblGrid>
            <w:tr w:rsidR="003174A5" w:rsidRPr="00A962A7" w14:paraId="30C2F8E8" w14:textId="77777777" w:rsidTr="002B1DD0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456CB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456CB4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456CB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456CB4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456CB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456CB4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3174A5" w:rsidRPr="00456CB4" w14:paraId="2B15C487" w14:textId="77777777" w:rsidTr="002B1DD0">
              <w:trPr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456CB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456CB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456CB4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456CB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456CB4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gridSpan w:val="2"/>
                  <w:vMerge/>
                </w:tcPr>
                <w:p w14:paraId="21FE126E" w14:textId="77777777" w:rsidR="00C70F1B" w:rsidRPr="00456CB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174A5" w:rsidRPr="00456CB4" w14:paraId="0C9E65B3" w14:textId="77777777" w:rsidTr="002B1DD0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64AF838F" w14:textId="09318E58" w:rsidR="004C77BF" w:rsidRPr="002B1DD0" w:rsidRDefault="004C77BF" w:rsidP="00C33D18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szCs w:val="22"/>
                      <w:lang w:val="sr-Cyrl-RS"/>
                    </w:rPr>
                  </w:pPr>
                  <w:r w:rsidRPr="002B1DD0"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8" w:type="dxa"/>
                  <w:gridSpan w:val="4"/>
                </w:tcPr>
                <w:p w14:paraId="222550ED" w14:textId="77777777" w:rsidR="004C77BF" w:rsidRPr="002B1DD0" w:rsidRDefault="004C77BF" w:rsidP="00C33D18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  <w:lang w:val="sr-Cyrl-RS"/>
                    </w:rPr>
                  </w:pPr>
                </w:p>
              </w:tc>
            </w:tr>
            <w:tr w:rsidR="003174A5" w:rsidRPr="00456CB4" w14:paraId="21B877E0" w14:textId="77777777" w:rsidTr="002B1DD0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55305B7B" w14:textId="77777777" w:rsidR="00135B6F" w:rsidRPr="002B1DD0" w:rsidRDefault="00135B6F" w:rsidP="00C33D18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szCs w:val="22"/>
                      <w:lang w:val="sr-Cyrl-RS"/>
                    </w:rPr>
                  </w:pPr>
                  <w:r w:rsidRPr="002B1DD0">
                    <w:rPr>
                      <w:rFonts w:ascii="Times New Roman" w:eastAsia="Times New Roman" w:hAnsi="Times New Roman"/>
                      <w:i/>
                      <w:color w:val="000000" w:themeColor="text1"/>
                      <w:szCs w:val="22"/>
                      <w:lang w:val="sr-Cyrl-RS"/>
                    </w:rPr>
                    <w:t>Промена форме докумената (оригинал, оверена копија, копија, копија уз оригинал на увид)</w:t>
                  </w:r>
                </w:p>
              </w:tc>
              <w:tc>
                <w:tcPr>
                  <w:tcW w:w="1948" w:type="dxa"/>
                </w:tcPr>
                <w:p w14:paraId="3B324E28" w14:textId="77777777" w:rsidR="00135B6F" w:rsidRPr="002B1DD0" w:rsidRDefault="00135B6F" w:rsidP="00C33D18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13ED3185" w14:textId="7097687C" w:rsidR="00135B6F" w:rsidRPr="002B1DD0" w:rsidRDefault="00135B6F" w:rsidP="00135B6F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  <w:lang w:val="sr-Cyrl-RS"/>
                    </w:rPr>
                  </w:pPr>
                  <w:r w:rsidRPr="002B1DD0"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</w:rPr>
                    <w:t>X</w:t>
                  </w:r>
                </w:p>
              </w:tc>
              <w:tc>
                <w:tcPr>
                  <w:tcW w:w="1581" w:type="dxa"/>
                </w:tcPr>
                <w:p w14:paraId="0D917EC1" w14:textId="77777777" w:rsidR="00135B6F" w:rsidRPr="002B1DD0" w:rsidRDefault="00135B6F" w:rsidP="00C33D18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  <w:lang w:val="sr-Cyrl-RS"/>
                    </w:rPr>
                  </w:pPr>
                </w:p>
              </w:tc>
            </w:tr>
            <w:tr w:rsidR="003174A5" w:rsidRPr="00456CB4" w14:paraId="3D524CFB" w14:textId="77777777" w:rsidTr="002B1DD0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41D44E6C" w14:textId="59C227A1" w:rsidR="003711F5" w:rsidRPr="002B1DD0" w:rsidRDefault="003711F5" w:rsidP="00B502CA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szCs w:val="22"/>
                      <w:lang w:val="sr-Cyrl-RS"/>
                    </w:rPr>
                  </w:pPr>
                  <w:r w:rsidRPr="002B1DD0">
                    <w:rPr>
                      <w:rFonts w:ascii="Times New Roman" w:eastAsia="Times New Roman" w:hAnsi="Times New Roman"/>
                      <w:i/>
                      <w:color w:val="000000" w:themeColor="text1"/>
                      <w:szCs w:val="22"/>
                      <w:lang w:val="sr-Cyrl-RS"/>
                    </w:rPr>
                    <w:t>Елиминација документације</w:t>
                  </w:r>
                </w:p>
              </w:tc>
              <w:tc>
                <w:tcPr>
                  <w:tcW w:w="1948" w:type="dxa"/>
                </w:tcPr>
                <w:p w14:paraId="08D16A2B" w14:textId="0D1D0EDC" w:rsidR="003711F5" w:rsidRPr="002B1DD0" w:rsidRDefault="003711F5" w:rsidP="003711F5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64E29A6F" w14:textId="1F84ABE7" w:rsidR="003711F5" w:rsidRPr="002B1DD0" w:rsidRDefault="007B2402" w:rsidP="00B502CA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</w:rPr>
                  </w:pPr>
                  <w:r w:rsidRPr="002B1DD0"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</w:rPr>
                    <w:t>Х</w:t>
                  </w:r>
                </w:p>
              </w:tc>
              <w:tc>
                <w:tcPr>
                  <w:tcW w:w="1581" w:type="dxa"/>
                </w:tcPr>
                <w:p w14:paraId="644B719C" w14:textId="18292592" w:rsidR="003711F5" w:rsidRPr="002B1DD0" w:rsidRDefault="003711F5" w:rsidP="00A5786F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  <w:lang w:val="sr-Cyrl-RS"/>
                    </w:rPr>
                  </w:pPr>
                </w:p>
              </w:tc>
            </w:tr>
            <w:tr w:rsidR="003174A5" w:rsidRPr="00456CB4" w14:paraId="61179AD3" w14:textId="32A3CF05" w:rsidTr="002B1DD0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</w:tcPr>
                <w:p w14:paraId="11629C33" w14:textId="0E793702" w:rsidR="004C77BF" w:rsidRPr="002B1DD0" w:rsidRDefault="006C747F" w:rsidP="006C747F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szCs w:val="22"/>
                      <w:lang w:val="sr-Cyrl-RS"/>
                    </w:rPr>
                  </w:pPr>
                  <w:r w:rsidRPr="002B1DD0">
                    <w:rPr>
                      <w:rFonts w:ascii="Times New Roman" w:eastAsia="Times New Roman" w:hAnsi="Times New Roman"/>
                      <w:i/>
                      <w:color w:val="000000" w:themeColor="text1"/>
                      <w:szCs w:val="22"/>
                      <w:lang w:val="sr-Cyrl-RS"/>
                    </w:rPr>
                    <w:t>Д</w:t>
                  </w:r>
                  <w:r w:rsidR="004C77BF" w:rsidRPr="002B1DD0">
                    <w:rPr>
                      <w:rFonts w:ascii="Times New Roman" w:eastAsia="Times New Roman" w:hAnsi="Times New Roman"/>
                      <w:i/>
                      <w:color w:val="000000" w:themeColor="text1"/>
                      <w:szCs w:val="22"/>
                      <w:lang w:val="sr-Cyrl-RS"/>
                    </w:rPr>
                    <w:t>оказа</w:t>
                  </w:r>
                  <w:r w:rsidR="00C006FA" w:rsidRPr="002B1DD0">
                    <w:rPr>
                      <w:rFonts w:ascii="Times New Roman" w:eastAsia="Times New Roman" w:hAnsi="Times New Roman"/>
                      <w:i/>
                      <w:color w:val="000000" w:themeColor="text1"/>
                      <w:szCs w:val="22"/>
                      <w:lang w:val="sr-Cyrl-RS"/>
                    </w:rPr>
                    <w:t xml:space="preserve"> </w:t>
                  </w:r>
                  <w:r w:rsidR="004C77BF" w:rsidRPr="002B1DD0">
                    <w:rPr>
                      <w:rFonts w:ascii="Times New Roman" w:eastAsia="Times New Roman" w:hAnsi="Times New Roman"/>
                      <w:i/>
                      <w:color w:val="000000" w:themeColor="text1"/>
                      <w:szCs w:val="22"/>
                      <w:lang w:val="sr-Cyrl-RS"/>
                    </w:rPr>
                    <w:t>о електронској уплати без печата банке</w:t>
                  </w:r>
                </w:p>
              </w:tc>
              <w:tc>
                <w:tcPr>
                  <w:tcW w:w="1948" w:type="dxa"/>
                </w:tcPr>
                <w:p w14:paraId="0F0EF95E" w14:textId="5B400C6F" w:rsidR="004C77BF" w:rsidRPr="002B1DD0" w:rsidRDefault="004C77BF" w:rsidP="005801B3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4C813E66" w14:textId="3A954F8E" w:rsidR="004C77BF" w:rsidRPr="002B1DD0" w:rsidRDefault="004C77BF" w:rsidP="005801B3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</w:rPr>
                  </w:pPr>
                  <w:r w:rsidRPr="002B1DD0"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</w:rPr>
                    <w:t>Х</w:t>
                  </w:r>
                </w:p>
              </w:tc>
              <w:tc>
                <w:tcPr>
                  <w:tcW w:w="1581" w:type="dxa"/>
                </w:tcPr>
                <w:p w14:paraId="1543B230" w14:textId="0D19D241" w:rsidR="004C77BF" w:rsidRPr="002B1DD0" w:rsidRDefault="004C77BF" w:rsidP="005801B3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  <w:lang w:val="sr-Cyrl-RS"/>
                    </w:rPr>
                  </w:pPr>
                </w:p>
              </w:tc>
            </w:tr>
            <w:tr w:rsidR="003174A5" w:rsidRPr="00456CB4" w14:paraId="3BD39712" w14:textId="77777777" w:rsidTr="002B1DD0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</w:tcPr>
                <w:p w14:paraId="579982A4" w14:textId="13826FD1" w:rsidR="004C77BF" w:rsidRPr="002B1DD0" w:rsidRDefault="004C77BF" w:rsidP="005801B3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szCs w:val="22"/>
                      <w:lang w:val="sr-Cyrl-RS"/>
                    </w:rPr>
                  </w:pPr>
                  <w:r w:rsidRPr="002B1DD0"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481" w:type="dxa"/>
                  <w:gridSpan w:val="3"/>
                </w:tcPr>
                <w:p w14:paraId="5930AFC2" w14:textId="77777777" w:rsidR="004C77BF" w:rsidRPr="002B1DD0" w:rsidRDefault="004C77BF" w:rsidP="005801B3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  <w:lang w:val="sr-Cyrl-RS"/>
                    </w:rPr>
                  </w:pPr>
                </w:p>
              </w:tc>
            </w:tr>
            <w:tr w:rsidR="003174A5" w:rsidRPr="00456CB4" w14:paraId="6D6CE62F" w14:textId="77777777" w:rsidTr="002B1DD0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</w:tcPr>
                <w:p w14:paraId="3A83C14A" w14:textId="77777777" w:rsidR="004C77BF" w:rsidRPr="002B1DD0" w:rsidRDefault="004C77BF" w:rsidP="005801B3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szCs w:val="22"/>
                      <w:lang w:val="sr-Cyrl-RS"/>
                    </w:rPr>
                  </w:pPr>
                  <w:r w:rsidRPr="002B1DD0">
                    <w:rPr>
                      <w:rFonts w:ascii="Times New Roman" w:eastAsia="Times New Roman" w:hAnsi="Times New Roman"/>
                      <w:i/>
                      <w:color w:val="000000" w:themeColor="text1"/>
                      <w:szCs w:val="22"/>
                      <w:lang w:val="sr-Cyrl-RS"/>
                    </w:rPr>
                    <w:t>Унапређење постојећег обрасца</w:t>
                  </w:r>
                </w:p>
              </w:tc>
              <w:tc>
                <w:tcPr>
                  <w:tcW w:w="1948" w:type="dxa"/>
                </w:tcPr>
                <w:p w14:paraId="6B9B0CF8" w14:textId="3879E005" w:rsidR="004C77BF" w:rsidRPr="002B1DD0" w:rsidRDefault="00BF3BC5" w:rsidP="00BF3BC5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  <w:lang w:val="sr-Cyrl-RS"/>
                    </w:rPr>
                  </w:pPr>
                  <w:r w:rsidRPr="002B1DD0"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  <w:lang w:val="sr-Cyrl-RS"/>
                    </w:rPr>
                    <w:t>X</w:t>
                  </w:r>
                </w:p>
              </w:tc>
              <w:tc>
                <w:tcPr>
                  <w:tcW w:w="1952" w:type="dxa"/>
                </w:tcPr>
                <w:p w14:paraId="364D852C" w14:textId="2F7A1AFF" w:rsidR="004C77BF" w:rsidRPr="002B1DD0" w:rsidRDefault="004C77BF" w:rsidP="005801B3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  <w:lang w:val="sr-Cyrl-RS"/>
                    </w:rPr>
                  </w:pPr>
                </w:p>
              </w:tc>
              <w:tc>
                <w:tcPr>
                  <w:tcW w:w="1581" w:type="dxa"/>
                </w:tcPr>
                <w:p w14:paraId="56FAC538" w14:textId="369402A6" w:rsidR="004C77BF" w:rsidRPr="002B1DD0" w:rsidRDefault="00BF3BC5" w:rsidP="00BF3BC5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  <w:lang w:val="sr-Cyrl-RS"/>
                    </w:rPr>
                  </w:pPr>
                  <w:r w:rsidRPr="002B1DD0"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  <w:lang w:val="sr-Cyrl-RS"/>
                    </w:rPr>
                    <w:t>1.</w:t>
                  </w:r>
                </w:p>
              </w:tc>
            </w:tr>
            <w:tr w:rsidR="003174A5" w:rsidRPr="00456CB4" w14:paraId="3EC684F3" w14:textId="77777777" w:rsidTr="002B1DD0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</w:tcPr>
                <w:p w14:paraId="7BB7BA9F" w14:textId="77777777" w:rsidR="004C77BF" w:rsidRPr="002B1DD0" w:rsidRDefault="004C77BF" w:rsidP="005801B3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szCs w:val="22"/>
                      <w:lang w:val="sr-Cyrl-RS"/>
                    </w:rPr>
                  </w:pPr>
                  <w:r w:rsidRPr="002B1DD0">
                    <w:rPr>
                      <w:rFonts w:ascii="Times New Roman" w:eastAsia="Times New Roman" w:hAnsi="Times New Roman"/>
                      <w:i/>
                      <w:color w:val="000000" w:themeColor="text1"/>
                      <w:szCs w:val="22"/>
                      <w:lang w:val="sr-Cyrl-RS"/>
                    </w:rPr>
                    <w:t>Престанак употребе печата на обрасцу захтева</w:t>
                  </w:r>
                </w:p>
              </w:tc>
              <w:tc>
                <w:tcPr>
                  <w:tcW w:w="1948" w:type="dxa"/>
                </w:tcPr>
                <w:p w14:paraId="527F4F8F" w14:textId="77777777" w:rsidR="004C77BF" w:rsidRPr="002B1DD0" w:rsidRDefault="004C77BF" w:rsidP="005801B3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791C0D11" w14:textId="77777777" w:rsidR="004C77BF" w:rsidRPr="002B1DD0" w:rsidRDefault="004C77BF" w:rsidP="005801B3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</w:rPr>
                  </w:pPr>
                  <w:r w:rsidRPr="002B1DD0"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</w:rPr>
                    <w:t>X</w:t>
                  </w:r>
                </w:p>
              </w:tc>
              <w:tc>
                <w:tcPr>
                  <w:tcW w:w="1581" w:type="dxa"/>
                </w:tcPr>
                <w:p w14:paraId="442E4980" w14:textId="77777777" w:rsidR="004C77BF" w:rsidRPr="002B1DD0" w:rsidRDefault="004C77BF" w:rsidP="005801B3">
                  <w:pPr>
                    <w:jc w:val="left"/>
                    <w:rPr>
                      <w:rFonts w:ascii="Times New Roman" w:eastAsia="Times New Roman" w:hAnsi="Times New Roman"/>
                      <w:color w:val="000000" w:themeColor="text1"/>
                      <w:szCs w:val="22"/>
                      <w:lang w:val="sr-Cyrl-RS"/>
                    </w:rPr>
                  </w:pPr>
                </w:p>
              </w:tc>
            </w:tr>
            <w:tr w:rsidR="003174A5" w:rsidRPr="00456CB4" w14:paraId="0A6DE7FC" w14:textId="77777777" w:rsidTr="002B1DD0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</w:tcPr>
                <w:p w14:paraId="092C7472" w14:textId="35697235" w:rsidR="004C77BF" w:rsidRPr="002B1DD0" w:rsidRDefault="004C77BF" w:rsidP="004C77BF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  <w:lang w:val="sr-Cyrl-RS"/>
                    </w:rPr>
                  </w:pPr>
                  <w:r w:rsidRPr="002B1DD0"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948" w:type="dxa"/>
                </w:tcPr>
                <w:p w14:paraId="097BF729" w14:textId="77777777" w:rsidR="004C77BF" w:rsidRPr="002B1DD0" w:rsidRDefault="004C77BF" w:rsidP="005801B3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73C586C8" w14:textId="77777777" w:rsidR="004C77BF" w:rsidRPr="002B1DD0" w:rsidRDefault="004C77BF" w:rsidP="005801B3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</w:rPr>
                  </w:pPr>
                  <w:r w:rsidRPr="002B1DD0"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</w:rPr>
                    <w:t>X</w:t>
                  </w:r>
                </w:p>
              </w:tc>
              <w:tc>
                <w:tcPr>
                  <w:tcW w:w="1581" w:type="dxa"/>
                </w:tcPr>
                <w:p w14:paraId="7BD08AE8" w14:textId="77777777" w:rsidR="004C77BF" w:rsidRPr="002B1DD0" w:rsidRDefault="004C77BF" w:rsidP="005801B3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2"/>
                      <w:lang w:val="sr-Cyrl-RS"/>
                    </w:rPr>
                  </w:pPr>
                </w:p>
              </w:tc>
            </w:tr>
          </w:tbl>
          <w:p w14:paraId="646FCEDB" w14:textId="2A792D4F" w:rsidR="00CA1CE9" w:rsidRPr="00456CB4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6E28D8C5" w14:textId="450ED0DF" w:rsidR="005A7763" w:rsidRPr="00456CB4" w:rsidRDefault="005A7763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3174A5" w:rsidRPr="00456CB4" w14:paraId="0B4EEBB8" w14:textId="77777777" w:rsidTr="771F800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456CB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b/>
                <w:color w:val="000000" w:themeColor="text1"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3174A5" w:rsidRPr="00A962A7" w14:paraId="4C67EFD3" w14:textId="77777777" w:rsidTr="771F800B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228482B" w14:textId="77777777" w:rsidR="00D664D2" w:rsidRPr="00456CB4" w:rsidRDefault="00D664D2" w:rsidP="00D664D2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1ED2405F" w14:textId="77777777" w:rsidR="003174A5" w:rsidRPr="00456CB4" w:rsidRDefault="003174A5" w:rsidP="003174A5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504C6BD9" w14:textId="77777777" w:rsidR="003174A5" w:rsidRPr="00456CB4" w:rsidRDefault="003174A5" w:rsidP="00D664D2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2E186A55" w14:textId="77777777" w:rsidR="004C77BF" w:rsidRPr="00456CB4" w:rsidRDefault="008054CC" w:rsidP="004C77BF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3.1. </w:t>
            </w:r>
            <w:r w:rsidR="004C77BF" w:rsidRPr="00456CB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Промена форме докумената </w:t>
            </w:r>
          </w:p>
          <w:p w14:paraId="694F2CB6" w14:textId="77777777" w:rsidR="004C77BF" w:rsidRPr="00456CB4" w:rsidRDefault="004C77BF" w:rsidP="004C77BF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79B3FC64" w14:textId="77777777" w:rsidR="004C77BF" w:rsidRPr="00456CB4" w:rsidRDefault="004C77BF" w:rsidP="004C77BF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Како је према информацијама добијеним од службеника документе: Уговор о сарадњи, Диплома о завршеном образовању, Уговор о закупу царинског складишта, могуће предати и у простој копији сматрамо да то треба бити и једини облик који се предаје и то ће умањити трошкове подносиоца захтева. Такође напомињемо да ови  документи служе само за прикупљање одређених информација и да обична копија задовољава потребе поступајућег органа.</w:t>
            </w:r>
          </w:p>
          <w:p w14:paraId="563F5B5A" w14:textId="370BA8B3" w:rsidR="00D664D2" w:rsidRPr="00456CB4" w:rsidRDefault="00D664D2" w:rsidP="004C77BF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2E3E16AF" w14:textId="016949D1" w:rsidR="00776154" w:rsidRPr="00456CB4" w:rsidRDefault="004C77BF" w:rsidP="00D664D2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</w:p>
          <w:p w14:paraId="1BEB5C21" w14:textId="77777777" w:rsidR="00776154" w:rsidRPr="00456CB4" w:rsidRDefault="00776154" w:rsidP="00D664D2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79611B27" w14:textId="2D419F8C" w:rsidR="008F5F73" w:rsidRPr="00456CB4" w:rsidRDefault="008F5F73" w:rsidP="00D664D2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b/>
                <w:color w:val="000000" w:themeColor="text1"/>
                <w:sz w:val="22"/>
                <w:szCs w:val="22"/>
                <w:lang w:val="sr-Cyrl-RS"/>
              </w:rPr>
              <w:t>3.2. Елиминација документације</w:t>
            </w:r>
          </w:p>
          <w:p w14:paraId="5BD0836F" w14:textId="77777777" w:rsidR="004C77BF" w:rsidRPr="00456CB4" w:rsidRDefault="004C77BF" w:rsidP="00D664D2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297F50B0" w14:textId="49F26473" w:rsidR="007B2402" w:rsidRPr="00456CB4" w:rsidRDefault="008054CC" w:rsidP="00D664D2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color w:val="000000" w:themeColor="text1"/>
                <w:sz w:val="22"/>
                <w:szCs w:val="22"/>
                <w:lang w:val="sr-Cyrl-RS"/>
              </w:rPr>
              <w:t xml:space="preserve">Решење за царинско складиште </w:t>
            </w:r>
            <w:r w:rsidR="008F5F73" w:rsidRPr="00456CB4">
              <w:rPr>
                <w:color w:val="000000" w:themeColor="text1"/>
                <w:sz w:val="22"/>
                <w:szCs w:val="22"/>
                <w:lang w:val="sr-Cyrl-RS"/>
              </w:rPr>
              <w:t>–</w:t>
            </w:r>
            <w:r w:rsidRPr="00456CB4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8F5F73" w:rsidRPr="00456CB4">
              <w:rPr>
                <w:color w:val="000000" w:themeColor="text1"/>
                <w:sz w:val="22"/>
                <w:szCs w:val="22"/>
                <w:lang w:val="sr-Cyrl-RS"/>
              </w:rPr>
              <w:t xml:space="preserve">због условности чувања робе </w:t>
            </w:r>
            <w:r w:rsidR="003711F5" w:rsidRPr="00456CB4">
              <w:rPr>
                <w:color w:val="000000" w:themeColor="text1"/>
                <w:sz w:val="22"/>
                <w:szCs w:val="22"/>
                <w:lang w:val="sr-Cyrl-RS"/>
              </w:rPr>
              <w:t xml:space="preserve">која је осетљива и мањка смештајног капацитета, овај документ је потпуно непотребан. </w:t>
            </w:r>
            <w:r w:rsidR="007B2402" w:rsidRPr="00456CB4">
              <w:rPr>
                <w:color w:val="000000" w:themeColor="text1"/>
                <w:sz w:val="22"/>
                <w:szCs w:val="22"/>
                <w:lang w:val="sr-Cyrl-RS"/>
              </w:rPr>
              <w:t xml:space="preserve">Препорука је да се информације које су потребне за регастар а тичу се царинског складишта унесу као саставни </w:t>
            </w:r>
            <w:r w:rsidR="007B2402" w:rsidRPr="00456CB4">
              <w:rPr>
                <w:color w:val="000000" w:themeColor="text1"/>
                <w:sz w:val="22"/>
                <w:szCs w:val="22"/>
                <w:lang w:val="sr-Cyrl-RS"/>
              </w:rPr>
              <w:lastRenderedPageBreak/>
              <w:t>део обрасца захтева који ће бити прилагођен усвојеним препорукама.</w:t>
            </w:r>
          </w:p>
          <w:p w14:paraId="524CA06B" w14:textId="2C735714" w:rsidR="00D664D2" w:rsidRPr="00456CB4" w:rsidRDefault="00D664D2" w:rsidP="00D664D2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53F64090" w14:textId="77777777" w:rsidR="004C77BF" w:rsidRPr="00456CB4" w:rsidRDefault="004C77BF" w:rsidP="004C77BF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</w:p>
          <w:p w14:paraId="4F1E18CF" w14:textId="79289F9C" w:rsidR="003711F5" w:rsidRPr="00456CB4" w:rsidRDefault="003711F5" w:rsidP="00D664D2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1F637F37" w14:textId="185FA922" w:rsidR="002A70C4" w:rsidRPr="00456CB4" w:rsidRDefault="002A70C4" w:rsidP="002A70C4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3.3. Прихватање доказа о електронској уплати таксе без печата банке </w:t>
            </w:r>
          </w:p>
          <w:p w14:paraId="6D69643C" w14:textId="28E82CA2" w:rsidR="002A70C4" w:rsidRPr="00456CB4" w:rsidRDefault="002A70C4" w:rsidP="002A70C4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47143606" w14:textId="7EE64475" w:rsidR="002A70C4" w:rsidRPr="00456CB4" w:rsidRDefault="002A70C4" w:rsidP="00CC7EC8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49E61990" w14:textId="62DD3AFB" w:rsidR="002A70C4" w:rsidRPr="00456CB4" w:rsidRDefault="002A70C4" w:rsidP="00D664D2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078864CE" w14:textId="43CA656A" w:rsidR="002A70C4" w:rsidRDefault="002A70C4" w:rsidP="002A70C4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 w:rsidR="004A5DA3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46A17A4F" w14:textId="77777777" w:rsidR="004A5DA3" w:rsidRDefault="004A5DA3" w:rsidP="002A70C4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Latn-RS"/>
              </w:rPr>
            </w:pPr>
          </w:p>
          <w:p w14:paraId="433FDEB6" w14:textId="06058044" w:rsidR="008821F1" w:rsidRPr="008821F1" w:rsidRDefault="00FD7DAA" w:rsidP="002A70C4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  <w:t>У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</w:t>
            </w:r>
            <w:r w:rsidR="008821F1" w:rsidRPr="008821F1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  <w:t xml:space="preserve">рава за заштиту биља,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  </w:t>
            </w:r>
          </w:p>
          <w:p w14:paraId="268016EA" w14:textId="77777777" w:rsidR="00D664D2" w:rsidRPr="00456CB4" w:rsidRDefault="00D664D2" w:rsidP="00D664D2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1D3E57A0" w14:textId="28373CC2" w:rsidR="00B502CA" w:rsidRPr="00456CB4" w:rsidRDefault="00D72819" w:rsidP="00D664D2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A962A7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3.</w:t>
            </w:r>
            <w:r w:rsidR="003711F5" w:rsidRPr="00456CB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CS"/>
              </w:rPr>
              <w:t>4</w:t>
            </w:r>
            <w:r w:rsidR="008054CC" w:rsidRPr="00456CB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.</w:t>
            </w:r>
            <w:r w:rsidRPr="00456CB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B502CA" w:rsidRPr="00456CB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Унапређење постојећег обрасца </w:t>
            </w:r>
          </w:p>
          <w:p w14:paraId="73047AB2" w14:textId="77777777" w:rsidR="003174A5" w:rsidRPr="00456CB4" w:rsidRDefault="003174A5" w:rsidP="00D664D2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23AFDAAA" w14:textId="1784AE1F" w:rsidR="003174A5" w:rsidRPr="00456CB4" w:rsidRDefault="00B502CA" w:rsidP="003174A5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Образац захтева је потребно уподобити са усвојеним препорукама и на тај начин га учинити актуел</w:t>
            </w:r>
            <w:r w:rsidR="00E30BB4"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н</w:t>
            </w: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им и једноставијим за подносиоца захтева.</w:t>
            </w:r>
            <w:r w:rsidR="003174A5"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Препорука је увођење обрасца за подношење захтева, који ће садржати стандардне елементе обрасца захтева, који укључују: </w:t>
            </w:r>
          </w:p>
          <w:p w14:paraId="2833AC10" w14:textId="77777777" w:rsidR="001D3245" w:rsidRPr="00456CB4" w:rsidRDefault="001D3245" w:rsidP="001D3245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поступак) </w:t>
            </w:r>
          </w:p>
          <w:p w14:paraId="615CB030" w14:textId="77777777" w:rsidR="001D3245" w:rsidRPr="00456CB4" w:rsidRDefault="001D3245" w:rsidP="001D3245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1B894FC1" w14:textId="2983E99F" w:rsidR="003174A5" w:rsidRPr="00456CB4" w:rsidRDefault="003174A5" w:rsidP="003174A5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Назив административног поступка</w:t>
            </w:r>
            <w:r w:rsidR="00903CF4"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(управна ствар која је предмет поступка)</w:t>
            </w:r>
          </w:p>
          <w:p w14:paraId="7DC54F5D" w14:textId="77777777" w:rsidR="003174A5" w:rsidRPr="00456CB4" w:rsidRDefault="003174A5" w:rsidP="003174A5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14:paraId="1582A217" w14:textId="77777777" w:rsidR="003174A5" w:rsidRPr="00456CB4" w:rsidRDefault="003174A5" w:rsidP="003174A5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Места за унос специфичних информација за конкретан поступак, укључујући и информације, потребне за прибављање података по службеној дужности </w:t>
            </w:r>
          </w:p>
          <w:p w14:paraId="581888D1" w14:textId="4045A48D" w:rsidR="003174A5" w:rsidRPr="00456CB4" w:rsidRDefault="003174A5" w:rsidP="003174A5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Информације о царинском складишту</w:t>
            </w:r>
          </w:p>
          <w:p w14:paraId="4F911735" w14:textId="77777777" w:rsidR="003174A5" w:rsidRPr="00456CB4" w:rsidRDefault="003174A5" w:rsidP="003174A5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C3437B4" w14:textId="77777777" w:rsidR="003174A5" w:rsidRPr="00456CB4" w:rsidRDefault="003174A5" w:rsidP="003174A5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4A49BA00" w14:textId="77777777" w:rsidR="003174A5" w:rsidRPr="00456CB4" w:rsidRDefault="003174A5" w:rsidP="003174A5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09716207" w14:textId="77777777" w:rsidR="003174A5" w:rsidRPr="00456CB4" w:rsidRDefault="003174A5" w:rsidP="003174A5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Издавалац документа</w:t>
            </w:r>
          </w:p>
          <w:p w14:paraId="5DCA59B8" w14:textId="77777777" w:rsidR="003174A5" w:rsidRPr="00456CB4" w:rsidRDefault="003174A5" w:rsidP="003174A5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2B8B0261" w14:textId="77777777" w:rsidR="003174A5" w:rsidRPr="00456CB4" w:rsidRDefault="003174A5" w:rsidP="003174A5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EE70F38" w14:textId="77777777" w:rsidR="003174A5" w:rsidRPr="00456CB4" w:rsidRDefault="003174A5" w:rsidP="003174A5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1.ДА</w:t>
            </w:r>
          </w:p>
          <w:p w14:paraId="513F91DD" w14:textId="77777777" w:rsidR="003174A5" w:rsidRPr="00456CB4" w:rsidRDefault="003174A5" w:rsidP="003174A5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lastRenderedPageBreak/>
              <w:t>2. НЕ</w:t>
            </w:r>
          </w:p>
          <w:p w14:paraId="0ECB9FCF" w14:textId="77777777" w:rsidR="003174A5" w:rsidRPr="00456CB4" w:rsidRDefault="003174A5" w:rsidP="003174A5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34BE777B" w14:textId="77777777" w:rsidR="003174A5" w:rsidRPr="00456CB4" w:rsidRDefault="003174A5" w:rsidP="003174A5">
            <w:pPr>
              <w:shd w:val="clear" w:color="auto" w:fill="FFFFFF"/>
              <w:spacing w:before="100" w:beforeAutospacing="1" w:after="100" w:afterAutospacing="1" w:line="259" w:lineRule="auto"/>
              <w:ind w:left="993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09FA74C4" w14:textId="77777777" w:rsidR="003174A5" w:rsidRPr="00456CB4" w:rsidRDefault="003174A5" w:rsidP="003174A5">
            <w:pPr>
              <w:numPr>
                <w:ilvl w:val="1"/>
                <w:numId w:val="28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685E36D4" w14:textId="77777777" w:rsidR="003174A5" w:rsidRPr="00A962A7" w:rsidRDefault="003174A5" w:rsidP="003174A5">
            <w:pPr>
              <w:numPr>
                <w:ilvl w:val="1"/>
                <w:numId w:val="28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4347784A" w14:textId="77777777" w:rsidR="00BF3BC5" w:rsidRPr="00456CB4" w:rsidRDefault="00BF3BC5" w:rsidP="00BF3BC5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0CDAD504" w14:textId="77777777" w:rsidR="00BF3BC5" w:rsidRPr="00456CB4" w:rsidRDefault="00BF3BC5" w:rsidP="00BF3BC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422AC276" w14:textId="77777777" w:rsidR="00BF3BC5" w:rsidRPr="00456CB4" w:rsidRDefault="00BF3BC5" w:rsidP="00BF3BC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D72F1B2" w14:textId="77777777" w:rsidR="00BF3BC5" w:rsidRPr="00456CB4" w:rsidRDefault="00BF3BC5" w:rsidP="00BF3BC5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3DAF28C8" w14:textId="77777777" w:rsidR="00BF3BC5" w:rsidRPr="00456CB4" w:rsidRDefault="00BF3BC5" w:rsidP="00BF3BC5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03BC68E3" w14:textId="77777777" w:rsidR="00BF3BC5" w:rsidRPr="00456CB4" w:rsidRDefault="00BF3BC5" w:rsidP="00BF3BC5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6E1072FA" w14:textId="77777777" w:rsidR="00BF3BC5" w:rsidRPr="00456CB4" w:rsidRDefault="00BF3BC5" w:rsidP="00BF3BC5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0817C89A" w14:textId="77777777" w:rsidR="00BF3BC5" w:rsidRPr="00456CB4" w:rsidRDefault="00BF3BC5" w:rsidP="00BF3BC5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13775F17" w14:textId="77777777" w:rsidR="00BF3BC5" w:rsidRPr="00456CB4" w:rsidRDefault="00BF3BC5" w:rsidP="00BF3BC5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6587B019" w14:textId="77777777" w:rsidR="00BF3BC5" w:rsidRPr="00456CB4" w:rsidRDefault="00BF3BC5" w:rsidP="00BF3BC5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016A42A1" w14:textId="77777777" w:rsidR="003174A5" w:rsidRPr="008821F1" w:rsidRDefault="003174A5" w:rsidP="003174A5">
            <w:pPr>
              <w:spacing w:after="160" w:line="259" w:lineRule="auto"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</w:pPr>
          </w:p>
          <w:p w14:paraId="4359A794" w14:textId="6A229B51" w:rsidR="002B1DD0" w:rsidRDefault="003174A5" w:rsidP="00D664D2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Latn-RS"/>
              </w:rPr>
            </w:pPr>
            <w:r w:rsidRPr="00456CB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 је потребна нзмена </w:t>
            </w:r>
            <w:r w:rsidR="00BF3BC5" w:rsidRPr="00456CB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Закона о садном материјалу воћака, винове лозе и хмеља  ("Сл. Гласник РС“ бр. 18/200</w:t>
            </w:r>
            <w:r w:rsidR="00456CB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5</w:t>
            </w:r>
            <w:r w:rsidR="00BF3BC5" w:rsidRPr="00456CB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, 30/2010 (др. закон))</w:t>
            </w:r>
          </w:p>
          <w:p w14:paraId="70378998" w14:textId="77777777" w:rsidR="008821F1" w:rsidRPr="008821F1" w:rsidRDefault="008821F1" w:rsidP="00D664D2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Latn-RS"/>
              </w:rPr>
            </w:pPr>
          </w:p>
          <w:p w14:paraId="70394A81" w14:textId="4CAD5F25" w:rsidR="00B502CA" w:rsidRPr="00456CB4" w:rsidRDefault="00B502CA" w:rsidP="00D664D2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3.</w:t>
            </w:r>
            <w:r w:rsidR="003711F5" w:rsidRPr="00456CB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5</w:t>
            </w:r>
            <w:r w:rsidR="008054CC" w:rsidRPr="00456CB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.</w:t>
            </w:r>
            <w:r w:rsidRPr="00456CB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Престанак употребе печата</w:t>
            </w:r>
          </w:p>
          <w:p w14:paraId="14053E2C" w14:textId="77777777" w:rsidR="003174A5" w:rsidRPr="00456CB4" w:rsidRDefault="003174A5" w:rsidP="00D664D2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7E16FC56" w14:textId="018DB088" w:rsidR="00B502CA" w:rsidRPr="00456CB4" w:rsidRDefault="00B502CA" w:rsidP="00D664D2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Потребно је изменити образац</w:t>
            </w:r>
            <w:r w:rsidR="00AB3688"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захтева</w:t>
            </w: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у том смислу да се из </w:t>
            </w:r>
            <w:r w:rsidR="00AB3688"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њега </w:t>
            </w: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избаци предвиђено место за печат и на тај начин се усагласи за чланом 25. Закона о привредним друштвима.</w:t>
            </w:r>
          </w:p>
          <w:p w14:paraId="6DDACE03" w14:textId="315227F7" w:rsidR="00B502CA" w:rsidRPr="00456CB4" w:rsidRDefault="00B502CA" w:rsidP="00D664D2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087D35DD" w14:textId="46880CFE" w:rsidR="00A962A7" w:rsidRDefault="002A70C4" w:rsidP="002A70C4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 w:rsidR="004A5DA3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5BAF196A" w14:textId="77777777" w:rsidR="004A5DA3" w:rsidRPr="00456CB4" w:rsidRDefault="004A5DA3" w:rsidP="002A70C4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37D408A5" w14:textId="4D50E6A8" w:rsidR="00D664D2" w:rsidRDefault="008821F1" w:rsidP="00D664D2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</w:pPr>
            <w:r w:rsidRPr="008821F1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Управа за заштиту биља поставиће на својој веб презентацији обавештење за странке о томе да привредна друштва и предузетници немају обавезу да утисну печат на захтев и остала документа која подносе, у складу са чланом 2</w:t>
            </w:r>
            <w:r w:rsidR="00A962A7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5</w:t>
            </w:r>
            <w:r w:rsidRPr="008821F1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. Закона о привредним друштвима, чиме ће се обезбедити спровођење препоруке.</w:t>
            </w:r>
          </w:p>
          <w:p w14:paraId="578E25C0" w14:textId="77777777" w:rsidR="008821F1" w:rsidRPr="008821F1" w:rsidRDefault="008821F1" w:rsidP="00D664D2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</w:pPr>
          </w:p>
          <w:p w14:paraId="5553AD26" w14:textId="3227FDC9" w:rsidR="004C77BF" w:rsidRPr="00456CB4" w:rsidRDefault="008054CC" w:rsidP="003174A5">
            <w:pPr>
              <w:shd w:val="clear" w:color="auto" w:fill="FFFFFF"/>
              <w:contextualSpacing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3.</w:t>
            </w:r>
            <w:r w:rsidR="003711F5" w:rsidRPr="00456CB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6. </w:t>
            </w:r>
            <w:r w:rsidR="004C77BF" w:rsidRPr="00456CB4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Прибављање по службеној дужности</w:t>
            </w:r>
          </w:p>
          <w:p w14:paraId="415848AE" w14:textId="77777777" w:rsidR="002A70C4" w:rsidRPr="00456CB4" w:rsidRDefault="002A70C4" w:rsidP="002A70C4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062667A5" w14:textId="77777777" w:rsidR="004C77BF" w:rsidRPr="00456CB4" w:rsidRDefault="004C77BF" w:rsidP="004C77BF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color w:val="000000" w:themeColor="text1"/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0A62DA72" w14:textId="77777777" w:rsidR="004C77BF" w:rsidRPr="00456CB4" w:rsidRDefault="004C77BF" w:rsidP="004C77BF">
            <w:pPr>
              <w:pStyle w:val="odluka-zakon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b/>
                <w:color w:val="000000" w:themeColor="text1"/>
                <w:sz w:val="22"/>
                <w:szCs w:val="22"/>
                <w:lang w:val="sr-Cyrl-RS"/>
              </w:rPr>
              <w:t>Решење о регистрацији привредног субјекта</w:t>
            </w:r>
            <w:r w:rsidRPr="00A962A7">
              <w:rPr>
                <w:color w:val="000000" w:themeColor="text1"/>
                <w:sz w:val="22"/>
                <w:szCs w:val="22"/>
                <w:lang w:val="sr-Cyrl-RS"/>
              </w:rPr>
              <w:t xml:space="preserve"> - </w:t>
            </w:r>
            <w:r w:rsidRPr="00456CB4">
              <w:rPr>
                <w:color w:val="000000" w:themeColor="text1"/>
                <w:sz w:val="22"/>
                <w:szCs w:val="22"/>
                <w:lang w:val="sr-Cyrl-RS"/>
              </w:rPr>
              <w:t>службеник који обрађује захтев треба након пријема захтева и увида о подацима о подносиоцу захтева који су наведени у обрасцу захтева да са сајта Агенције за привредне регистре добије све потребне податке и провери податке који су наведени у обрасцу.</w:t>
            </w:r>
          </w:p>
          <w:p w14:paraId="34129155" w14:textId="77777777" w:rsidR="002A70C4" w:rsidRPr="00456CB4" w:rsidRDefault="002A70C4" w:rsidP="002A70C4">
            <w:pPr>
              <w:pStyle w:val="odluka-zakon"/>
              <w:shd w:val="clear" w:color="auto" w:fill="FFFFFF"/>
              <w:spacing w:before="0" w:beforeAutospacing="0" w:after="0" w:afterAutospacing="0"/>
              <w:ind w:left="720"/>
              <w:contextualSpacing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23AD3046" w14:textId="19B5E747" w:rsidR="00C3776D" w:rsidRPr="00456CB4" w:rsidRDefault="002A70C4" w:rsidP="003174A5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</w:p>
          <w:p w14:paraId="72764ACF" w14:textId="77777777" w:rsidR="003174A5" w:rsidRPr="00456CB4" w:rsidRDefault="003174A5" w:rsidP="003174A5">
            <w:pPr>
              <w:contextualSpacing/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3EAB4AF8" w14:textId="5463F51D" w:rsidR="00A5786F" w:rsidRPr="00456CB4" w:rsidRDefault="00A5786F" w:rsidP="00D664D2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3174A5" w:rsidRPr="00A962A7" w14:paraId="52C990E5" w14:textId="77777777" w:rsidTr="771F800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456CB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3174A5" w:rsidRPr="00456CB4" w14:paraId="077D3505" w14:textId="77777777" w:rsidTr="771F800B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034B1504" w:rsidR="00776154" w:rsidRPr="00456CB4" w:rsidRDefault="00456CB4" w:rsidP="002B1DD0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препоруке</w:t>
            </w: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456CB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3.4. Унапређење постојећег обрасца  је потребна нзмена Закона о садном материјалу воћака, винове лозе и хмеља  ("Сл. Гласник РС“ бр. 18/2005, 30/2010 (др. закон))</w:t>
            </w:r>
          </w:p>
        </w:tc>
      </w:tr>
      <w:tr w:rsidR="003174A5" w:rsidRPr="00456CB4" w14:paraId="0489C5FC" w14:textId="77777777" w:rsidTr="771F800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456CB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b/>
                <w:color w:val="000000" w:themeColor="text1"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3174A5" w:rsidRPr="00456CB4" w14:paraId="3C4DDA6A" w14:textId="77777777" w:rsidTr="771F800B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7271DAE5" w:rsidR="00D664D2" w:rsidRPr="00456CB4" w:rsidRDefault="00456CB4" w:rsidP="00456CB4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препоруке</w:t>
            </w: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456CB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3.4. Унапређење постојећег обрасца  је потребна нзмена Закона о садном материјалу воћака, винове лозе и хмеља  ("Сл. Гласник РС“ бр. 18/2005, 30/2010 (др. закон))</w:t>
            </w:r>
          </w:p>
        </w:tc>
      </w:tr>
      <w:tr w:rsidR="003174A5" w:rsidRPr="00456CB4" w14:paraId="429F5407" w14:textId="77777777" w:rsidTr="771F800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456CB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b/>
                <w:color w:val="000000" w:themeColor="text1"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456CB4" w14:paraId="72BD2239" w14:textId="77777777" w:rsidTr="771F800B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D6A3FDB" w14:textId="77777777" w:rsidR="00960B52" w:rsidRPr="00456CB4" w:rsidRDefault="00960B52" w:rsidP="00DB19B9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7E2DF9C8" w14:textId="29675EF3" w:rsidR="00C3776D" w:rsidRPr="00456CB4" w:rsidRDefault="00776154" w:rsidP="00776154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321,359,71 РСД. Усвајање и примена препорука ће донети привредним субјектима годишње директне уштеде од 52.202,79 РСД или 429,22 ЕУР. Ове уштеде износе 16,24% укупних директних трошкова привредних субјеката у поступку.</w:t>
            </w:r>
          </w:p>
          <w:p w14:paraId="7DB26864" w14:textId="06EB54D7" w:rsidR="00776154" w:rsidRPr="00456CB4" w:rsidRDefault="00776154" w:rsidP="00776154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16F6979E" w14:textId="0CC5F03E" w:rsidR="00776154" w:rsidRPr="00456CB4" w:rsidRDefault="00776154" w:rsidP="00776154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субјекте, смањењу документације. Препорукама се такође утиче на побољшање пословног амбијента</w:t>
            </w:r>
            <w:r w:rsidR="007F1BEF" w:rsidRPr="00456CB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0D226A90" w14:textId="77777777" w:rsidR="00776154" w:rsidRPr="00456CB4" w:rsidRDefault="00776154" w:rsidP="00776154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31CCBA4" w14:textId="2299B7D4" w:rsidR="00C3776D" w:rsidRPr="00456CB4" w:rsidRDefault="00C3776D" w:rsidP="00DB19B9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456CB4" w:rsidRDefault="003E3C16" w:rsidP="003E3C16">
      <w:pPr>
        <w:rPr>
          <w:rFonts w:ascii="Times New Roman" w:eastAsia="Times New Roman" w:hAnsi="Times New Roman"/>
          <w:color w:val="000000" w:themeColor="text1"/>
          <w:lang w:val="sr-Cyrl-RS"/>
        </w:rPr>
      </w:pPr>
    </w:p>
    <w:sectPr w:rsidR="003E3C16" w:rsidRPr="00456CB4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AEC1A" w14:textId="77777777" w:rsidR="00DF0E1A" w:rsidRDefault="00DF0E1A" w:rsidP="002A202F">
      <w:r>
        <w:separator/>
      </w:r>
    </w:p>
  </w:endnote>
  <w:endnote w:type="continuationSeparator" w:id="0">
    <w:p w14:paraId="2E015330" w14:textId="77777777" w:rsidR="00DF0E1A" w:rsidRDefault="00DF0E1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9393DB1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7A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9EB57" w14:textId="77777777" w:rsidR="00DF0E1A" w:rsidRDefault="00DF0E1A" w:rsidP="002A202F">
      <w:r>
        <w:separator/>
      </w:r>
    </w:p>
  </w:footnote>
  <w:footnote w:type="continuationSeparator" w:id="0">
    <w:p w14:paraId="38EF5427" w14:textId="77777777" w:rsidR="00DF0E1A" w:rsidRDefault="00DF0E1A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64A70"/>
    <w:multiLevelType w:val="hybridMultilevel"/>
    <w:tmpl w:val="F082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45587604"/>
    <w:multiLevelType w:val="hybridMultilevel"/>
    <w:tmpl w:val="2D4AE8E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3" w15:restartNumberingAfterBreak="0">
    <w:nsid w:val="48EC5660"/>
    <w:multiLevelType w:val="hybridMultilevel"/>
    <w:tmpl w:val="AFC24866"/>
    <w:lvl w:ilvl="0" w:tplc="F2589F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5"/>
  </w:num>
  <w:num w:numId="4">
    <w:abstractNumId w:val="4"/>
  </w:num>
  <w:num w:numId="5">
    <w:abstractNumId w:val="2"/>
  </w:num>
  <w:num w:numId="6">
    <w:abstractNumId w:val="14"/>
  </w:num>
  <w:num w:numId="7">
    <w:abstractNumId w:val="26"/>
  </w:num>
  <w:num w:numId="8">
    <w:abstractNumId w:val="10"/>
  </w:num>
  <w:num w:numId="9">
    <w:abstractNumId w:val="24"/>
  </w:num>
  <w:num w:numId="10">
    <w:abstractNumId w:val="22"/>
  </w:num>
  <w:num w:numId="11">
    <w:abstractNumId w:val="21"/>
  </w:num>
  <w:num w:numId="12">
    <w:abstractNumId w:val="20"/>
  </w:num>
  <w:num w:numId="13">
    <w:abstractNumId w:val="17"/>
  </w:num>
  <w:num w:numId="14">
    <w:abstractNumId w:val="23"/>
  </w:num>
  <w:num w:numId="15">
    <w:abstractNumId w:val="19"/>
  </w:num>
  <w:num w:numId="16">
    <w:abstractNumId w:val="11"/>
  </w:num>
  <w:num w:numId="17">
    <w:abstractNumId w:val="9"/>
  </w:num>
  <w:num w:numId="18">
    <w:abstractNumId w:val="25"/>
  </w:num>
  <w:num w:numId="19">
    <w:abstractNumId w:val="5"/>
  </w:num>
  <w:num w:numId="20">
    <w:abstractNumId w:val="27"/>
  </w:num>
  <w:num w:numId="21">
    <w:abstractNumId w:val="6"/>
  </w:num>
  <w:num w:numId="22">
    <w:abstractNumId w:val="3"/>
  </w:num>
  <w:num w:numId="23">
    <w:abstractNumId w:val="18"/>
  </w:num>
  <w:num w:numId="24">
    <w:abstractNumId w:val="0"/>
  </w:num>
  <w:num w:numId="25">
    <w:abstractNumId w:val="8"/>
  </w:num>
  <w:num w:numId="26">
    <w:abstractNumId w:val="13"/>
  </w:num>
  <w:num w:numId="27">
    <w:abstractNumId w:val="12"/>
  </w:num>
  <w:num w:numId="28">
    <w:abstractNumId w:val="1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45FB3"/>
    <w:rsid w:val="00050616"/>
    <w:rsid w:val="00061070"/>
    <w:rsid w:val="00083993"/>
    <w:rsid w:val="00084D27"/>
    <w:rsid w:val="00092B84"/>
    <w:rsid w:val="0009542A"/>
    <w:rsid w:val="000A53F3"/>
    <w:rsid w:val="000A5CDC"/>
    <w:rsid w:val="000B54D7"/>
    <w:rsid w:val="000D327C"/>
    <w:rsid w:val="000D5029"/>
    <w:rsid w:val="000E2036"/>
    <w:rsid w:val="000F5E72"/>
    <w:rsid w:val="001054FF"/>
    <w:rsid w:val="001156BA"/>
    <w:rsid w:val="00135B6F"/>
    <w:rsid w:val="00135E2B"/>
    <w:rsid w:val="0015182D"/>
    <w:rsid w:val="00161847"/>
    <w:rsid w:val="00170CA7"/>
    <w:rsid w:val="001711C5"/>
    <w:rsid w:val="00174BF0"/>
    <w:rsid w:val="0019744B"/>
    <w:rsid w:val="001A023F"/>
    <w:rsid w:val="001A3FAC"/>
    <w:rsid w:val="001A6472"/>
    <w:rsid w:val="001C5538"/>
    <w:rsid w:val="001D0EDE"/>
    <w:rsid w:val="001D20E2"/>
    <w:rsid w:val="001D3245"/>
    <w:rsid w:val="001E38DE"/>
    <w:rsid w:val="001F7B31"/>
    <w:rsid w:val="0020601F"/>
    <w:rsid w:val="00211E0F"/>
    <w:rsid w:val="00212DA5"/>
    <w:rsid w:val="0021347C"/>
    <w:rsid w:val="002240DB"/>
    <w:rsid w:val="002323AC"/>
    <w:rsid w:val="00244F5F"/>
    <w:rsid w:val="00261404"/>
    <w:rsid w:val="002673B0"/>
    <w:rsid w:val="00275E2A"/>
    <w:rsid w:val="00284523"/>
    <w:rsid w:val="00296938"/>
    <w:rsid w:val="002A202F"/>
    <w:rsid w:val="002A70C4"/>
    <w:rsid w:val="002B19B4"/>
    <w:rsid w:val="002B1DD0"/>
    <w:rsid w:val="002F1BEC"/>
    <w:rsid w:val="002F4757"/>
    <w:rsid w:val="003174A5"/>
    <w:rsid w:val="00322199"/>
    <w:rsid w:val="003223C7"/>
    <w:rsid w:val="00326555"/>
    <w:rsid w:val="003410E0"/>
    <w:rsid w:val="00350EAD"/>
    <w:rsid w:val="0035149B"/>
    <w:rsid w:val="003651DB"/>
    <w:rsid w:val="003711F5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3F40A1"/>
    <w:rsid w:val="00407D96"/>
    <w:rsid w:val="00417891"/>
    <w:rsid w:val="004248AD"/>
    <w:rsid w:val="00432495"/>
    <w:rsid w:val="004420F4"/>
    <w:rsid w:val="00444DA7"/>
    <w:rsid w:val="00456CB4"/>
    <w:rsid w:val="00457882"/>
    <w:rsid w:val="00463CC7"/>
    <w:rsid w:val="00473005"/>
    <w:rsid w:val="004809C4"/>
    <w:rsid w:val="0048433C"/>
    <w:rsid w:val="004847B1"/>
    <w:rsid w:val="0049545B"/>
    <w:rsid w:val="004A5DA3"/>
    <w:rsid w:val="004A68CD"/>
    <w:rsid w:val="004C77BF"/>
    <w:rsid w:val="004D3BD0"/>
    <w:rsid w:val="004D45B1"/>
    <w:rsid w:val="004D68A7"/>
    <w:rsid w:val="004E29D1"/>
    <w:rsid w:val="00500566"/>
    <w:rsid w:val="005073A3"/>
    <w:rsid w:val="00513D24"/>
    <w:rsid w:val="00523608"/>
    <w:rsid w:val="00525C0A"/>
    <w:rsid w:val="00535608"/>
    <w:rsid w:val="00556688"/>
    <w:rsid w:val="0056162B"/>
    <w:rsid w:val="00565425"/>
    <w:rsid w:val="0056707B"/>
    <w:rsid w:val="00581A9D"/>
    <w:rsid w:val="0058446E"/>
    <w:rsid w:val="005965D3"/>
    <w:rsid w:val="005A0E3D"/>
    <w:rsid w:val="005A2503"/>
    <w:rsid w:val="005A7763"/>
    <w:rsid w:val="005B4F04"/>
    <w:rsid w:val="005B518B"/>
    <w:rsid w:val="005B7CB9"/>
    <w:rsid w:val="005C3DC3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90D3C"/>
    <w:rsid w:val="00692071"/>
    <w:rsid w:val="00694B28"/>
    <w:rsid w:val="006C29AF"/>
    <w:rsid w:val="006C5349"/>
    <w:rsid w:val="006C5F2A"/>
    <w:rsid w:val="006C662C"/>
    <w:rsid w:val="006C747F"/>
    <w:rsid w:val="006D208E"/>
    <w:rsid w:val="006F4A5C"/>
    <w:rsid w:val="006F4E27"/>
    <w:rsid w:val="0070324B"/>
    <w:rsid w:val="00715F5C"/>
    <w:rsid w:val="00715FB0"/>
    <w:rsid w:val="007278C1"/>
    <w:rsid w:val="00733493"/>
    <w:rsid w:val="00737F1D"/>
    <w:rsid w:val="007626D1"/>
    <w:rsid w:val="00776154"/>
    <w:rsid w:val="00782816"/>
    <w:rsid w:val="00785A46"/>
    <w:rsid w:val="007861E3"/>
    <w:rsid w:val="007940D6"/>
    <w:rsid w:val="007B1740"/>
    <w:rsid w:val="007B2402"/>
    <w:rsid w:val="007C61B5"/>
    <w:rsid w:val="007D3889"/>
    <w:rsid w:val="007D39E4"/>
    <w:rsid w:val="007D43A7"/>
    <w:rsid w:val="007E1695"/>
    <w:rsid w:val="007E47F9"/>
    <w:rsid w:val="007F1BEF"/>
    <w:rsid w:val="007F204C"/>
    <w:rsid w:val="00804060"/>
    <w:rsid w:val="008054CC"/>
    <w:rsid w:val="00812F42"/>
    <w:rsid w:val="008166C9"/>
    <w:rsid w:val="00824E43"/>
    <w:rsid w:val="008320D0"/>
    <w:rsid w:val="00833D8C"/>
    <w:rsid w:val="00834C9A"/>
    <w:rsid w:val="00842FB2"/>
    <w:rsid w:val="0084708C"/>
    <w:rsid w:val="00850AD5"/>
    <w:rsid w:val="00852739"/>
    <w:rsid w:val="00861682"/>
    <w:rsid w:val="00861E68"/>
    <w:rsid w:val="008629CC"/>
    <w:rsid w:val="00865EBB"/>
    <w:rsid w:val="0087477A"/>
    <w:rsid w:val="008821F1"/>
    <w:rsid w:val="00886C36"/>
    <w:rsid w:val="008A6AC8"/>
    <w:rsid w:val="008C5591"/>
    <w:rsid w:val="008D04A6"/>
    <w:rsid w:val="008D4457"/>
    <w:rsid w:val="008D4C1A"/>
    <w:rsid w:val="008F0867"/>
    <w:rsid w:val="008F172F"/>
    <w:rsid w:val="008F2044"/>
    <w:rsid w:val="008F2BE1"/>
    <w:rsid w:val="008F4DD1"/>
    <w:rsid w:val="008F5F73"/>
    <w:rsid w:val="00903CF4"/>
    <w:rsid w:val="009056DB"/>
    <w:rsid w:val="00916139"/>
    <w:rsid w:val="009232EC"/>
    <w:rsid w:val="00947592"/>
    <w:rsid w:val="00950280"/>
    <w:rsid w:val="00960B52"/>
    <w:rsid w:val="009814A9"/>
    <w:rsid w:val="00991A18"/>
    <w:rsid w:val="00994A16"/>
    <w:rsid w:val="00997A70"/>
    <w:rsid w:val="009A30D3"/>
    <w:rsid w:val="009A5D5F"/>
    <w:rsid w:val="009D03A7"/>
    <w:rsid w:val="009E0479"/>
    <w:rsid w:val="00A0102E"/>
    <w:rsid w:val="00A12960"/>
    <w:rsid w:val="00A1570D"/>
    <w:rsid w:val="00A22087"/>
    <w:rsid w:val="00A22386"/>
    <w:rsid w:val="00A44D61"/>
    <w:rsid w:val="00A56B75"/>
    <w:rsid w:val="00A5786F"/>
    <w:rsid w:val="00A63EAD"/>
    <w:rsid w:val="00A71C04"/>
    <w:rsid w:val="00A84811"/>
    <w:rsid w:val="00A962A7"/>
    <w:rsid w:val="00AA0017"/>
    <w:rsid w:val="00AA4BC5"/>
    <w:rsid w:val="00AB09B3"/>
    <w:rsid w:val="00AB3688"/>
    <w:rsid w:val="00AC02D1"/>
    <w:rsid w:val="00B06019"/>
    <w:rsid w:val="00B07409"/>
    <w:rsid w:val="00B1006E"/>
    <w:rsid w:val="00B178FB"/>
    <w:rsid w:val="00B502CA"/>
    <w:rsid w:val="00B5252A"/>
    <w:rsid w:val="00B57CE1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F3BC5"/>
    <w:rsid w:val="00C006FA"/>
    <w:rsid w:val="00C00FB7"/>
    <w:rsid w:val="00C0295C"/>
    <w:rsid w:val="00C03C06"/>
    <w:rsid w:val="00C11626"/>
    <w:rsid w:val="00C121EC"/>
    <w:rsid w:val="00C12C65"/>
    <w:rsid w:val="00C3776D"/>
    <w:rsid w:val="00C445E2"/>
    <w:rsid w:val="00C70F1B"/>
    <w:rsid w:val="00C7129D"/>
    <w:rsid w:val="00C748D1"/>
    <w:rsid w:val="00C83DDE"/>
    <w:rsid w:val="00C87E94"/>
    <w:rsid w:val="00C91014"/>
    <w:rsid w:val="00CA1CE9"/>
    <w:rsid w:val="00CB1A4E"/>
    <w:rsid w:val="00CB789C"/>
    <w:rsid w:val="00CC29F6"/>
    <w:rsid w:val="00CC7EC8"/>
    <w:rsid w:val="00CD1C1E"/>
    <w:rsid w:val="00CD2287"/>
    <w:rsid w:val="00CD5BBB"/>
    <w:rsid w:val="00CE0685"/>
    <w:rsid w:val="00D034C8"/>
    <w:rsid w:val="00D36498"/>
    <w:rsid w:val="00D37EA5"/>
    <w:rsid w:val="00D664D2"/>
    <w:rsid w:val="00D72819"/>
    <w:rsid w:val="00D73628"/>
    <w:rsid w:val="00D73918"/>
    <w:rsid w:val="00D83149"/>
    <w:rsid w:val="00D967D7"/>
    <w:rsid w:val="00DA125D"/>
    <w:rsid w:val="00DB19B9"/>
    <w:rsid w:val="00DC4BC2"/>
    <w:rsid w:val="00DE057D"/>
    <w:rsid w:val="00DF0E1A"/>
    <w:rsid w:val="00DF24DB"/>
    <w:rsid w:val="00E0020F"/>
    <w:rsid w:val="00E118C7"/>
    <w:rsid w:val="00E1427B"/>
    <w:rsid w:val="00E14E0D"/>
    <w:rsid w:val="00E2143C"/>
    <w:rsid w:val="00E21779"/>
    <w:rsid w:val="00E22B8B"/>
    <w:rsid w:val="00E305EA"/>
    <w:rsid w:val="00E30BB4"/>
    <w:rsid w:val="00E317D1"/>
    <w:rsid w:val="00E40DF0"/>
    <w:rsid w:val="00E4267B"/>
    <w:rsid w:val="00E47DAC"/>
    <w:rsid w:val="00E63C8A"/>
    <w:rsid w:val="00E70BF6"/>
    <w:rsid w:val="00F00790"/>
    <w:rsid w:val="00F11C98"/>
    <w:rsid w:val="00F12E47"/>
    <w:rsid w:val="00F15AB9"/>
    <w:rsid w:val="00F223B2"/>
    <w:rsid w:val="00F53241"/>
    <w:rsid w:val="00F67790"/>
    <w:rsid w:val="00FB1A1B"/>
    <w:rsid w:val="00FB5821"/>
    <w:rsid w:val="00FB645B"/>
    <w:rsid w:val="00FC09D6"/>
    <w:rsid w:val="00FC34EC"/>
    <w:rsid w:val="00FC3F69"/>
    <w:rsid w:val="00FC5312"/>
    <w:rsid w:val="00FC535B"/>
    <w:rsid w:val="00FD3964"/>
    <w:rsid w:val="00FD734C"/>
    <w:rsid w:val="00FD7DAA"/>
    <w:rsid w:val="00FE6EAF"/>
    <w:rsid w:val="00FF4DB4"/>
    <w:rsid w:val="00FF78E5"/>
    <w:rsid w:val="771F8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D9D3130E-EE30-49B8-8B50-E1E8568B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8054C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auto-style9">
    <w:name w:val="auto-style9"/>
    <w:basedOn w:val="Normal"/>
    <w:rsid w:val="00A5786F"/>
    <w:pPr>
      <w:spacing w:before="100" w:beforeAutospacing="1" w:after="100" w:afterAutospacing="1"/>
      <w:jc w:val="left"/>
    </w:pPr>
    <w:rPr>
      <w:rFonts w:ascii="Times New Roman" w:eastAsia="Times New Roman" w:hAnsi="Times New Roman"/>
      <w:noProof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338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54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903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7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66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3CF3A-6CD5-41E4-AB4F-2C03A3A58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1633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8</cp:revision>
  <cp:lastPrinted>2018-09-05T12:48:00Z</cp:lastPrinted>
  <dcterms:created xsi:type="dcterms:W3CDTF">2019-06-04T19:05:00Z</dcterms:created>
  <dcterms:modified xsi:type="dcterms:W3CDTF">2019-07-12T14:58:00Z</dcterms:modified>
</cp:coreProperties>
</file>