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5D19C" w14:textId="1A0C6CA8" w:rsidR="001074F2" w:rsidRPr="00C64AAC" w:rsidRDefault="006A339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6A3396">
        <w:rPr>
          <w:b/>
          <w:sz w:val="22"/>
          <w:szCs w:val="22"/>
          <w:lang w:val="sr-Cyrl-RS"/>
        </w:rPr>
        <w:t>ПОЈЕДНОСТАВЉЕЊЕ ПОСТУПКА ИЗДАВАЊА ЛИЦЕНЦЕ ЗА ОБАВЉАЊЕ ДЕЛАТНОСТИ ВАЂЕЊА РЕЧНИХ НАНОСА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3B3EF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C64AAC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64AA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665EE42" w:rsidR="0008565A" w:rsidRPr="00C64AAC" w:rsidRDefault="00806AD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Лиценца за обављање делатности вађења речних наноса</w:t>
            </w:r>
          </w:p>
        </w:tc>
      </w:tr>
      <w:tr w:rsidR="00850AD5" w:rsidRPr="00C64AAC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C64AAC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7AFD60C" w:rsidR="000E2036" w:rsidRPr="00C64AAC" w:rsidRDefault="00806AD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C64AAC">
              <w:rPr>
                <w:b/>
                <w:sz w:val="22"/>
                <w:szCs w:val="22"/>
                <w:lang w:val="sr-Latn-RS"/>
              </w:rPr>
              <w:t>16.03.0006</w:t>
            </w:r>
          </w:p>
        </w:tc>
      </w:tr>
      <w:tr w:rsidR="00850AD5" w:rsidRPr="003B3EF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C64AA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C64AA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77777777" w:rsidR="00092B84" w:rsidRPr="00C64AAC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64AAC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6E4956CD" w:rsidR="00A015A4" w:rsidRPr="00C64AAC" w:rsidRDefault="002E456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64AAC">
              <w:rPr>
                <w:sz w:val="22"/>
                <w:szCs w:val="22"/>
                <w:lang w:val="sr-Cyrl-RS"/>
              </w:rPr>
              <w:t>Републичка дирекција за воде</w:t>
            </w:r>
          </w:p>
        </w:tc>
      </w:tr>
      <w:tr w:rsidR="00850AD5" w:rsidRPr="00C64AAC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C64AA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64AAC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64AAC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9A2D6BB" w14:textId="67D90F2D" w:rsidR="00A015A4" w:rsidRPr="006A3396" w:rsidRDefault="002C63FB" w:rsidP="002C63FB">
            <w:pPr>
              <w:pStyle w:val="ListParagraph"/>
              <w:numPr>
                <w:ilvl w:val="0"/>
                <w:numId w:val="33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3396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водама  („Сл. Гласник РС“, бр. 30/2010-81, 93/2012-27, 101/2016-9</w:t>
            </w:r>
            <w:r w:rsidR="00434276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CCB5DCC" w14:textId="7C53FBE0" w:rsidR="0004005F" w:rsidRPr="00C64AAC" w:rsidRDefault="00165C31" w:rsidP="002C63FB">
            <w:pPr>
              <w:pStyle w:val="ListParagraph"/>
              <w:numPr>
                <w:ilvl w:val="0"/>
                <w:numId w:val="33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64AAC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у погледу техничко-технолошке опремљености и организационе и кадровске оспособљености за обављање послова у области управљања водама, као и о начину вођења евиденције издатих и одузетих лиценци</w:t>
            </w:r>
            <w:r w:rsidR="002C63FB" w:rsidRPr="00C64AA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(„Сл. Гласник РС“, бр. 23/2012-70, 57/2013-81)</w:t>
            </w:r>
            <w:r w:rsidRPr="00C64AA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C64AAC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C64AAC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64AA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64AA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C64AA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C64AA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64AA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F7D2E6F" w:rsidR="00D73918" w:rsidRPr="00C64AAC" w:rsidRDefault="00FB70FD" w:rsidP="00806AD0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64AAC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013BE8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C64AA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C64AAC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CCC3E67" w:rsidR="00804060" w:rsidRPr="00C64AAC" w:rsidRDefault="00E754C6" w:rsidP="00377FA9">
            <w:pPr>
              <w:shd w:val="clear" w:color="auto" w:fill="FFFFFF"/>
              <w:spacing w:after="120"/>
              <w:ind w:left="33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C64AAC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Четврти квартал 2019. </w:t>
            </w:r>
            <w:r w:rsidR="00377FA9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године</w:t>
            </w:r>
          </w:p>
        </w:tc>
      </w:tr>
      <w:tr w:rsidR="00275E2A" w:rsidRPr="00C64AAC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C64AA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3B3EF9" w14:paraId="4635A4BE" w14:textId="77777777" w:rsidTr="00CA1CE9">
        <w:tc>
          <w:tcPr>
            <w:tcW w:w="9060" w:type="dxa"/>
            <w:gridSpan w:val="2"/>
          </w:tcPr>
          <w:p w14:paraId="05D88187" w14:textId="2E094784" w:rsidR="00BA36F8" w:rsidRPr="00C64AAC" w:rsidRDefault="00BA36F8" w:rsidP="00BA36F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64AAC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 правним лицима, на шта указује непоштовање обавезе прибављања података које издају други јавни органи, по службеној дужности. Такође, надлежни орган не примењује адекватан рок за издавање акта.</w:t>
            </w:r>
            <w:r w:rsidR="00C64AAC" w:rsidRPr="00C64AA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64AAC">
              <w:rPr>
                <w:rFonts w:ascii="Times New Roman" w:hAnsi="Times New Roman"/>
                <w:sz w:val="22"/>
                <w:szCs w:val="22"/>
                <w:lang w:val="sr-Cyrl-RS"/>
              </w:rPr>
              <w:t>Сходно томе, нарушено је једно од начела управног поступка - начело делотворности и економичности, по коме се поступак води без одуговлачења и уз што мање трошкова по странку.</w:t>
            </w:r>
          </w:p>
          <w:p w14:paraId="598CF63F" w14:textId="59720553" w:rsidR="00DE6FC0" w:rsidRPr="00C64AAC" w:rsidRDefault="00DE6FC0" w:rsidP="00DE6FC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4A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</w:t>
            </w:r>
            <w:r w:rsidR="002C63FB" w:rsidRPr="00C64A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води службена евиденција („Сл. Г</w:t>
            </w:r>
            <w:r w:rsidRPr="00C64A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35096CA5" w:rsidR="0009542A" w:rsidRPr="00C64AAC" w:rsidRDefault="00DE6FC0" w:rsidP="00C64AAC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C64AAC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C64AAC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C64AA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C64AAC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6D204BA1" w:rsidR="00C70F1B" w:rsidRPr="00C64AAC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64AAC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3B3EF9" w14:paraId="30C2F8E8" w14:textId="77777777" w:rsidTr="001074F2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C64AA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C64AA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C64AA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C64AAC" w14:paraId="2B15C487" w14:textId="77777777" w:rsidTr="001074F2">
              <w:trPr>
                <w:trHeight w:val="260"/>
              </w:trPr>
              <w:tc>
                <w:tcPr>
                  <w:tcW w:w="3338" w:type="dxa"/>
                  <w:vMerge/>
                </w:tcPr>
                <w:p w14:paraId="42D3BC1D" w14:textId="77777777" w:rsidR="00C70F1B" w:rsidRPr="00C64AA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C64AA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C64AA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C64AA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C64AAC" w14:paraId="40F6E413" w14:textId="77777777" w:rsidTr="001074F2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14:paraId="1ADA857C" w14:textId="77777777" w:rsidR="00CA1CE9" w:rsidRPr="00C64AAC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Рокови</w:t>
                  </w:r>
                </w:p>
              </w:tc>
              <w:tc>
                <w:tcPr>
                  <w:tcW w:w="5496" w:type="dxa"/>
                  <w:gridSpan w:val="4"/>
                </w:tcPr>
                <w:p w14:paraId="4C3FA702" w14:textId="77777777" w:rsidR="00CA1CE9" w:rsidRPr="00C64AAC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C64AAC" w14:paraId="5FFB0222" w14:textId="77777777" w:rsidTr="001074F2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14:paraId="5A987967" w14:textId="77777777" w:rsidR="00CA1CE9" w:rsidRPr="00C64AAC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Скраћивање прописаног рока</w:t>
                  </w:r>
                </w:p>
              </w:tc>
              <w:tc>
                <w:tcPr>
                  <w:tcW w:w="1948" w:type="dxa"/>
                </w:tcPr>
                <w:p w14:paraId="7D4CA3B5" w14:textId="3C35278D" w:rsidR="006A5408" w:rsidRPr="00C64AAC" w:rsidRDefault="006A5408" w:rsidP="006A540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  <w:p w14:paraId="26764FB8" w14:textId="653A1A7E" w:rsidR="009D2F9A" w:rsidRPr="00C64AAC" w:rsidRDefault="009D2F9A" w:rsidP="0029071F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425A1BAA" w14:textId="77777777" w:rsidR="0029071F" w:rsidRPr="00C64AAC" w:rsidRDefault="0029071F" w:rsidP="0029071F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23DCFD84" w14:textId="77777777" w:rsidR="00CA1CE9" w:rsidRPr="00C64AAC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96" w:type="dxa"/>
                  <w:gridSpan w:val="2"/>
                </w:tcPr>
                <w:p w14:paraId="6FF68937" w14:textId="77777777" w:rsidR="00CA1CE9" w:rsidRPr="00C64AAC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DB19B9" w:rsidRPr="00C64AAC" w14:paraId="1228D87D" w14:textId="77777777" w:rsidTr="001074F2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406288B1" w14:textId="120C039E" w:rsidR="00DB19B9" w:rsidRPr="00C64AAC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32D90DC8" w14:textId="17C1BD10" w:rsidR="00E44EB7" w:rsidRPr="00C64AAC" w:rsidRDefault="00E44EB7" w:rsidP="00C64AAC">
                  <w:pPr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6A9A79A1" w14:textId="77777777" w:rsidR="0029071F" w:rsidRPr="00C64AAC" w:rsidRDefault="0029071F" w:rsidP="0029071F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4BF2735E" w14:textId="77777777" w:rsidR="00DB19B9" w:rsidRPr="00C64AAC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89" w:type="dxa"/>
                </w:tcPr>
                <w:p w14:paraId="1F22B93B" w14:textId="74065ADF" w:rsidR="00DB19B9" w:rsidRPr="00C64AAC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041CC9" w:rsidRPr="00C64AAC" w14:paraId="432627E2" w14:textId="77777777" w:rsidTr="00981134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36073EF3" w14:textId="315E66D5" w:rsidR="00041CC9" w:rsidRPr="00C64AAC" w:rsidRDefault="00041CC9" w:rsidP="0029071F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9" w:type="dxa"/>
                  <w:gridSpan w:val="3"/>
                </w:tcPr>
                <w:p w14:paraId="6581E474" w14:textId="77777777" w:rsidR="00041CC9" w:rsidRPr="00C64AAC" w:rsidRDefault="00041CC9" w:rsidP="0029071F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29071F" w:rsidRPr="00C64AAC" w14:paraId="7FFA7C92" w14:textId="77777777" w:rsidTr="00846E82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32949700" w14:textId="0D9BD82B" w:rsidR="0029071F" w:rsidRPr="00C64AAC" w:rsidRDefault="0029071F" w:rsidP="0029071F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Унапређење / Увођење обрасца захтева</w:t>
                  </w:r>
                </w:p>
              </w:tc>
              <w:tc>
                <w:tcPr>
                  <w:tcW w:w="1948" w:type="dxa"/>
                </w:tcPr>
                <w:p w14:paraId="0971A94E" w14:textId="77777777" w:rsidR="0029071F" w:rsidRPr="00C64AAC" w:rsidRDefault="0029071F" w:rsidP="0029071F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878C1B1" w14:textId="2EC0947B" w:rsidR="0029071F" w:rsidRPr="00C64AAC" w:rsidRDefault="0029071F" w:rsidP="0029071F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7BAB9184" w14:textId="77777777" w:rsidR="0029071F" w:rsidRPr="00C64AAC" w:rsidRDefault="0029071F" w:rsidP="0029071F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29071F" w:rsidRPr="00C64AAC" w14:paraId="1FBF8819" w14:textId="77777777" w:rsidTr="00846E82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68D6682A" w14:textId="2D0D08A1" w:rsidR="0029071F" w:rsidRPr="00C64AAC" w:rsidRDefault="0029071F" w:rsidP="0029071F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466F412" w14:textId="77777777" w:rsidR="0029071F" w:rsidRPr="00C64AAC" w:rsidRDefault="0029071F" w:rsidP="0029071F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CADFDB9" w14:textId="6810C913" w:rsidR="0029071F" w:rsidRPr="00C64AAC" w:rsidRDefault="0029071F" w:rsidP="0029071F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39EBA256" w14:textId="77777777" w:rsidR="0029071F" w:rsidRPr="00C64AAC" w:rsidRDefault="0029071F" w:rsidP="0029071F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29071F" w:rsidRPr="00C64AAC" w14:paraId="44204327" w14:textId="77777777" w:rsidTr="001074F2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C271E00" w14:textId="66FECDC5" w:rsidR="0029071F" w:rsidRPr="00C64AAC" w:rsidRDefault="0029071F" w:rsidP="0029071F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63B6BFE9" w14:textId="77777777" w:rsidR="0029071F" w:rsidRPr="00C64AAC" w:rsidRDefault="0029071F" w:rsidP="0029071F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74ED4CA5" w14:textId="5828DFAC" w:rsidR="0029071F" w:rsidRPr="00C64AAC" w:rsidRDefault="0029071F" w:rsidP="0029071F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C64AAC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4EA25193" w14:textId="77777777" w:rsidR="0029071F" w:rsidRPr="00C64AAC" w:rsidRDefault="0029071F" w:rsidP="0029071F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1CC0C1E" w:rsidR="00CA1CE9" w:rsidRPr="00C64AAC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64AAC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C64AA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3B3EF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1FD6E8E" w14:textId="77777777" w:rsidR="001074F2" w:rsidRPr="00C64AAC" w:rsidRDefault="001074F2" w:rsidP="001074F2">
            <w:pPr>
              <w:pStyle w:val="ListParagraph"/>
              <w:numPr>
                <w:ilvl w:val="1"/>
                <w:numId w:val="29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64AA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Скраћивање рока кроз примену члана 145 ЗоУП-а</w:t>
            </w:r>
          </w:p>
          <w:p w14:paraId="22872A16" w14:textId="61D6D738" w:rsidR="001074F2" w:rsidRPr="00C64AAC" w:rsidRDefault="001074F2" w:rsidP="001074F2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4A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прим</w:t>
            </w:r>
            <w:r w:rsidRPr="00C64AA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C64A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њује рок од 60 дана за одлучивање по захтеву, прописан чланом 145 ЗоУП-а. Како је просечан рок за решавање уредног захтева 30 дана и како се ради о поступку непосредног одлучивања, будући да по административном поступку поступа управо Републичка дирекција за воде, предлаже се издавање аката нај</w:t>
            </w:r>
            <w:r w:rsidRPr="00C64AA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касније у року </w:t>
            </w:r>
            <w:r w:rsidRPr="00C64AA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од </w:t>
            </w:r>
            <w:r w:rsidRPr="00C64A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30 дана од </w:t>
            </w:r>
            <w:r w:rsidRPr="00C64AA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покретања поступка</w:t>
            </w:r>
            <w:r w:rsidRPr="00C64A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односно примена рока из члана 145. став 2 ЗУП-а, уместо досадашње примене рока од 60 дана. </w:t>
            </w:r>
          </w:p>
          <w:p w14:paraId="36664211" w14:textId="77777777" w:rsidR="001074F2" w:rsidRPr="00C64AAC" w:rsidRDefault="001074F2" w:rsidP="001074F2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64AA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C01693C" w14:textId="77777777" w:rsidR="001074F2" w:rsidRPr="00C64AAC" w:rsidRDefault="001074F2" w:rsidP="001074F2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D2EDB38" w14:textId="77777777" w:rsidR="001074F2" w:rsidRPr="00C64AAC" w:rsidRDefault="001074F2" w:rsidP="001074F2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799CC490" w14:textId="1232985F" w:rsidR="001074F2" w:rsidRPr="00C64AAC" w:rsidRDefault="001074F2" w:rsidP="001074F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C64AAC">
              <w:rPr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</w:t>
            </w:r>
            <w:r w:rsidR="002C63FB" w:rsidRPr="00C64AAC">
              <w:rPr>
                <w:sz w:val="22"/>
                <w:szCs w:val="22"/>
                <w:lang w:val="sr-Cyrl-RS"/>
              </w:rPr>
              <w:t>Г</w:t>
            </w:r>
            <w:r w:rsidRPr="00C64AAC">
              <w:rPr>
                <w:sz w:val="22"/>
                <w:szCs w:val="22"/>
                <w:lang w:val="sr-Cyrl-RS"/>
              </w:rPr>
              <w:t xml:space="preserve">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</w:t>
            </w:r>
            <w:r w:rsidR="002C63FB" w:rsidRPr="00C64AAC">
              <w:rPr>
                <w:sz w:val="22"/>
                <w:szCs w:val="22"/>
                <w:lang w:val="sr-Cyrl-RS"/>
              </w:rPr>
              <w:t>Г</w:t>
            </w:r>
            <w:r w:rsidRPr="00C64AAC">
              <w:rPr>
                <w:sz w:val="22"/>
                <w:szCs w:val="22"/>
                <w:lang w:val="sr-Cyrl-RS"/>
              </w:rPr>
              <w:t xml:space="preserve">ласник РС", број 94 од 19. октобра 2017.) и Уредбом о прибављању и уступању података о чињеницама о којима се води </w:t>
            </w:r>
            <w:r w:rsidR="002C63FB" w:rsidRPr="00C64AAC">
              <w:rPr>
                <w:sz w:val="22"/>
                <w:szCs w:val="22"/>
                <w:lang w:val="sr-Cyrl-RS"/>
              </w:rPr>
              <w:t>службена евиденција ("Службени Г</w:t>
            </w:r>
            <w:r w:rsidRPr="00C64AAC">
              <w:rPr>
                <w:sz w:val="22"/>
                <w:szCs w:val="22"/>
                <w:lang w:val="sr-Cyrl-RS"/>
              </w:rPr>
              <w:t>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E2DC49F" w14:textId="77777777" w:rsidR="001074F2" w:rsidRPr="00C64AAC" w:rsidRDefault="001074F2" w:rsidP="001074F2">
            <w:pPr>
              <w:pStyle w:val="ListParagraph"/>
              <w:numPr>
                <w:ilvl w:val="0"/>
                <w:numId w:val="30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C64AAC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Решење о регистрацији привредног друштва</w:t>
            </w:r>
          </w:p>
          <w:p w14:paraId="0CDCC86E" w14:textId="04799E96" w:rsidR="001074F2" w:rsidRPr="00C64AAC" w:rsidRDefault="001074F2" w:rsidP="001074F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C64AAC">
              <w:rPr>
                <w:sz w:val="22"/>
                <w:szCs w:val="22"/>
                <w:lang w:val="sr-Cyrl-RS"/>
              </w:rPr>
              <w:t>Овај документ се потражује од подносиоца захтева ради добијања потребних података о правном лицу. Прибављање података по службеној дужности може се извршити увидом у базу АПР-а.</w:t>
            </w:r>
          </w:p>
          <w:p w14:paraId="0D01CE13" w14:textId="193EFA82" w:rsidR="001074F2" w:rsidRPr="00C64AAC" w:rsidRDefault="001074F2" w:rsidP="001074F2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64AA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F388F79" w14:textId="67F0711B" w:rsidR="0029071F" w:rsidRPr="00C64AAC" w:rsidRDefault="0029071F" w:rsidP="0029071F">
            <w:pPr>
              <w:pStyle w:val="ListParagraph"/>
              <w:numPr>
                <w:ilvl w:val="1"/>
                <w:numId w:val="29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4AA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/ модификација обрасца административног захтева </w:t>
            </w:r>
          </w:p>
          <w:p w14:paraId="67E4FC81" w14:textId="77777777" w:rsidR="0029071F" w:rsidRPr="00C64AAC" w:rsidRDefault="0029071F" w:rsidP="0029071F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B7E243" w14:textId="77777777" w:rsidR="0029071F" w:rsidRPr="00C64AAC" w:rsidRDefault="0029071F" w:rsidP="0029071F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4AA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65B47999" w14:textId="77777777" w:rsidR="003B3EF9" w:rsidRPr="003B3EF9" w:rsidRDefault="003B3EF9" w:rsidP="003B3EF9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7A9D213" w14:textId="77777777" w:rsidR="003B3EF9" w:rsidRPr="003B3EF9" w:rsidRDefault="003B3EF9" w:rsidP="003B3EF9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3B3EF9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28ED0788" w14:textId="77777777" w:rsidR="003B3EF9" w:rsidRPr="003B3EF9" w:rsidRDefault="003B3EF9" w:rsidP="003B3EF9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846C413" w14:textId="77777777" w:rsidR="003B3EF9" w:rsidRPr="003B3EF9" w:rsidRDefault="003B3EF9" w:rsidP="003B3EF9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3B3EF9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3DDCD44F" w14:textId="77777777" w:rsidR="003B3EF9" w:rsidRPr="003B3EF9" w:rsidRDefault="003B3EF9" w:rsidP="003B3EF9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3B3EF9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5BC9B882" w14:textId="77777777" w:rsidR="003B3EF9" w:rsidRPr="003B3EF9" w:rsidRDefault="003B3EF9" w:rsidP="003B3EF9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64B83CF3" w14:textId="77777777" w:rsidR="003B3EF9" w:rsidRPr="003B3EF9" w:rsidRDefault="003B3EF9" w:rsidP="003B3EF9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0B071B6F" w14:textId="77777777" w:rsidR="003B3EF9" w:rsidRPr="003B3EF9" w:rsidRDefault="003B3EF9" w:rsidP="003B3EF9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3B3EF9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2AB42D0B" w14:textId="77777777" w:rsidR="003B3EF9" w:rsidRPr="003B3EF9" w:rsidRDefault="003B3EF9" w:rsidP="003B3EF9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5D30CFEB" w14:textId="77777777" w:rsidR="003B3EF9" w:rsidRPr="003B3EF9" w:rsidRDefault="003B3EF9" w:rsidP="003B3EF9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3B3EF9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3B3EF9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4A54ACE" w14:textId="77777777" w:rsidR="003B3EF9" w:rsidRPr="003B3EF9" w:rsidRDefault="003B3EF9" w:rsidP="003B3EF9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43391E9" w14:textId="77777777" w:rsidR="003B3EF9" w:rsidRPr="003B3EF9" w:rsidRDefault="003B3EF9" w:rsidP="003B3EF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09715FA7" w14:textId="77777777" w:rsidR="003B3EF9" w:rsidRPr="003B3EF9" w:rsidRDefault="003B3EF9" w:rsidP="003B3EF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5D6F527F" w14:textId="77777777" w:rsidR="003B3EF9" w:rsidRPr="003B3EF9" w:rsidRDefault="003B3EF9" w:rsidP="003B3EF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2BCC142" w14:textId="77777777" w:rsidR="003B3EF9" w:rsidRPr="003B3EF9" w:rsidRDefault="003B3EF9" w:rsidP="003B3EF9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E4EC2C3" w14:textId="77777777" w:rsidR="003B3EF9" w:rsidRPr="003B3EF9" w:rsidRDefault="003B3EF9" w:rsidP="003B3EF9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E929F1C" w14:textId="77777777" w:rsidR="003B3EF9" w:rsidRPr="003B3EF9" w:rsidRDefault="003B3EF9" w:rsidP="003B3EF9">
            <w:pPr>
              <w:numPr>
                <w:ilvl w:val="1"/>
                <w:numId w:val="31"/>
              </w:numPr>
              <w:ind w:left="885"/>
              <w:rPr>
                <w:sz w:val="22"/>
                <w:lang w:val="ru-RU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39EEE125" w14:textId="77777777" w:rsidR="003B3EF9" w:rsidRPr="003B3EF9" w:rsidRDefault="003B3EF9" w:rsidP="003B3EF9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C401878" w14:textId="77777777" w:rsidR="003B3EF9" w:rsidRPr="003B3EF9" w:rsidRDefault="003B3EF9" w:rsidP="003B3EF9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1F766C5" w14:textId="77777777" w:rsidR="003B3EF9" w:rsidRPr="003B3EF9" w:rsidRDefault="003B3EF9" w:rsidP="003B3EF9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6B2E6FBA" w14:textId="77777777" w:rsidR="003B3EF9" w:rsidRPr="003B3EF9" w:rsidRDefault="003B3EF9" w:rsidP="003B3EF9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F811C71" w14:textId="77777777" w:rsidR="003B3EF9" w:rsidRPr="003B3EF9" w:rsidRDefault="003B3EF9" w:rsidP="003B3EF9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472D0E37" w14:textId="77777777" w:rsidR="003B3EF9" w:rsidRPr="003B3EF9" w:rsidRDefault="003B3EF9" w:rsidP="003B3EF9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268734DD" w14:textId="77777777" w:rsidR="003B3EF9" w:rsidRPr="003B3EF9" w:rsidRDefault="003B3EF9" w:rsidP="003B3EF9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2C03D6CE" w14:textId="77777777" w:rsidR="003B3EF9" w:rsidRPr="003B3EF9" w:rsidRDefault="003B3EF9" w:rsidP="003B3EF9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2A54727B" w14:textId="77777777" w:rsidR="003B3EF9" w:rsidRPr="003B3EF9" w:rsidRDefault="003B3EF9" w:rsidP="003B3EF9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04B8A3C4" w14:textId="77777777" w:rsidR="003B3EF9" w:rsidRPr="003B3EF9" w:rsidRDefault="003B3EF9" w:rsidP="003B3EF9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3A6F49D4" w14:textId="77777777" w:rsidR="003B3EF9" w:rsidRPr="003B3EF9" w:rsidRDefault="003B3EF9" w:rsidP="003B3EF9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B3EF9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2A43AA3E" w14:textId="77777777" w:rsidR="0029071F" w:rsidRPr="00C64AAC" w:rsidRDefault="0029071F" w:rsidP="0029071F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E6C76C" w14:textId="77777777" w:rsidR="0029071F" w:rsidRPr="00C64AAC" w:rsidRDefault="0029071F" w:rsidP="00A85BAA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64AA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9D4F2ED" w14:textId="77777777" w:rsidR="001F1230" w:rsidRPr="00C64AAC" w:rsidRDefault="001F1230" w:rsidP="001F1230">
            <w:pPr>
              <w:pStyle w:val="NormalWeb"/>
              <w:numPr>
                <w:ilvl w:val="1"/>
                <w:numId w:val="29"/>
              </w:numPr>
              <w:jc w:val="both"/>
              <w:rPr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 xml:space="preserve">Електронско подношење захтева </w:t>
            </w:r>
          </w:p>
          <w:p w14:paraId="5CA7B7A3" w14:textId="3F8DFAB7" w:rsidR="00A85BAA" w:rsidRPr="00C64AAC" w:rsidRDefault="00A85BAA" w:rsidP="001F123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C64AAC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</w:t>
            </w:r>
            <w:r w:rsidRPr="00C64AAC">
              <w:rPr>
                <w:sz w:val="22"/>
                <w:szCs w:val="22"/>
                <w:lang w:val="sr-Cyrl-RS"/>
              </w:rPr>
              <w:lastRenderedPageBreak/>
              <w:t>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C64AAC" w:rsidRPr="00C64AAC">
              <w:rPr>
                <w:sz w:val="22"/>
                <w:szCs w:val="22"/>
                <w:lang w:val="sr-Cyrl-RS"/>
              </w:rPr>
              <w:t>.</w:t>
            </w:r>
          </w:p>
          <w:p w14:paraId="293CBF5C" w14:textId="77777777" w:rsidR="00A85BAA" w:rsidRPr="00C64AAC" w:rsidRDefault="00A85BAA" w:rsidP="00A85BAA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C64AAC">
              <w:rPr>
                <w:sz w:val="22"/>
                <w:szCs w:val="22"/>
                <w:lang w:val="sr-Cyrl-RS"/>
              </w:rPr>
              <w:t>Ради реализације ове препоруке потребно је побољшати техничке услове.</w:t>
            </w:r>
          </w:p>
          <w:p w14:paraId="1A85E96B" w14:textId="77777777" w:rsidR="00A85BAA" w:rsidRPr="00C64AAC" w:rsidRDefault="00A85BAA" w:rsidP="00A85BAA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BFC400D" w14:textId="77777777" w:rsidR="0029071F" w:rsidRPr="00C64AAC" w:rsidRDefault="0029071F" w:rsidP="00A85BAA">
            <w:pPr>
              <w:pStyle w:val="ListParagraph"/>
              <w:numPr>
                <w:ilvl w:val="1"/>
                <w:numId w:val="29"/>
              </w:numPr>
              <w:spacing w:line="276" w:lineRule="auto"/>
              <w:ind w:left="738" w:hanging="38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64AA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27320B2D" w14:textId="77777777" w:rsidR="0029071F" w:rsidRPr="00C64AAC" w:rsidRDefault="0029071F" w:rsidP="0029071F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5E3946A" w14:textId="77777777" w:rsidR="0029071F" w:rsidRPr="00C64AAC" w:rsidRDefault="0029071F" w:rsidP="0029071F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4AAC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46C182E5" w14:textId="77777777" w:rsidR="0029071F" w:rsidRPr="00C64AAC" w:rsidRDefault="0029071F" w:rsidP="0029071F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64451809" w14:textId="77777777" w:rsidR="0029071F" w:rsidRPr="00C64AAC" w:rsidRDefault="0029071F" w:rsidP="0029071F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64AA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3EAB4AF8" w14:textId="30616CB5" w:rsidR="00CA1CE9" w:rsidRPr="00C64AAC" w:rsidRDefault="00CA1CE9" w:rsidP="001F1230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3B3EF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C64AAC" w:rsidRDefault="00CA1CE9" w:rsidP="00A85BAA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3B3EF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C9861F" w14:textId="77777777" w:rsidR="00E754C6" w:rsidRPr="00C64AAC" w:rsidRDefault="00E754C6" w:rsidP="00E754C6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  <w:p w14:paraId="1733E4AB" w14:textId="77777777" w:rsidR="00F954EB" w:rsidRPr="00C64AAC" w:rsidRDefault="00E754C6" w:rsidP="00E754C6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C64AAC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Усвојене препоруке не подразумевају измене прописа.</w:t>
            </w:r>
          </w:p>
          <w:p w14:paraId="39763933" w14:textId="002B4648" w:rsidR="00E754C6" w:rsidRPr="00C64AAC" w:rsidRDefault="00E754C6" w:rsidP="00E754C6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3B3EF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C64AAC" w:rsidRDefault="00CA1CE9" w:rsidP="00A85BAA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3B3EF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7AD851" w14:textId="77777777" w:rsidR="00E754C6" w:rsidRPr="00C64AAC" w:rsidRDefault="00E754C6" w:rsidP="00E754C6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  <w:p w14:paraId="3DE6348D" w14:textId="77777777" w:rsidR="00E754C6" w:rsidRPr="00C64AAC" w:rsidRDefault="00E754C6" w:rsidP="00E754C6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C64AAC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Усвојене препоруке не подразумевају измене прописа.</w:t>
            </w:r>
          </w:p>
          <w:p w14:paraId="1506ADFF" w14:textId="77777777" w:rsidR="00CA1CE9" w:rsidRPr="00C64AAC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C64AAC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C64AAC" w:rsidRDefault="00CA1CE9" w:rsidP="00A85BAA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64AAC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13BE8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4B71409" w14:textId="77777777" w:rsidR="00013BE8" w:rsidRPr="00013BE8" w:rsidRDefault="00013BE8" w:rsidP="00F66A1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3BE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109.715,38 РСД. Усвајање и примена препорука ће донети привредним субјектима годишње директне уштеде од 28.262,18 РСД или 232,38 ЕУР. Ове уштеде износе 25,76% укупних директних трошкова привредних субјеката у поступку. </w:t>
            </w:r>
          </w:p>
          <w:p w14:paraId="2E889ED2" w14:textId="77777777" w:rsidR="00013BE8" w:rsidRPr="00013BE8" w:rsidRDefault="00013BE8" w:rsidP="00F66A1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D89724" w14:textId="5AF7E5A6" w:rsidR="00343ED3" w:rsidRDefault="000A2BBD" w:rsidP="00F66A1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Усвајањем </w:t>
            </w:r>
            <w:r w:rsidR="00F05C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постижу се значајне </w:t>
            </w:r>
            <w:r w:rsidR="004869C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уштеде у времену потребном за сп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ровођење адмнистративног поступка</w:t>
            </w:r>
            <w:r w:rsidR="00F05C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7149A738" w14:textId="77777777" w:rsidR="00F66A16" w:rsidRDefault="00F66A16" w:rsidP="00F66A1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1FFAF124" w:rsidR="00F66A16" w:rsidRPr="00013BE8" w:rsidRDefault="00F66A16" w:rsidP="00F66A1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6A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скраћењу рокова у поступку,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C64AAC" w:rsidRDefault="003E3C16" w:rsidP="00C64AAC">
      <w:pPr>
        <w:rPr>
          <w:rFonts w:ascii="Times New Roman" w:eastAsia="Times New Roman" w:hAnsi="Times New Roman"/>
          <w:lang w:val="sr-Cyrl-RS"/>
        </w:rPr>
      </w:pPr>
    </w:p>
    <w:sectPr w:rsidR="003E3C16" w:rsidRPr="00C64AAC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E26F2" w14:textId="77777777" w:rsidR="00497E02" w:rsidRDefault="00497E02" w:rsidP="002A202F">
      <w:r>
        <w:separator/>
      </w:r>
    </w:p>
  </w:endnote>
  <w:endnote w:type="continuationSeparator" w:id="0">
    <w:p w14:paraId="65DD1CAC" w14:textId="77777777" w:rsidR="00497E02" w:rsidRDefault="00497E0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C19ED1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3C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96470" w14:textId="77777777" w:rsidR="00497E02" w:rsidRDefault="00497E02" w:rsidP="002A202F">
      <w:r>
        <w:separator/>
      </w:r>
    </w:p>
  </w:footnote>
  <w:footnote w:type="continuationSeparator" w:id="0">
    <w:p w14:paraId="02CF7226" w14:textId="77777777" w:rsidR="00497E02" w:rsidRDefault="00497E0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65BF0"/>
    <w:multiLevelType w:val="hybridMultilevel"/>
    <w:tmpl w:val="BAFC106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455D3"/>
    <w:multiLevelType w:val="hybridMultilevel"/>
    <w:tmpl w:val="3EDCEC38"/>
    <w:lvl w:ilvl="0" w:tplc="B6DEF6E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83EC6"/>
    <w:multiLevelType w:val="multilevel"/>
    <w:tmpl w:val="6A5E29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FF35A91"/>
    <w:multiLevelType w:val="hybridMultilevel"/>
    <w:tmpl w:val="3D461EDA"/>
    <w:lvl w:ilvl="0" w:tplc="1A8AA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8785D57"/>
    <w:multiLevelType w:val="hybridMultilevel"/>
    <w:tmpl w:val="293C5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45DBD"/>
    <w:multiLevelType w:val="hybridMultilevel"/>
    <w:tmpl w:val="533EEA48"/>
    <w:lvl w:ilvl="0" w:tplc="530C7F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106B6"/>
    <w:multiLevelType w:val="multilevel"/>
    <w:tmpl w:val="6A5E29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0"/>
  </w:num>
  <w:num w:numId="4">
    <w:abstractNumId w:val="8"/>
  </w:num>
  <w:num w:numId="5">
    <w:abstractNumId w:val="3"/>
  </w:num>
  <w:num w:numId="6">
    <w:abstractNumId w:val="18"/>
  </w:num>
  <w:num w:numId="7">
    <w:abstractNumId w:val="32"/>
  </w:num>
  <w:num w:numId="8">
    <w:abstractNumId w:val="14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5"/>
  </w:num>
  <w:num w:numId="17">
    <w:abstractNumId w:val="13"/>
  </w:num>
  <w:num w:numId="18">
    <w:abstractNumId w:val="30"/>
  </w:num>
  <w:num w:numId="19">
    <w:abstractNumId w:val="9"/>
  </w:num>
  <w:num w:numId="20">
    <w:abstractNumId w:val="33"/>
  </w:num>
  <w:num w:numId="21">
    <w:abstractNumId w:val="10"/>
  </w:num>
  <w:num w:numId="22">
    <w:abstractNumId w:val="7"/>
  </w:num>
  <w:num w:numId="23">
    <w:abstractNumId w:val="23"/>
  </w:num>
  <w:num w:numId="24">
    <w:abstractNumId w:val="0"/>
  </w:num>
  <w:num w:numId="25">
    <w:abstractNumId w:val="12"/>
  </w:num>
  <w:num w:numId="26">
    <w:abstractNumId w:val="4"/>
  </w:num>
  <w:num w:numId="27">
    <w:abstractNumId w:val="6"/>
  </w:num>
  <w:num w:numId="28">
    <w:abstractNumId w:val="17"/>
  </w:num>
  <w:num w:numId="29">
    <w:abstractNumId w:val="31"/>
  </w:num>
  <w:num w:numId="30">
    <w:abstractNumId w:val="19"/>
  </w:num>
  <w:num w:numId="31">
    <w:abstractNumId w:val="21"/>
  </w:num>
  <w:num w:numId="32">
    <w:abstractNumId w:val="2"/>
  </w:num>
  <w:num w:numId="33">
    <w:abstractNumId w:val="1"/>
  </w:num>
  <w:num w:numId="34">
    <w:abstractNumId w:val="16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3BE8"/>
    <w:rsid w:val="0001445B"/>
    <w:rsid w:val="0001723F"/>
    <w:rsid w:val="00023EF9"/>
    <w:rsid w:val="00026C2F"/>
    <w:rsid w:val="00027945"/>
    <w:rsid w:val="00036812"/>
    <w:rsid w:val="0004005F"/>
    <w:rsid w:val="00041CC9"/>
    <w:rsid w:val="0004410B"/>
    <w:rsid w:val="00044F35"/>
    <w:rsid w:val="00044F63"/>
    <w:rsid w:val="00045A0E"/>
    <w:rsid w:val="00050616"/>
    <w:rsid w:val="00061070"/>
    <w:rsid w:val="00083993"/>
    <w:rsid w:val="0008565A"/>
    <w:rsid w:val="0009225F"/>
    <w:rsid w:val="00092B84"/>
    <w:rsid w:val="0009542A"/>
    <w:rsid w:val="000A2BBD"/>
    <w:rsid w:val="000A53F3"/>
    <w:rsid w:val="000A5CDC"/>
    <w:rsid w:val="000B54D7"/>
    <w:rsid w:val="000D5029"/>
    <w:rsid w:val="000E2036"/>
    <w:rsid w:val="000F5E72"/>
    <w:rsid w:val="00105A85"/>
    <w:rsid w:val="001074F2"/>
    <w:rsid w:val="001156BA"/>
    <w:rsid w:val="0015182D"/>
    <w:rsid w:val="00153E98"/>
    <w:rsid w:val="00161847"/>
    <w:rsid w:val="00165C31"/>
    <w:rsid w:val="00170CA7"/>
    <w:rsid w:val="001711C5"/>
    <w:rsid w:val="001A023F"/>
    <w:rsid w:val="001A3FAC"/>
    <w:rsid w:val="001A5721"/>
    <w:rsid w:val="001A6472"/>
    <w:rsid w:val="001C3320"/>
    <w:rsid w:val="001C5538"/>
    <w:rsid w:val="001D0EDE"/>
    <w:rsid w:val="001D20E2"/>
    <w:rsid w:val="001E38DE"/>
    <w:rsid w:val="001F1230"/>
    <w:rsid w:val="001F7B31"/>
    <w:rsid w:val="002016F2"/>
    <w:rsid w:val="0020601F"/>
    <w:rsid w:val="00212DA5"/>
    <w:rsid w:val="0021347C"/>
    <w:rsid w:val="00216418"/>
    <w:rsid w:val="002323AC"/>
    <w:rsid w:val="00261404"/>
    <w:rsid w:val="002673B0"/>
    <w:rsid w:val="00275E2A"/>
    <w:rsid w:val="0029071F"/>
    <w:rsid w:val="00296938"/>
    <w:rsid w:val="002A202F"/>
    <w:rsid w:val="002B19B4"/>
    <w:rsid w:val="002C4A02"/>
    <w:rsid w:val="002C63FB"/>
    <w:rsid w:val="002D0FCB"/>
    <w:rsid w:val="002D2F49"/>
    <w:rsid w:val="002E4569"/>
    <w:rsid w:val="002F1BEC"/>
    <w:rsid w:val="002F45C8"/>
    <w:rsid w:val="002F4757"/>
    <w:rsid w:val="00322199"/>
    <w:rsid w:val="003223C7"/>
    <w:rsid w:val="00326555"/>
    <w:rsid w:val="00331A18"/>
    <w:rsid w:val="003410E0"/>
    <w:rsid w:val="00343ED3"/>
    <w:rsid w:val="00350EAD"/>
    <w:rsid w:val="00355DAE"/>
    <w:rsid w:val="003651DB"/>
    <w:rsid w:val="003715A0"/>
    <w:rsid w:val="0037171F"/>
    <w:rsid w:val="00376FD1"/>
    <w:rsid w:val="00377FA9"/>
    <w:rsid w:val="0039002C"/>
    <w:rsid w:val="00394CED"/>
    <w:rsid w:val="003B3EF9"/>
    <w:rsid w:val="003B44DB"/>
    <w:rsid w:val="003B4BC9"/>
    <w:rsid w:val="003B6298"/>
    <w:rsid w:val="003E2EB1"/>
    <w:rsid w:val="003E3C16"/>
    <w:rsid w:val="00407D96"/>
    <w:rsid w:val="00432495"/>
    <w:rsid w:val="00434276"/>
    <w:rsid w:val="00444DA7"/>
    <w:rsid w:val="00457882"/>
    <w:rsid w:val="00463CC7"/>
    <w:rsid w:val="004809C4"/>
    <w:rsid w:val="0048433C"/>
    <w:rsid w:val="004847B1"/>
    <w:rsid w:val="004869C2"/>
    <w:rsid w:val="0049545B"/>
    <w:rsid w:val="00497E02"/>
    <w:rsid w:val="004D1657"/>
    <w:rsid w:val="004D3BD0"/>
    <w:rsid w:val="004D45B1"/>
    <w:rsid w:val="004D68A7"/>
    <w:rsid w:val="004E29D1"/>
    <w:rsid w:val="00500566"/>
    <w:rsid w:val="005073A3"/>
    <w:rsid w:val="00513A56"/>
    <w:rsid w:val="00517780"/>
    <w:rsid w:val="00523608"/>
    <w:rsid w:val="00525C0A"/>
    <w:rsid w:val="00532317"/>
    <w:rsid w:val="00535608"/>
    <w:rsid w:val="005503D7"/>
    <w:rsid w:val="00554815"/>
    <w:rsid w:val="00556688"/>
    <w:rsid w:val="0056162B"/>
    <w:rsid w:val="0056707B"/>
    <w:rsid w:val="00581A9D"/>
    <w:rsid w:val="0058230C"/>
    <w:rsid w:val="00597390"/>
    <w:rsid w:val="005A2503"/>
    <w:rsid w:val="005B4F04"/>
    <w:rsid w:val="005B7CB9"/>
    <w:rsid w:val="005D0023"/>
    <w:rsid w:val="005E21C4"/>
    <w:rsid w:val="005F4D59"/>
    <w:rsid w:val="0060001C"/>
    <w:rsid w:val="00600D31"/>
    <w:rsid w:val="00601BC4"/>
    <w:rsid w:val="0060786A"/>
    <w:rsid w:val="00607CF7"/>
    <w:rsid w:val="006237FE"/>
    <w:rsid w:val="00627AF7"/>
    <w:rsid w:val="00632540"/>
    <w:rsid w:val="00633F73"/>
    <w:rsid w:val="00645199"/>
    <w:rsid w:val="00645850"/>
    <w:rsid w:val="00661ECF"/>
    <w:rsid w:val="00692071"/>
    <w:rsid w:val="0069424E"/>
    <w:rsid w:val="00694B28"/>
    <w:rsid w:val="006A2B6D"/>
    <w:rsid w:val="006A3396"/>
    <w:rsid w:val="006A5408"/>
    <w:rsid w:val="006C5349"/>
    <w:rsid w:val="006C5F2A"/>
    <w:rsid w:val="006C662C"/>
    <w:rsid w:val="006F4A5C"/>
    <w:rsid w:val="00715F5C"/>
    <w:rsid w:val="007278C1"/>
    <w:rsid w:val="00733493"/>
    <w:rsid w:val="00735DDF"/>
    <w:rsid w:val="00737F1D"/>
    <w:rsid w:val="00751BC5"/>
    <w:rsid w:val="0076742A"/>
    <w:rsid w:val="00767940"/>
    <w:rsid w:val="00782816"/>
    <w:rsid w:val="00785A46"/>
    <w:rsid w:val="007861E3"/>
    <w:rsid w:val="00793922"/>
    <w:rsid w:val="007940D6"/>
    <w:rsid w:val="007A73BC"/>
    <w:rsid w:val="007B1740"/>
    <w:rsid w:val="007C61B5"/>
    <w:rsid w:val="007D3889"/>
    <w:rsid w:val="007D39E4"/>
    <w:rsid w:val="007D43A7"/>
    <w:rsid w:val="007E1695"/>
    <w:rsid w:val="007F204C"/>
    <w:rsid w:val="00800D07"/>
    <w:rsid w:val="00804060"/>
    <w:rsid w:val="00806AD0"/>
    <w:rsid w:val="00811D24"/>
    <w:rsid w:val="00814516"/>
    <w:rsid w:val="008166C9"/>
    <w:rsid w:val="008243C4"/>
    <w:rsid w:val="00824E43"/>
    <w:rsid w:val="00833D8C"/>
    <w:rsid w:val="00834C9A"/>
    <w:rsid w:val="008364FE"/>
    <w:rsid w:val="0084708C"/>
    <w:rsid w:val="00850AD5"/>
    <w:rsid w:val="00852739"/>
    <w:rsid w:val="008629CC"/>
    <w:rsid w:val="00865EBB"/>
    <w:rsid w:val="00877B16"/>
    <w:rsid w:val="00886C36"/>
    <w:rsid w:val="008A6AC8"/>
    <w:rsid w:val="008C5591"/>
    <w:rsid w:val="008D04A6"/>
    <w:rsid w:val="008D45E6"/>
    <w:rsid w:val="008D4C1A"/>
    <w:rsid w:val="008E611E"/>
    <w:rsid w:val="008F0867"/>
    <w:rsid w:val="008F172F"/>
    <w:rsid w:val="008F2044"/>
    <w:rsid w:val="008F2BE1"/>
    <w:rsid w:val="008F4DD1"/>
    <w:rsid w:val="009025CB"/>
    <w:rsid w:val="009056DB"/>
    <w:rsid w:val="00911104"/>
    <w:rsid w:val="00921B1E"/>
    <w:rsid w:val="00943AE9"/>
    <w:rsid w:val="00947592"/>
    <w:rsid w:val="00950280"/>
    <w:rsid w:val="00974C29"/>
    <w:rsid w:val="00980638"/>
    <w:rsid w:val="00987098"/>
    <w:rsid w:val="00991A18"/>
    <w:rsid w:val="00994A16"/>
    <w:rsid w:val="009A30D3"/>
    <w:rsid w:val="009B558D"/>
    <w:rsid w:val="009B625E"/>
    <w:rsid w:val="009C1871"/>
    <w:rsid w:val="009C4B64"/>
    <w:rsid w:val="009D03A7"/>
    <w:rsid w:val="009D23D4"/>
    <w:rsid w:val="009D2F9A"/>
    <w:rsid w:val="009E0479"/>
    <w:rsid w:val="00A0102E"/>
    <w:rsid w:val="00A015A4"/>
    <w:rsid w:val="00A12960"/>
    <w:rsid w:val="00A1570D"/>
    <w:rsid w:val="00A22386"/>
    <w:rsid w:val="00A51E74"/>
    <w:rsid w:val="00A56B75"/>
    <w:rsid w:val="00A71C04"/>
    <w:rsid w:val="00A85BAA"/>
    <w:rsid w:val="00AA0017"/>
    <w:rsid w:val="00AA4BC5"/>
    <w:rsid w:val="00AB09B3"/>
    <w:rsid w:val="00AC02D1"/>
    <w:rsid w:val="00AD3370"/>
    <w:rsid w:val="00AF0087"/>
    <w:rsid w:val="00AF1260"/>
    <w:rsid w:val="00B06019"/>
    <w:rsid w:val="00B07409"/>
    <w:rsid w:val="00B1006E"/>
    <w:rsid w:val="00B1344F"/>
    <w:rsid w:val="00B178FB"/>
    <w:rsid w:val="00B429F3"/>
    <w:rsid w:val="00B5252A"/>
    <w:rsid w:val="00B63DB1"/>
    <w:rsid w:val="00B67138"/>
    <w:rsid w:val="00B6715C"/>
    <w:rsid w:val="00B802C9"/>
    <w:rsid w:val="00B81CFE"/>
    <w:rsid w:val="00B903AE"/>
    <w:rsid w:val="00B9157F"/>
    <w:rsid w:val="00B95225"/>
    <w:rsid w:val="00BA36F8"/>
    <w:rsid w:val="00BA55D3"/>
    <w:rsid w:val="00BA6759"/>
    <w:rsid w:val="00BA7204"/>
    <w:rsid w:val="00BB2C8C"/>
    <w:rsid w:val="00BC6826"/>
    <w:rsid w:val="00BF0E7C"/>
    <w:rsid w:val="00C0295C"/>
    <w:rsid w:val="00C03C06"/>
    <w:rsid w:val="00C121EC"/>
    <w:rsid w:val="00C12C65"/>
    <w:rsid w:val="00C130A0"/>
    <w:rsid w:val="00C445E2"/>
    <w:rsid w:val="00C64AAC"/>
    <w:rsid w:val="00C64BF5"/>
    <w:rsid w:val="00C70F1B"/>
    <w:rsid w:val="00C7129D"/>
    <w:rsid w:val="00C748D1"/>
    <w:rsid w:val="00C774DE"/>
    <w:rsid w:val="00C8231E"/>
    <w:rsid w:val="00C91014"/>
    <w:rsid w:val="00CA1CE9"/>
    <w:rsid w:val="00CB1A4E"/>
    <w:rsid w:val="00CB5A78"/>
    <w:rsid w:val="00CC29F6"/>
    <w:rsid w:val="00CC697A"/>
    <w:rsid w:val="00CD2287"/>
    <w:rsid w:val="00CD5BBB"/>
    <w:rsid w:val="00CE0685"/>
    <w:rsid w:val="00D37EA5"/>
    <w:rsid w:val="00D667D7"/>
    <w:rsid w:val="00D71AD1"/>
    <w:rsid w:val="00D73628"/>
    <w:rsid w:val="00D73918"/>
    <w:rsid w:val="00D967D7"/>
    <w:rsid w:val="00DA125D"/>
    <w:rsid w:val="00DB19B9"/>
    <w:rsid w:val="00DC4BC2"/>
    <w:rsid w:val="00DE057D"/>
    <w:rsid w:val="00DE12EC"/>
    <w:rsid w:val="00DE6FC0"/>
    <w:rsid w:val="00E0020F"/>
    <w:rsid w:val="00E118C7"/>
    <w:rsid w:val="00E1427B"/>
    <w:rsid w:val="00E14E0D"/>
    <w:rsid w:val="00E2143C"/>
    <w:rsid w:val="00E22B8B"/>
    <w:rsid w:val="00E317D1"/>
    <w:rsid w:val="00E347EC"/>
    <w:rsid w:val="00E36AB0"/>
    <w:rsid w:val="00E40DF0"/>
    <w:rsid w:val="00E4267B"/>
    <w:rsid w:val="00E44EB7"/>
    <w:rsid w:val="00E47DAC"/>
    <w:rsid w:val="00E63C8A"/>
    <w:rsid w:val="00E70BF6"/>
    <w:rsid w:val="00E754C6"/>
    <w:rsid w:val="00EC70FB"/>
    <w:rsid w:val="00F05C9F"/>
    <w:rsid w:val="00F11C98"/>
    <w:rsid w:val="00F12E47"/>
    <w:rsid w:val="00F223B2"/>
    <w:rsid w:val="00F53241"/>
    <w:rsid w:val="00F66A16"/>
    <w:rsid w:val="00F67790"/>
    <w:rsid w:val="00F954EB"/>
    <w:rsid w:val="00FB1A1B"/>
    <w:rsid w:val="00FB645B"/>
    <w:rsid w:val="00FB70FD"/>
    <w:rsid w:val="00FC09D6"/>
    <w:rsid w:val="00FC34EC"/>
    <w:rsid w:val="00FC3F69"/>
    <w:rsid w:val="00FC5312"/>
    <w:rsid w:val="00FD3964"/>
    <w:rsid w:val="00FF4DB4"/>
    <w:rsid w:val="00FF5E45"/>
    <w:rsid w:val="00FF72A2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260CB8E-B382-498F-9DBB-2994AD25E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1074F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43427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81049-536A-4A64-B1D1-5844E93B8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3</cp:revision>
  <cp:lastPrinted>2018-09-05T12:48:00Z</cp:lastPrinted>
  <dcterms:created xsi:type="dcterms:W3CDTF">2019-04-06T10:19:00Z</dcterms:created>
  <dcterms:modified xsi:type="dcterms:W3CDTF">2019-07-12T15:21:00Z</dcterms:modified>
</cp:coreProperties>
</file>