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7FB34" w14:textId="77777777" w:rsidR="00D53941" w:rsidRPr="00494042" w:rsidRDefault="00D53941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494042">
        <w:rPr>
          <w:b/>
          <w:sz w:val="22"/>
          <w:szCs w:val="22"/>
          <w:lang w:val="sr-Cyrl-RS"/>
        </w:rPr>
        <w:t>ПОЈЕДНОСТАВЉЕЊЕ ПОСТУПКА РЕГИСТРАЦИЈЕ МАТИЧЊАКА, ШУМСКИХ РАСАДНИКА И РАСАДНИКА УКРАСНОГ ДРВЕЋА И ЖБУЊА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2F27B3F1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98FC5A1" w:rsidR="000E2036" w:rsidRPr="00DB19B9" w:rsidRDefault="00AE71F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E71F4">
              <w:rPr>
                <w:b/>
                <w:sz w:val="22"/>
                <w:szCs w:val="22"/>
                <w:lang w:val="sr-Cyrl-RS"/>
              </w:rPr>
              <w:t>Регистрација матичњака, шумских расадника и расадника украсног дрвећа и жбуња</w:t>
            </w:r>
          </w:p>
        </w:tc>
      </w:tr>
      <w:tr w:rsidR="00850AD5" w:rsidRPr="00DB19B9" w14:paraId="7A6AA442" w14:textId="77777777" w:rsidTr="2F27B3F1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021801C" w:rsidR="000E2036" w:rsidRPr="00BB1D21" w:rsidRDefault="00BB1D2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16.04.0011</w:t>
            </w:r>
          </w:p>
        </w:tc>
      </w:tr>
      <w:tr w:rsidR="00850AD5" w:rsidRPr="00DB19B9" w14:paraId="2CEE52A6" w14:textId="77777777" w:rsidTr="2F27B3F1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66B1057" w14:textId="77777777" w:rsidR="00BB1D21" w:rsidRPr="00810FB4" w:rsidRDefault="00BB1D21" w:rsidP="00810FB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CS"/>
              </w:rPr>
            </w:pPr>
            <w:r w:rsidRPr="00810FB4">
              <w:rPr>
                <w:sz w:val="22"/>
                <w:szCs w:val="22"/>
                <w:lang w:val="sr-Cyrl-CS"/>
              </w:rPr>
              <w:t>Министарство пољопривреде, шумарства и водопривреде</w:t>
            </w:r>
          </w:p>
          <w:p w14:paraId="5795E7E6" w14:textId="645ECC52" w:rsidR="00092B84" w:rsidRPr="00810FB4" w:rsidRDefault="00BB1D21" w:rsidP="00810FB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10FB4">
              <w:rPr>
                <w:sz w:val="22"/>
                <w:szCs w:val="22"/>
                <w:lang w:val="sr-Cyrl-CS"/>
              </w:rPr>
              <w:t>Управа за шуме</w:t>
            </w:r>
          </w:p>
        </w:tc>
      </w:tr>
      <w:tr w:rsidR="00850AD5" w:rsidRPr="00DB19B9" w14:paraId="10DA1CD3" w14:textId="77777777" w:rsidTr="2F27B3F1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BD3A698" w:rsidR="00C81F97" w:rsidRPr="00810FB4" w:rsidRDefault="00C81F97" w:rsidP="00810FB4">
            <w:pPr>
              <w:pStyle w:val="ListParagraph"/>
              <w:numPr>
                <w:ilvl w:val="0"/>
                <w:numId w:val="33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>Закон о репродукт</w:t>
            </w:r>
            <w:r w:rsidR="00A7265F"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>ивном материјалу шумског дрвећа</w:t>
            </w:r>
            <w:r w:rsidR="00A7265F" w:rsidRPr="00810FB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A7265F"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</w:t>
            </w:r>
            <w:r w:rsidR="00A7265F" w:rsidRPr="00810FB4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="00A7265F"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135/2004-1, 8/2005-7 (исправка), 41/2009-174</w:t>
            </w:r>
            <w:r w:rsidR="00A7265F" w:rsidRPr="00810FB4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DB19B9" w14:paraId="724CF23D" w14:textId="77777777" w:rsidTr="2F27B3F1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DCC229E" w:rsidR="00D73918" w:rsidRPr="00494042" w:rsidRDefault="007A20A3" w:rsidP="00810FB4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49404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B19B9" w14:paraId="58812BCA" w14:textId="77777777" w:rsidTr="2F27B3F1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45282F0" w:rsidR="00804060" w:rsidRPr="00810FB4" w:rsidRDefault="00C865BC" w:rsidP="00A26E09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810FB4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A26E09">
              <w:rPr>
                <w:sz w:val="22"/>
                <w:szCs w:val="22"/>
                <w:lang w:val="sr-Cyrl-RS"/>
              </w:rPr>
              <w:t>године</w:t>
            </w:r>
            <w:r w:rsidRPr="00810FB4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2F27B3F1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2F27B3F1">
        <w:tc>
          <w:tcPr>
            <w:tcW w:w="9060" w:type="dxa"/>
            <w:gridSpan w:val="2"/>
          </w:tcPr>
          <w:p w14:paraId="6776ADAD" w14:textId="0DF2BC29" w:rsidR="008739E5" w:rsidRDefault="009C7FDA" w:rsidP="008739E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Анализом административног поступка</w:t>
            </w:r>
            <w:r w:rsidR="008739E5" w:rsidRPr="008739E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установљено да се уз захте</w:t>
            </w:r>
            <w:r w:rsidR="008476FA" w:rsidRPr="00A7265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в</w:t>
            </w:r>
            <w:r w:rsidR="008739E5" w:rsidRPr="008739E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потражује достављање диплома као доказ о подацима о ангажованом лицу, његовом степену образовања и образовном профилу. Достављање ових документа од стране подносиоца захтева прдставља непотребан индиректан трошак јер подаци који су релевантни за решавање овог захтева се могу сазнати из Eвиденција о осигураницима, осигураним лицима и обвезницима доприноса за обавезно социјално осигурање коју води Централни регистар за обавезно социјално осигурање и које је могуће прибавити по службеној дужности. </w:t>
            </w:r>
          </w:p>
          <w:p w14:paraId="51CF9859" w14:textId="77777777" w:rsidR="009C7FDA" w:rsidRDefault="009C7FDA" w:rsidP="009C7FDA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2EAB74AE" w14:textId="77777777" w:rsidR="009C7FDA" w:rsidRDefault="009C7FDA" w:rsidP="009C7FD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C9C7E8" w14:textId="6132DC4D" w:rsidR="009C7FDA" w:rsidRDefault="00810FB4" w:rsidP="009C7FD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Образац захтева је објављен </w:t>
            </w:r>
            <w:r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ом</w:t>
            </w:r>
            <w:r w:rsidRPr="00810F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регистрацији, односно одобравању објеката за производњу и промет хране за животиње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1BE7405" w14:textId="77777777" w:rsidR="009C7FDA" w:rsidRDefault="009C7FDA" w:rsidP="009C7FDA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67C1AA26" w14:textId="6893D55E" w:rsidR="009C7FDA" w:rsidRDefault="009C7FDA" w:rsidP="009C7FDA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9C7FDA">
              <w:rPr>
                <w:rFonts w:ascii="Times New Roman" w:hAnsi="Times New Roman"/>
                <w:sz w:val="22"/>
                <w:szCs w:val="22"/>
                <w:lang w:val="sr-Cyrl-CS"/>
              </w:rPr>
              <w:t>Поступак подразумева подношење захтева лично</w:t>
            </w:r>
            <w:r w:rsidRPr="009C7FD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9C7FDA">
              <w:rPr>
                <w:rFonts w:ascii="Times New Roman" w:hAnsi="Times New Roman"/>
                <w:sz w:val="22"/>
                <w:szCs w:val="22"/>
                <w:lang w:val="sr-Cyrl-CS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0A6D5902" w14:textId="77777777" w:rsidR="009C7FDA" w:rsidRDefault="009C7FDA" w:rsidP="009C7FDA">
            <w:pPr>
              <w:spacing w:after="160" w:line="259" w:lineRule="auto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E6E199" w14:textId="05B67729" w:rsidR="009C7FDA" w:rsidRDefault="009C7FDA" w:rsidP="009C7FD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A20A3">
              <w:rPr>
                <w:rFonts w:ascii="Times New Roman" w:hAnsi="Times New Roman"/>
                <w:sz w:val="22"/>
                <w:szCs w:val="22"/>
                <w:lang w:val="sr-Cyrl-RS"/>
              </w:rPr>
              <w:t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Достављање ових података од стране подносиоца захтева њима ствара непотребно административно оптерећење.</w:t>
            </w:r>
          </w:p>
          <w:p w14:paraId="44061E4F" w14:textId="56D9FE19" w:rsidR="009C7FDA" w:rsidRDefault="009C7FDA" w:rsidP="009C7FD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969233F" w14:textId="77777777" w:rsidR="009C7FDA" w:rsidRDefault="009C7FDA" w:rsidP="008739E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4BCB02C2" w14:textId="482FAB0B" w:rsidR="009E2792" w:rsidRPr="009E2792" w:rsidRDefault="009E2792" w:rsidP="008739E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</w:tc>
      </w:tr>
      <w:tr w:rsidR="00275E2A" w:rsidRPr="00DB19B9" w14:paraId="31663FC5" w14:textId="77777777" w:rsidTr="2F27B3F1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DB19B9" w14:paraId="66715B57" w14:textId="77777777" w:rsidTr="2F27B3F1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2F27B3F1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Borders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A3615B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A3615B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615B" w:rsidRPr="00DB19B9" w14:paraId="0292F9A4" w14:textId="77777777" w:rsidTr="00277426">
              <w:trPr>
                <w:trHeight w:val="489"/>
              </w:trPr>
              <w:tc>
                <w:tcPr>
                  <w:tcW w:w="3632" w:type="dxa"/>
                </w:tcPr>
                <w:p w14:paraId="77B43A2B" w14:textId="62815A57" w:rsidR="00A3615B" w:rsidRPr="00A3615B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</w:tcPr>
                <w:p w14:paraId="201FE4A3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C151E" w:rsidRPr="00DB19B9" w14:paraId="621FE591" w14:textId="77777777" w:rsidTr="00A3615B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773B07E7" w14:textId="77777777" w:rsidR="009C151E" w:rsidRPr="00AE71F4" w:rsidRDefault="009C151E" w:rsidP="003A0F7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71F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</w:tcPr>
                <w:p w14:paraId="2EAB2706" w14:textId="77777777" w:rsidR="009C151E" w:rsidRPr="00DB19B9" w:rsidRDefault="009C151E" w:rsidP="003A0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704DFA0" w14:textId="77777777" w:rsidR="009C151E" w:rsidRPr="00A22087" w:rsidRDefault="009C151E" w:rsidP="003A0F75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  <w:r>
                    <w:rPr>
                      <w:rFonts w:ascii="Times New Roman" w:eastAsia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1040426" w14:textId="77777777" w:rsidR="009C151E" w:rsidRPr="00DB19B9" w:rsidRDefault="009C151E" w:rsidP="003A0F7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615B" w:rsidRPr="00DB19B9" w14:paraId="5D79B978" w14:textId="77777777" w:rsidTr="00A3615B">
              <w:tblPrEx>
                <w:tblBorders>
                  <w:bottom w:val="single" w:sz="4" w:space="0" w:color="000000"/>
                </w:tblBorders>
              </w:tblPrEx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476A93F3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5EBAAD70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A9C8B90" w14:textId="77777777" w:rsidR="00A3615B" w:rsidRDefault="00A3615B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2A2E00B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615B" w:rsidRPr="00DB19B9" w14:paraId="77D1A164" w14:textId="77777777" w:rsidTr="00A3615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5FEDB6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3C2F2600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615B" w:rsidRPr="00DB19B9" w14:paraId="6F98E4AA" w14:textId="77777777" w:rsidTr="00A3615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AD5F71A" w14:textId="77777777" w:rsidR="00A3615B" w:rsidRPr="00AE71F4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E71F4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0D757963" w14:textId="5AFD0DC2" w:rsidR="00A3615B" w:rsidRPr="00494042" w:rsidRDefault="00A3615B" w:rsidP="00D5394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EBE95BE" w14:textId="7650273B" w:rsidR="00A3615B" w:rsidRPr="00494042" w:rsidRDefault="00A3615B" w:rsidP="00D5394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9404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0837E81" w14:textId="2A8804AF" w:rsidR="00A3615B" w:rsidRPr="00494042" w:rsidRDefault="00A3615B" w:rsidP="00D5394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3"/>
              <w:tblW w:w="0" w:type="auto"/>
              <w:tblBorders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</w:tblGrid>
            <w:tr w:rsidR="00AE71F4" w:rsidRPr="00DB19B9" w14:paraId="46B11150" w14:textId="77777777" w:rsidTr="00A3615B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1F45A3A" w14:textId="0AA3B39D" w:rsidR="00AE71F4" w:rsidRPr="00A3615B" w:rsidRDefault="00AE71F4" w:rsidP="00B430A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 w:rsidR="00A3615B">
                    <w:rPr>
                      <w:rFonts w:ascii="Times New Roman" w:eastAsia="Times New Roman" w:hAnsi="Times New Roman"/>
                      <w:i/>
                    </w:rPr>
                    <w:t xml:space="preserve"> </w:t>
                  </w:r>
                  <w:r w:rsidR="00A3615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и документације</w:t>
                  </w:r>
                </w:p>
              </w:tc>
              <w:tc>
                <w:tcPr>
                  <w:tcW w:w="1784" w:type="dxa"/>
                </w:tcPr>
                <w:p w14:paraId="06363BDD" w14:textId="77777777" w:rsidR="00AE71F4" w:rsidRDefault="00AE71F4" w:rsidP="00B430A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9A34A20" w14:textId="77777777" w:rsidR="00AE71F4" w:rsidRDefault="00AE71F4" w:rsidP="00B430A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385F9A59" w14:textId="77777777" w:rsidR="00AE71F4" w:rsidRDefault="00AE71F4" w:rsidP="00B430A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</w:tblGrid>
            <w:tr w:rsidR="00A3615B" w:rsidRPr="00DB19B9" w14:paraId="548009F6" w14:textId="77777777" w:rsidTr="00A3615B">
              <w:trPr>
                <w:trHeight w:val="489"/>
              </w:trPr>
              <w:tc>
                <w:tcPr>
                  <w:tcW w:w="3632" w:type="dxa"/>
                </w:tcPr>
                <w:p w14:paraId="56D003E5" w14:textId="77777777" w:rsidR="00A3615B" w:rsidRPr="00A3615B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3615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05325B36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7E1D31F" w14:textId="77777777" w:rsidR="00A3615B" w:rsidRPr="00DB19B9" w:rsidRDefault="00A3615B" w:rsidP="004773C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D6D486B" w14:textId="77777777" w:rsidR="00A3615B" w:rsidRPr="00DB19B9" w:rsidRDefault="00A3615B" w:rsidP="004773C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565D6259" w14:textId="77777777" w:rsidR="009C151E" w:rsidRDefault="009C151E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50688FB1" w:rsidR="00AE71F4" w:rsidRPr="00DB19B9" w:rsidRDefault="00AE71F4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2E23A0" w14:textId="77777777" w:rsidR="00A3615B" w:rsidRDefault="00A3615B" w:rsidP="00A3615B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</w:p>
          <w:p w14:paraId="40B4F9C0" w14:textId="3F02BFFC" w:rsidR="009C151E" w:rsidRDefault="009C151E" w:rsidP="00A3615B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3.1. </w:t>
            </w:r>
            <w:r w:rsidRPr="009C151E">
              <w:rPr>
                <w:b/>
                <w:sz w:val="22"/>
                <w:lang w:val="sr-Cyrl-RS"/>
              </w:rPr>
              <w:t xml:space="preserve"> Елиминација непотребне документације</w:t>
            </w:r>
          </w:p>
          <w:p w14:paraId="678BEEC7" w14:textId="77777777" w:rsidR="00A26E09" w:rsidRPr="00C865BC" w:rsidRDefault="00A26E09" w:rsidP="00A3615B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lang w:val="sr-Cyrl-RS"/>
              </w:rPr>
            </w:pPr>
          </w:p>
          <w:p w14:paraId="7A7A609B" w14:textId="6E922A23" w:rsidR="008739E5" w:rsidRPr="00895926" w:rsidRDefault="008739E5" w:rsidP="00C865BC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59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ел</w:t>
            </w:r>
            <w:r w:rsidR="008959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89592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минација следећих докумената:</w:t>
            </w:r>
          </w:p>
          <w:p w14:paraId="55DC98F1" w14:textId="045B4A62" w:rsidR="008739E5" w:rsidRPr="00AE71F4" w:rsidRDefault="008739E5" w:rsidP="00C865BC">
            <w:pPr>
              <w:pStyle w:val="ListParagraph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E71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Дипломе</w:t>
            </w:r>
            <w:r w:rsidR="00895926" w:rsidRPr="00AE71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завршеном Шумарском факултету – већ се тражи уверење о положеном стручном испиту по програму за високо образовање где је предуслов за полагање испита диплома факултета.</w:t>
            </w:r>
          </w:p>
          <w:p w14:paraId="557878C7" w14:textId="77777777" w:rsidR="00C865BC" w:rsidRDefault="00C865BC" w:rsidP="00C865BC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2CF7FF1A" w14:textId="77777777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03B9D26F" w14:textId="7BE2336F" w:rsidR="00BD1B93" w:rsidRDefault="00BD1B93" w:rsidP="00C865BC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B23303" w14:textId="77777777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A3615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445BE802" w14:textId="77777777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14E0808D" w14:textId="77777777" w:rsidR="00A3615B" w:rsidRDefault="00A3615B" w:rsidP="00A3615B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03B06350" w14:textId="77777777" w:rsidR="00A3615B" w:rsidRPr="00B55472" w:rsidRDefault="00A3615B" w:rsidP="00A3615B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20DEAF7C" w14:textId="702EC58E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4D5DCE39" w14:textId="77777777" w:rsidR="00D77374" w:rsidRDefault="00D77374" w:rsidP="00A3615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2FDC287B" w14:textId="7AEEC4A3" w:rsidR="00A3615B" w:rsidRDefault="009E2792" w:rsidP="009E2792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9E279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6C763006" w14:textId="77777777" w:rsidR="009E2792" w:rsidRPr="009E2792" w:rsidRDefault="009E2792" w:rsidP="009E2792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71754FAC" w14:textId="126329B1" w:rsidR="00A3615B" w:rsidRDefault="008739E5" w:rsidP="00A3615B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  <w:r w:rsidRPr="008739E5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3.3. </w:t>
            </w:r>
            <w:r w:rsidR="00A3615B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A3615B" w:rsidRPr="00BD06A8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="00A3615B" w:rsidRPr="00BD06A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01432393" w14:textId="77777777" w:rsidR="00A26E09" w:rsidRPr="00BD06A8" w:rsidRDefault="00A26E09" w:rsidP="00A3615B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</w:p>
          <w:p w14:paraId="3C7E5B1E" w14:textId="77777777" w:rsidR="00A3615B" w:rsidRPr="00ED0448" w:rsidRDefault="00A3615B" w:rsidP="00A3615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9FE7EF8" w14:textId="77777777" w:rsidR="00D53941" w:rsidRPr="00494042" w:rsidRDefault="00D53941" w:rsidP="00D53941">
            <w:pPr>
              <w:numPr>
                <w:ilvl w:val="1"/>
                <w:numId w:val="31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94042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359A0A5" w14:textId="77777777" w:rsidR="00D53941" w:rsidRPr="00494042" w:rsidRDefault="00D53941" w:rsidP="00D53941">
            <w:pPr>
              <w:numPr>
                <w:ilvl w:val="1"/>
                <w:numId w:val="31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94042">
              <w:rPr>
                <w:rFonts w:ascii="Times New Roman" w:eastAsia="Times New Roman" w:hAnsi="Times New Roman"/>
                <w:sz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3074CEC2" w14:textId="77777777" w:rsidR="00D53941" w:rsidRPr="00494042" w:rsidRDefault="00D53941" w:rsidP="00D53941">
            <w:pPr>
              <w:numPr>
                <w:ilvl w:val="1"/>
                <w:numId w:val="31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94042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7808909" w14:textId="77777777" w:rsidR="00A3615B" w:rsidRPr="00ED0448" w:rsidRDefault="00A3615B" w:rsidP="00A3615B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4916127C" w14:textId="321F8647" w:rsidR="00A3615B" w:rsidRPr="00A3615B" w:rsidRDefault="00A3615B" w:rsidP="00400626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A3615B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Места за унос специфичних информација за конкретан поступак (Врста делатности за коју је подносилац захтева регистрован у АПР-у; Подаци о локацији, површини и врсти земљишта; Подаци о власнику замљишта; Подаци о локацији објекта за производњу), укључујући и информације, потребне за прибављање података по службеној дужности </w:t>
            </w:r>
          </w:p>
          <w:p w14:paraId="6ECFEE52" w14:textId="77777777" w:rsidR="00A3615B" w:rsidRPr="00ED0448" w:rsidRDefault="00A3615B" w:rsidP="00A3615B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39F6A05F" w14:textId="77777777" w:rsidR="00A3615B" w:rsidRPr="00ED0448" w:rsidRDefault="00A3615B" w:rsidP="00A3615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45733B99" w14:textId="77777777" w:rsidR="00A3615B" w:rsidRPr="00ED0448" w:rsidRDefault="00A3615B" w:rsidP="00A3615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0C22350" w14:textId="77777777" w:rsidR="00A3615B" w:rsidRPr="00ED0448" w:rsidRDefault="00A3615B" w:rsidP="00A3615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62D19FE2" w14:textId="77777777" w:rsidR="00A3615B" w:rsidRPr="00ED0448" w:rsidRDefault="00A3615B" w:rsidP="00A3615B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5406071A" w14:textId="77777777" w:rsidR="00A3615B" w:rsidRPr="00ED0448" w:rsidRDefault="00A3615B" w:rsidP="00A3615B">
            <w:pPr>
              <w:numPr>
                <w:ilvl w:val="1"/>
                <w:numId w:val="31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64B5E5E" w14:textId="77777777" w:rsidR="00A3615B" w:rsidRPr="00ED0448" w:rsidRDefault="00A3615B" w:rsidP="00A3615B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1.ДА</w:t>
            </w:r>
          </w:p>
          <w:p w14:paraId="14700189" w14:textId="77777777" w:rsidR="00A3615B" w:rsidRPr="00ED0448" w:rsidRDefault="00A3615B" w:rsidP="00A3615B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27F79FE4" w14:textId="77777777" w:rsidR="00A3615B" w:rsidRPr="00ED0448" w:rsidRDefault="00A3615B" w:rsidP="00A3615B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1BDAD5E" w14:textId="77777777" w:rsidR="00A3615B" w:rsidRPr="00ED0448" w:rsidRDefault="00A3615B" w:rsidP="00A3615B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4B0CA30" w14:textId="77777777" w:rsidR="00A3615B" w:rsidRPr="00ED0448" w:rsidRDefault="00A3615B" w:rsidP="00A3615B">
            <w:pPr>
              <w:numPr>
                <w:ilvl w:val="1"/>
                <w:numId w:val="31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D496183" w14:textId="09438414" w:rsidR="00A3615B" w:rsidRPr="002B053F" w:rsidRDefault="00A3615B" w:rsidP="00A3615B">
            <w:pPr>
              <w:numPr>
                <w:ilvl w:val="1"/>
                <w:numId w:val="31"/>
              </w:numPr>
              <w:ind w:left="885"/>
              <w:contextualSpacing/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7E2EAF21" w14:textId="77777777" w:rsidR="002B053F" w:rsidRPr="002B053F" w:rsidRDefault="002B053F" w:rsidP="002B053F">
            <w:pPr>
              <w:contextualSpacing/>
            </w:pPr>
          </w:p>
          <w:p w14:paraId="075DC3C4" w14:textId="77777777" w:rsidR="002B053F" w:rsidRPr="009C5512" w:rsidRDefault="002B053F" w:rsidP="002B053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32BEEED" w14:textId="77777777" w:rsidR="002B053F" w:rsidRPr="009C5512" w:rsidRDefault="002B053F" w:rsidP="002B053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79C0D5" w14:textId="77777777" w:rsidR="002B053F" w:rsidRPr="009C5512" w:rsidRDefault="002B053F" w:rsidP="002B053F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4E770D6" w14:textId="77777777" w:rsidR="002B053F" w:rsidRPr="009C5512" w:rsidRDefault="002B053F" w:rsidP="002B053F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DE0AA31" w14:textId="77777777" w:rsidR="002B053F" w:rsidRPr="009C5512" w:rsidRDefault="002B053F" w:rsidP="002B053F">
            <w:pPr>
              <w:numPr>
                <w:ilvl w:val="0"/>
                <w:numId w:val="32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EEDFB95" w14:textId="77777777" w:rsidR="002B053F" w:rsidRPr="009C5512" w:rsidRDefault="002B053F" w:rsidP="002B053F">
            <w:pPr>
              <w:numPr>
                <w:ilvl w:val="0"/>
                <w:numId w:val="32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AD95E8B" w14:textId="77777777" w:rsidR="002B053F" w:rsidRPr="009C5512" w:rsidRDefault="002B053F" w:rsidP="002B053F">
            <w:pPr>
              <w:numPr>
                <w:ilvl w:val="0"/>
                <w:numId w:val="32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00CC50E" w14:textId="77777777" w:rsidR="002B053F" w:rsidRPr="009C5512" w:rsidRDefault="002B053F" w:rsidP="002B053F">
            <w:pPr>
              <w:numPr>
                <w:ilvl w:val="0"/>
                <w:numId w:val="32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4F0534C" w14:textId="77777777" w:rsidR="002B053F" w:rsidRPr="009C5512" w:rsidRDefault="002B053F" w:rsidP="002B053F">
            <w:pPr>
              <w:numPr>
                <w:ilvl w:val="0"/>
                <w:numId w:val="32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2B860B4" w14:textId="77777777" w:rsidR="002B053F" w:rsidRPr="00450237" w:rsidRDefault="002B053F" w:rsidP="002B053F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662A7EB" w14:textId="77777777" w:rsidR="002B053F" w:rsidRDefault="002B053F" w:rsidP="002B053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Неопходно је да образац буде јавно доступан путем сајта Управе за шуме, како би се што пре што већем броју корисника шума омогућило да лако и једноставно редовно шаљу годишње извештаје.</w:t>
            </w:r>
          </w:p>
          <w:p w14:paraId="35C17D9F" w14:textId="77777777" w:rsidR="002B053F" w:rsidRPr="00ED0448" w:rsidRDefault="002B053F" w:rsidP="002B053F">
            <w:pPr>
              <w:ind w:left="525"/>
              <w:contextualSpacing/>
            </w:pPr>
          </w:p>
          <w:p w14:paraId="03F2D3CA" w14:textId="1C6135BF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11782D42" w14:textId="11643916" w:rsidR="00A3615B" w:rsidRDefault="00A3615B" w:rsidP="00C865BC">
            <w:pPr>
              <w:contextualSpacing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D07C32D" w14:textId="123ABACA" w:rsidR="00BD1B93" w:rsidRDefault="00BD1B93" w:rsidP="00C865BC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A3615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A3615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721C9CD7" w14:textId="77777777" w:rsidR="00A3615B" w:rsidRPr="0039216B" w:rsidRDefault="00A3615B" w:rsidP="00C865BC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E940B21" w14:textId="74C5A640" w:rsidR="00A3615B" w:rsidRDefault="00BD1B93" w:rsidP="00A3615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9216B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A3615B">
              <w:rPr>
                <w:sz w:val="22"/>
                <w:szCs w:val="22"/>
                <w:lang w:val="sr-Cyrl-RS"/>
              </w:rPr>
              <w:t xml:space="preserve"> Предлаже се примена ове препоруке чим се за то остваре технички услови.</w:t>
            </w:r>
          </w:p>
          <w:p w14:paraId="207BD10C" w14:textId="77777777" w:rsidR="00A3615B" w:rsidRDefault="00A3615B" w:rsidP="00A3615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490F8DF4" w14:textId="77777777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3E9C0E74" w14:textId="28479EB8" w:rsidR="009C0E87" w:rsidRPr="007A20A3" w:rsidRDefault="009C0E87" w:rsidP="00C865BC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32331639" w14:textId="77777777" w:rsidR="00A3615B" w:rsidRDefault="00A3615B" w:rsidP="00A3615B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lang w:val="sr-Cyrl-RS" w:eastAsia="en-US"/>
              </w:rPr>
              <w:t xml:space="preserve">3.5. </w:t>
            </w:r>
            <w:r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535941B1" w14:textId="5D6CCE4C" w:rsidR="00A3615B" w:rsidRPr="008739E5" w:rsidRDefault="00A3615B" w:rsidP="00A3615B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br/>
            </w:r>
            <w:r w:rsidRPr="00343B8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239F978" w14:textId="77777777" w:rsidR="00A3615B" w:rsidRPr="009C151E" w:rsidRDefault="00A3615B" w:rsidP="00A3615B">
            <w:pPr>
              <w:pStyle w:val="odluka-zakon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A20A3">
              <w:rPr>
                <w:b/>
                <w:sz w:val="22"/>
                <w:szCs w:val="22"/>
                <w:lang w:val="sr-Cyrl-RS"/>
              </w:rPr>
              <w:t>Извод из Агенције за привредне регистре</w:t>
            </w:r>
            <w:r w:rsidRPr="009C151E">
              <w:rPr>
                <w:sz w:val="22"/>
                <w:szCs w:val="22"/>
                <w:lang w:val="en-US"/>
              </w:rPr>
              <w:t xml:space="preserve"> - </w:t>
            </w:r>
            <w:r w:rsidRPr="009C151E">
              <w:rPr>
                <w:sz w:val="22"/>
                <w:szCs w:val="22"/>
                <w:lang w:val="sr-Cyrl-RS"/>
              </w:rPr>
              <w:t>службеник који обрађује захтев треба након пријема захтева и увида о подацима о подносиоцу захтева који су наведени у обрасцу захтева да са сајта Агенције за привредне регистре добије све потребне податке и провери податке који су наведени у обрасцу</w:t>
            </w:r>
          </w:p>
          <w:p w14:paraId="25244617" w14:textId="77777777" w:rsidR="00A3615B" w:rsidRPr="009C151E" w:rsidRDefault="00A3615B" w:rsidP="00A3615B">
            <w:pPr>
              <w:pStyle w:val="odluka-zakon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A20A3">
              <w:rPr>
                <w:b/>
                <w:sz w:val="22"/>
                <w:szCs w:val="22"/>
                <w:lang w:val="sr-Cyrl-RS"/>
              </w:rPr>
              <w:t>Извод из листа непокретности</w:t>
            </w:r>
            <w:r w:rsidRPr="009C151E">
              <w:rPr>
                <w:sz w:val="22"/>
                <w:szCs w:val="22"/>
                <w:lang w:val="en-US"/>
              </w:rPr>
              <w:t xml:space="preserve"> - службеник који обрађује захтев треба након пријема захтева и увида о подацима о подносиоцу захтева који су наведени у обрасцу захтева да </w:t>
            </w:r>
            <w:r w:rsidRPr="009C151E">
              <w:rPr>
                <w:sz w:val="22"/>
                <w:szCs w:val="22"/>
                <w:lang w:val="sr-Cyrl-RS"/>
              </w:rPr>
              <w:t>од Републичког геодетског завода прибави све потребне податке.</w:t>
            </w:r>
          </w:p>
          <w:p w14:paraId="7BA19D7E" w14:textId="51553788" w:rsidR="00A3615B" w:rsidRPr="00A3615B" w:rsidRDefault="00A3615B" w:rsidP="00A3615B">
            <w:pPr>
              <w:pStyle w:val="ListParagraph"/>
              <w:numPr>
                <w:ilvl w:val="0"/>
                <w:numId w:val="29"/>
              </w:numPr>
              <w:shd w:val="clear" w:color="auto" w:fill="FFFFFF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7A20A3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Доказ о заснованом радном односу код произвођача шумског репродуктивног материјала</w:t>
            </w:r>
            <w:r w:rsidRPr="009C151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9C151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- службеник који обрађује захтев треба након пријема захтева и увида о подацима о подносиоцу захтева који су наведени у обрасцу захтева да од Централног регистра за обавезно социјално осигурање прибавити по службеној дужности недостајуће податке. </w:t>
            </w:r>
          </w:p>
          <w:p w14:paraId="4D4039C4" w14:textId="77777777" w:rsidR="00A3615B" w:rsidRPr="009C151E" w:rsidRDefault="00A3615B" w:rsidP="00A3615B">
            <w:pPr>
              <w:pStyle w:val="ListParagraph"/>
              <w:shd w:val="clear" w:color="auto" w:fill="FFFFFF"/>
              <w:rPr>
                <w:rFonts w:ascii="Times New Roman" w:hAnsi="Times New Roman"/>
                <w:b/>
                <w:sz w:val="22"/>
                <w:lang w:val="sr-Cyrl-RS"/>
              </w:rPr>
            </w:pPr>
          </w:p>
          <w:p w14:paraId="43E1E2A0" w14:textId="77777777" w:rsidR="00A3615B" w:rsidRDefault="00A3615B" w:rsidP="00A3615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прописа.</w:t>
            </w:r>
          </w:p>
          <w:p w14:paraId="3EAB4AF8" w14:textId="5D47D539" w:rsidR="00C865BC" w:rsidRPr="00DB19B9" w:rsidRDefault="00C865BC" w:rsidP="00C865BC">
            <w:pPr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448778DF" w:rsidR="00CA1CE9" w:rsidRPr="00DB19B9" w:rsidRDefault="00BD1B93" w:rsidP="00BD1B93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lang w:val="sr-Cyrl-RS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4.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229EA40" w:rsidR="00CA1CE9" w:rsidRPr="002B053F" w:rsidRDefault="002B053F" w:rsidP="002B053F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2B053F">
              <w:rPr>
                <w:rFonts w:ascii="Times New Roman" w:hAnsi="Times New Roman"/>
                <w:sz w:val="22"/>
                <w:shd w:val="clear" w:color="auto" w:fill="FFFFFF"/>
              </w:rPr>
              <w:t>Усвојене препоруке не подразумевају измене прописа.</w:t>
            </w:r>
          </w:p>
        </w:tc>
      </w:tr>
      <w:tr w:rsidR="00CA1CE9" w:rsidRPr="00DB19B9" w14:paraId="0489C5FC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2590FCDA" w:rsidR="00CA1CE9" w:rsidRPr="002B053F" w:rsidRDefault="00BD1B93" w:rsidP="00BD1B93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 w:rsidRPr="002B053F">
              <w:rPr>
                <w:b/>
                <w:sz w:val="22"/>
                <w:szCs w:val="22"/>
              </w:rPr>
              <w:t xml:space="preserve">5. </w:t>
            </w:r>
            <w:r w:rsidR="00CA1CE9" w:rsidRPr="002B053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B3002DD" w:rsidR="00CA1CE9" w:rsidRPr="002B053F" w:rsidRDefault="002B053F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 w:rsidRPr="002B053F">
              <w:rPr>
                <w:rFonts w:ascii="Times New Roman" w:hAnsi="Times New Roman"/>
                <w:sz w:val="22"/>
                <w:shd w:val="clear" w:color="auto" w:fill="FFFFFF"/>
              </w:rPr>
              <w:t>Усвојене препоруке не подразумевају измене прописа.</w:t>
            </w:r>
          </w:p>
        </w:tc>
      </w:tr>
      <w:tr w:rsidR="00CA1CE9" w:rsidRPr="00DB19B9" w14:paraId="429F5407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62257B15" w:rsidR="00CA1CE9" w:rsidRPr="00DB19B9" w:rsidRDefault="00BD1B93" w:rsidP="00BD1B93">
            <w:pPr>
              <w:pStyle w:val="NormalWeb"/>
              <w:spacing w:before="120" w:beforeAutospacing="0" w:after="120" w:afterAutospacing="0"/>
              <w:ind w:left="36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6. </w:t>
            </w:r>
            <w:r w:rsidR="00CA1CE9"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2F27B3F1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3E1B84" w14:textId="77777777" w:rsidR="00AE71F4" w:rsidRDefault="00AE71F4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4C9A160" w14:textId="77777777" w:rsidR="00A26E09" w:rsidRPr="00A26E09" w:rsidRDefault="00A26E09" w:rsidP="00A26E09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A26E0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433.678,06 РСД. Усвајање и примена препорука ће донети привредним субјектима годишње директне уштеде од 132.853,39 РСД или 1.092,35 ЕУР. Ове уштеде износе 30,63% укупних директних трошкова привредних субјеката у поступку. </w:t>
            </w:r>
          </w:p>
          <w:p w14:paraId="5640C481" w14:textId="77777777" w:rsidR="00A26E09" w:rsidRPr="00A26E09" w:rsidRDefault="00A26E09" w:rsidP="00A26E09">
            <w:pPr>
              <w:shd w:val="clear" w:color="auto" w:fill="FFFFFF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7AC266E9" w14:textId="6DB46423" w:rsidR="00A26E09" w:rsidRDefault="00A26E09" w:rsidP="00A26E09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575E330F" w14:textId="17E5ABE7" w:rsidR="00A26E09" w:rsidRDefault="00A26E09" w:rsidP="00A26E09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сигурности привредних субјеката, поједностављењу поступка за привредне субјекте, </w:t>
            </w:r>
            <w:r w:rsidR="000E5CE7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смањењу документације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</w:t>
            </w:r>
            <w:r w:rsidR="000E5CE7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а побољшање пословног амбијента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</w:t>
            </w:r>
          </w:p>
          <w:p w14:paraId="53D9B831" w14:textId="77777777" w:rsidR="00A26E09" w:rsidRDefault="00A26E09" w:rsidP="00A26E09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C728941" w14:textId="77777777" w:rsidR="00A26E09" w:rsidRDefault="00A26E09" w:rsidP="00A26E0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F276727" w14:textId="77777777" w:rsidR="00AE71F4" w:rsidRDefault="00AE71F4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9A58D37" w:rsidR="00AE71F4" w:rsidRPr="00DB19B9" w:rsidRDefault="00AE71F4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06B15" w14:textId="77777777" w:rsidR="002B2DBF" w:rsidRDefault="002B2DBF" w:rsidP="002A202F">
      <w:r>
        <w:separator/>
      </w:r>
    </w:p>
  </w:endnote>
  <w:endnote w:type="continuationSeparator" w:id="0">
    <w:p w14:paraId="033EE479" w14:textId="77777777" w:rsidR="002B2DBF" w:rsidRDefault="002B2DB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AE42A8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E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7FDA8" w14:textId="77777777" w:rsidR="002B2DBF" w:rsidRDefault="002B2DBF" w:rsidP="002A202F">
      <w:r>
        <w:separator/>
      </w:r>
    </w:p>
  </w:footnote>
  <w:footnote w:type="continuationSeparator" w:id="0">
    <w:p w14:paraId="2B77204C" w14:textId="77777777" w:rsidR="002B2DBF" w:rsidRDefault="002B2DB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4399F"/>
    <w:multiLevelType w:val="hybridMultilevel"/>
    <w:tmpl w:val="AF8C3CE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2FCB3B76"/>
    <w:multiLevelType w:val="hybridMultilevel"/>
    <w:tmpl w:val="A1BAD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06E5E"/>
    <w:multiLevelType w:val="hybridMultilevel"/>
    <w:tmpl w:val="50DC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8EC5660"/>
    <w:multiLevelType w:val="hybridMultilevel"/>
    <w:tmpl w:val="AFC24866"/>
    <w:lvl w:ilvl="0" w:tplc="F2589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851D1"/>
    <w:multiLevelType w:val="hybridMultilevel"/>
    <w:tmpl w:val="FA8EB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hybridMultilevel"/>
    <w:tmpl w:val="50DC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94ED8"/>
    <w:multiLevelType w:val="hybridMultilevel"/>
    <w:tmpl w:val="DA20B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6"/>
  </w:num>
  <w:num w:numId="5">
    <w:abstractNumId w:val="3"/>
  </w:num>
  <w:num w:numId="6">
    <w:abstractNumId w:val="16"/>
  </w:num>
  <w:num w:numId="7">
    <w:abstractNumId w:val="30"/>
  </w:num>
  <w:num w:numId="8">
    <w:abstractNumId w:val="13"/>
  </w:num>
  <w:num w:numId="9">
    <w:abstractNumId w:val="28"/>
  </w:num>
  <w:num w:numId="10">
    <w:abstractNumId w:val="26"/>
  </w:num>
  <w:num w:numId="11">
    <w:abstractNumId w:val="25"/>
  </w:num>
  <w:num w:numId="12">
    <w:abstractNumId w:val="23"/>
  </w:num>
  <w:num w:numId="13">
    <w:abstractNumId w:val="20"/>
  </w:num>
  <w:num w:numId="14">
    <w:abstractNumId w:val="27"/>
  </w:num>
  <w:num w:numId="15">
    <w:abstractNumId w:val="22"/>
  </w:num>
  <w:num w:numId="16">
    <w:abstractNumId w:val="14"/>
  </w:num>
  <w:num w:numId="17">
    <w:abstractNumId w:val="11"/>
  </w:num>
  <w:num w:numId="18">
    <w:abstractNumId w:val="29"/>
  </w:num>
  <w:num w:numId="19">
    <w:abstractNumId w:val="7"/>
  </w:num>
  <w:num w:numId="20">
    <w:abstractNumId w:val="31"/>
  </w:num>
  <w:num w:numId="21">
    <w:abstractNumId w:val="8"/>
  </w:num>
  <w:num w:numId="22">
    <w:abstractNumId w:val="4"/>
  </w:num>
  <w:num w:numId="23">
    <w:abstractNumId w:val="21"/>
  </w:num>
  <w:num w:numId="24">
    <w:abstractNumId w:val="0"/>
  </w:num>
  <w:num w:numId="25">
    <w:abstractNumId w:val="1"/>
  </w:num>
  <w:num w:numId="26">
    <w:abstractNumId w:val="9"/>
  </w:num>
  <w:num w:numId="27">
    <w:abstractNumId w:val="18"/>
  </w:num>
  <w:num w:numId="28">
    <w:abstractNumId w:val="24"/>
  </w:num>
  <w:num w:numId="29">
    <w:abstractNumId w:val="15"/>
  </w:num>
  <w:num w:numId="30">
    <w:abstractNumId w:val="12"/>
  </w:num>
  <w:num w:numId="31">
    <w:abstractNumId w:val="19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33A4"/>
    <w:rsid w:val="0001445B"/>
    <w:rsid w:val="00023697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19FC"/>
    <w:rsid w:val="00092B84"/>
    <w:rsid w:val="0009542A"/>
    <w:rsid w:val="000A53F3"/>
    <w:rsid w:val="000A5CDC"/>
    <w:rsid w:val="000B54D7"/>
    <w:rsid w:val="000C63AD"/>
    <w:rsid w:val="000C65B9"/>
    <w:rsid w:val="000D5029"/>
    <w:rsid w:val="000E2036"/>
    <w:rsid w:val="000E5CE7"/>
    <w:rsid w:val="000F106C"/>
    <w:rsid w:val="000F5E72"/>
    <w:rsid w:val="00101CBE"/>
    <w:rsid w:val="00103444"/>
    <w:rsid w:val="001156BA"/>
    <w:rsid w:val="001358F5"/>
    <w:rsid w:val="001507F5"/>
    <w:rsid w:val="0015182D"/>
    <w:rsid w:val="00161847"/>
    <w:rsid w:val="00170CA7"/>
    <w:rsid w:val="001711C5"/>
    <w:rsid w:val="00184878"/>
    <w:rsid w:val="001A023F"/>
    <w:rsid w:val="001A3FAC"/>
    <w:rsid w:val="001A6472"/>
    <w:rsid w:val="001B3E23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61404"/>
    <w:rsid w:val="002673B0"/>
    <w:rsid w:val="00275E2A"/>
    <w:rsid w:val="00296938"/>
    <w:rsid w:val="002A202F"/>
    <w:rsid w:val="002B053F"/>
    <w:rsid w:val="002B19B4"/>
    <w:rsid w:val="002B2DBF"/>
    <w:rsid w:val="002F1BEC"/>
    <w:rsid w:val="002F4757"/>
    <w:rsid w:val="00315B75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61C3"/>
    <w:rsid w:val="00457882"/>
    <w:rsid w:val="00463CC7"/>
    <w:rsid w:val="004809C4"/>
    <w:rsid w:val="0048433C"/>
    <w:rsid w:val="004847B1"/>
    <w:rsid w:val="00485177"/>
    <w:rsid w:val="00494042"/>
    <w:rsid w:val="0049545B"/>
    <w:rsid w:val="004D3BD0"/>
    <w:rsid w:val="004D45B1"/>
    <w:rsid w:val="004D68A7"/>
    <w:rsid w:val="004E29D1"/>
    <w:rsid w:val="00500566"/>
    <w:rsid w:val="005073A3"/>
    <w:rsid w:val="0051348B"/>
    <w:rsid w:val="00523608"/>
    <w:rsid w:val="00525C0A"/>
    <w:rsid w:val="005313AE"/>
    <w:rsid w:val="00535608"/>
    <w:rsid w:val="00556688"/>
    <w:rsid w:val="0056162B"/>
    <w:rsid w:val="0056707B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9B"/>
    <w:rsid w:val="00627AF7"/>
    <w:rsid w:val="00632540"/>
    <w:rsid w:val="00633F73"/>
    <w:rsid w:val="00645199"/>
    <w:rsid w:val="00645850"/>
    <w:rsid w:val="00661ECF"/>
    <w:rsid w:val="00671E39"/>
    <w:rsid w:val="00692071"/>
    <w:rsid w:val="00694B28"/>
    <w:rsid w:val="006A52FB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A20A3"/>
    <w:rsid w:val="007B1740"/>
    <w:rsid w:val="007C396F"/>
    <w:rsid w:val="007C61B5"/>
    <w:rsid w:val="007D3889"/>
    <w:rsid w:val="007D39E4"/>
    <w:rsid w:val="007D43A7"/>
    <w:rsid w:val="007E1695"/>
    <w:rsid w:val="007F204C"/>
    <w:rsid w:val="00804060"/>
    <w:rsid w:val="00810FB4"/>
    <w:rsid w:val="008166C9"/>
    <w:rsid w:val="00824E43"/>
    <w:rsid w:val="00833D8C"/>
    <w:rsid w:val="00834C9A"/>
    <w:rsid w:val="0084708C"/>
    <w:rsid w:val="008476FA"/>
    <w:rsid w:val="00850AD5"/>
    <w:rsid w:val="00852739"/>
    <w:rsid w:val="00853A93"/>
    <w:rsid w:val="008629CC"/>
    <w:rsid w:val="00865EBB"/>
    <w:rsid w:val="008739E5"/>
    <w:rsid w:val="00886C36"/>
    <w:rsid w:val="00895926"/>
    <w:rsid w:val="008A6AC8"/>
    <w:rsid w:val="008B047F"/>
    <w:rsid w:val="008C5591"/>
    <w:rsid w:val="008D04A6"/>
    <w:rsid w:val="008D4C1A"/>
    <w:rsid w:val="008F0867"/>
    <w:rsid w:val="008F172F"/>
    <w:rsid w:val="008F2044"/>
    <w:rsid w:val="008F2BE1"/>
    <w:rsid w:val="008F3B97"/>
    <w:rsid w:val="008F4DD1"/>
    <w:rsid w:val="009056DB"/>
    <w:rsid w:val="00930158"/>
    <w:rsid w:val="009470D3"/>
    <w:rsid w:val="00947592"/>
    <w:rsid w:val="00950280"/>
    <w:rsid w:val="00977EB4"/>
    <w:rsid w:val="00991A18"/>
    <w:rsid w:val="00994A16"/>
    <w:rsid w:val="009A30D3"/>
    <w:rsid w:val="009C0E87"/>
    <w:rsid w:val="009C151E"/>
    <w:rsid w:val="009C7FDA"/>
    <w:rsid w:val="009D03A7"/>
    <w:rsid w:val="009E0479"/>
    <w:rsid w:val="009E2792"/>
    <w:rsid w:val="00A0102E"/>
    <w:rsid w:val="00A12960"/>
    <w:rsid w:val="00A1570D"/>
    <w:rsid w:val="00A22386"/>
    <w:rsid w:val="00A26E09"/>
    <w:rsid w:val="00A3615B"/>
    <w:rsid w:val="00A4609E"/>
    <w:rsid w:val="00A56B75"/>
    <w:rsid w:val="00A71C04"/>
    <w:rsid w:val="00A7265F"/>
    <w:rsid w:val="00AA0017"/>
    <w:rsid w:val="00AA4BC5"/>
    <w:rsid w:val="00AB09B3"/>
    <w:rsid w:val="00AC02D1"/>
    <w:rsid w:val="00AE71F4"/>
    <w:rsid w:val="00B06019"/>
    <w:rsid w:val="00B07409"/>
    <w:rsid w:val="00B1006E"/>
    <w:rsid w:val="00B178FB"/>
    <w:rsid w:val="00B5252A"/>
    <w:rsid w:val="00B56079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1D21"/>
    <w:rsid w:val="00BB2C8C"/>
    <w:rsid w:val="00BC0F27"/>
    <w:rsid w:val="00BC6826"/>
    <w:rsid w:val="00BD1B93"/>
    <w:rsid w:val="00C0295C"/>
    <w:rsid w:val="00C03C06"/>
    <w:rsid w:val="00C121EC"/>
    <w:rsid w:val="00C12C65"/>
    <w:rsid w:val="00C445E2"/>
    <w:rsid w:val="00C50606"/>
    <w:rsid w:val="00C70F1B"/>
    <w:rsid w:val="00C7129D"/>
    <w:rsid w:val="00C73D6C"/>
    <w:rsid w:val="00C748D1"/>
    <w:rsid w:val="00C81F97"/>
    <w:rsid w:val="00C865BC"/>
    <w:rsid w:val="00C91014"/>
    <w:rsid w:val="00CA1CE9"/>
    <w:rsid w:val="00CB11C0"/>
    <w:rsid w:val="00CB1A4E"/>
    <w:rsid w:val="00CC29F6"/>
    <w:rsid w:val="00CD2287"/>
    <w:rsid w:val="00CD5BBB"/>
    <w:rsid w:val="00CE0685"/>
    <w:rsid w:val="00CE371F"/>
    <w:rsid w:val="00CF1CE0"/>
    <w:rsid w:val="00D250F5"/>
    <w:rsid w:val="00D37EA5"/>
    <w:rsid w:val="00D43C2F"/>
    <w:rsid w:val="00D53941"/>
    <w:rsid w:val="00D73628"/>
    <w:rsid w:val="00D73918"/>
    <w:rsid w:val="00D77374"/>
    <w:rsid w:val="00D84AF5"/>
    <w:rsid w:val="00D967D7"/>
    <w:rsid w:val="00DA125D"/>
    <w:rsid w:val="00DB1775"/>
    <w:rsid w:val="00DB19B9"/>
    <w:rsid w:val="00DC4BC2"/>
    <w:rsid w:val="00DE057D"/>
    <w:rsid w:val="00DF27EE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5702"/>
    <w:rsid w:val="00E70BF6"/>
    <w:rsid w:val="00EE30E1"/>
    <w:rsid w:val="00EE42F7"/>
    <w:rsid w:val="00F11C98"/>
    <w:rsid w:val="00F12E47"/>
    <w:rsid w:val="00F159F2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  <w:rsid w:val="2F27B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5510291-A91A-4490-987A-1E15BBE9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C151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TableGrid3">
    <w:name w:val="Table Grid3"/>
    <w:basedOn w:val="TableNormal"/>
    <w:next w:val="TableGrid"/>
    <w:uiPriority w:val="59"/>
    <w:rsid w:val="00AE71F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B053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C007C-BBF4-4B29-92C7-8FE6C2B3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2019-06-04T17:28:00Z</dcterms:created>
  <dcterms:modified xsi:type="dcterms:W3CDTF">2019-07-12T15:10:00Z</dcterms:modified>
</cp:coreProperties>
</file>