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0B321" w14:textId="77777777" w:rsidR="00167F2B" w:rsidRPr="00CD76B9" w:rsidRDefault="00167F2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CD76B9">
        <w:rPr>
          <w:b/>
          <w:sz w:val="22"/>
          <w:szCs w:val="22"/>
          <w:lang w:val="sr-Cyrl-RS"/>
        </w:rPr>
        <w:t xml:space="preserve">ПОЈЕДНОСТАВЉЕЊЕ ПОСТУПКА ДОДЕЛЕ БРОЈА ЖИГА ЗА ЖИГОСАЊЕ ПОСЕЧЕНОГ ДРВЕТА </w:t>
      </w:r>
    </w:p>
    <w:p w14:paraId="299395FC" w14:textId="21B0DA01" w:rsidR="00B1006E" w:rsidRPr="00DB19B9" w:rsidRDefault="00167F2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CD76B9">
        <w:rPr>
          <w:b/>
          <w:sz w:val="22"/>
          <w:szCs w:val="22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B4DC6E9" w:rsidR="000E2036" w:rsidRPr="00DB19B9" w:rsidRDefault="0037024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70241">
              <w:rPr>
                <w:b/>
                <w:sz w:val="22"/>
                <w:szCs w:val="22"/>
                <w:lang w:val="sr-Cyrl-RS"/>
              </w:rPr>
              <w:t>Додела броја жига за жигосање посеченог дрвета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F61BC6F" w:rsidR="000E2036" w:rsidRPr="00DB19B9" w:rsidRDefault="0037024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16.04.0010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25BC15D" w14:textId="77777777" w:rsidR="00370241" w:rsidRPr="00C95947" w:rsidRDefault="00370241" w:rsidP="00C9594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CS"/>
              </w:rPr>
            </w:pPr>
            <w:r w:rsidRPr="00C95947">
              <w:rPr>
                <w:sz w:val="22"/>
                <w:szCs w:val="22"/>
                <w:lang w:val="sr-Cyrl-CS"/>
              </w:rPr>
              <w:t>Министарство пољопривреде, шумарства и водопривреде</w:t>
            </w:r>
          </w:p>
          <w:p w14:paraId="5795E7E6" w14:textId="0515D4D5" w:rsidR="00092B84" w:rsidRPr="00C95947" w:rsidRDefault="00370241" w:rsidP="00C9594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95947">
              <w:rPr>
                <w:sz w:val="22"/>
                <w:szCs w:val="22"/>
                <w:lang w:val="sr-Cyrl-CS"/>
              </w:rPr>
              <w:t>Управа за шуме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34F6045" w14:textId="727A3080" w:rsidR="00645199" w:rsidRPr="00C95947" w:rsidRDefault="00F462C8" w:rsidP="00C95947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59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шумама </w:t>
            </w:r>
            <w:r w:rsidRPr="00C95947">
              <w:rPr>
                <w:rFonts w:ascii="Times New Roman" w:hAnsi="Times New Roman"/>
                <w:sz w:val="22"/>
                <w:szCs w:val="22"/>
              </w:rPr>
              <w:t xml:space="preserve">("Сл. </w:t>
            </w:r>
            <w:r w:rsidRPr="00C95947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="00370241" w:rsidRPr="00C959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30/2010, 93/2012, 89/2015</w:t>
            </w:r>
            <w:r w:rsidRPr="00C95947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  <w:p w14:paraId="2CCB5DCC" w14:textId="49584618" w:rsidR="00370241" w:rsidRPr="00C95947" w:rsidRDefault="00370241" w:rsidP="003F16EA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959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облику и садржини шумског жига, обрасцу пропратнице, односно отпремнице, условима и начину жигосања посеченог дрвета, начину вођења евиденције и начину жигосања, односно обележавања четинарских стабала намењених </w:t>
            </w:r>
            <w:r w:rsidR="00F462C8" w:rsidRPr="00C959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новогодишње и друге празнике </w:t>
            </w:r>
            <w:r w:rsidR="00F462C8" w:rsidRPr="00C95947">
              <w:rPr>
                <w:rFonts w:ascii="Times New Roman" w:hAnsi="Times New Roman"/>
                <w:sz w:val="22"/>
                <w:szCs w:val="22"/>
              </w:rPr>
              <w:t xml:space="preserve">("Сл. </w:t>
            </w:r>
            <w:r w:rsidR="00F462C8" w:rsidRPr="00C95947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Pr="00C959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93/2016</w:t>
            </w:r>
            <w:r w:rsidR="00F462C8" w:rsidRPr="00C95947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AED3699" w:rsidR="00D73918" w:rsidRPr="00C95947" w:rsidRDefault="00584DB1" w:rsidP="00C95947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C95947">
              <w:rPr>
                <w:rFonts w:ascii="Times New Roman" w:hAnsi="Times New Roman"/>
                <w:sz w:val="22"/>
                <w:szCs w:val="22"/>
              </w:rPr>
              <w:t>Није потребна измена прописа</w:t>
            </w:r>
          </w:p>
        </w:tc>
      </w:tr>
      <w:tr w:rsidR="002D1B4F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D1B4F" w:rsidRPr="00DB19B9" w:rsidRDefault="002D1B4F" w:rsidP="002D1B4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23332CA1" w:rsidR="002D1B4F" w:rsidRPr="00C95947" w:rsidRDefault="002D1B4F" w:rsidP="00860FFA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C95947">
              <w:rPr>
                <w:sz w:val="22"/>
                <w:szCs w:val="22"/>
              </w:rPr>
              <w:t>Четврти квартал 2019. године</w:t>
            </w:r>
            <w:r w:rsidRPr="00C95947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0A83BBB2" w14:textId="77777777" w:rsidR="002D1B4F" w:rsidRDefault="002D1B4F" w:rsidP="002D1B4F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3C14CC17" w14:textId="654B4B73" w:rsidR="002D1B4F" w:rsidRDefault="002D1B4F" w:rsidP="002D1B4F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30184">
              <w:rPr>
                <w:rFonts w:ascii="Times New Roman" w:hAnsi="Times New Roman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149A7956" w14:textId="77777777" w:rsidR="002D1B4F" w:rsidRDefault="002D1B4F" w:rsidP="002D1B4F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3B6DEDEA" w14:textId="371C0D5F" w:rsidR="002B57D4" w:rsidRDefault="00C95947" w:rsidP="002D1B4F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Образац захтева је самостално састављен од стране организационе јединице. </w:t>
            </w:r>
          </w:p>
          <w:p w14:paraId="37B3B4B1" w14:textId="77777777" w:rsidR="002D1B4F" w:rsidRPr="002B57D4" w:rsidRDefault="002D1B4F" w:rsidP="002D1B4F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113B6311" w14:textId="77777777" w:rsidR="002D1B4F" w:rsidRDefault="002D1B4F" w:rsidP="002D1B4F">
            <w:pPr>
              <w:contextualSpacing/>
              <w:rPr>
                <w:rFonts w:ascii="Times New Roman" w:eastAsiaTheme="minorHAnsi" w:hAnsi="Times New Roman" w:cstheme="minorBidi"/>
                <w:sz w:val="22"/>
                <w:szCs w:val="22"/>
              </w:rPr>
            </w:pP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 подразумева подношење захтева лично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3BD37CF7" w:rsidR="00370241" w:rsidRPr="00DB19B9" w:rsidRDefault="00370241" w:rsidP="002D1B4F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tbl>
            <w:tblPr>
              <w:tblStyle w:val="TableGrid3"/>
              <w:tblW w:w="0" w:type="auto"/>
              <w:tblBorders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</w:tblGrid>
            <w:tr w:rsidR="002D1B4F" w:rsidRPr="00DB19B9" w14:paraId="50D15683" w14:textId="77777777" w:rsidTr="002D1B4F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DDB7FB3" w14:textId="4FC7FAFD" w:rsidR="002D1B4F" w:rsidRDefault="002D1B4F" w:rsidP="002D1B4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702BD9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>Документација</w:t>
                  </w:r>
                  <w:r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</w:tcPr>
                <w:p w14:paraId="48BEDA0E" w14:textId="77777777" w:rsidR="002D1B4F" w:rsidRDefault="002D1B4F" w:rsidP="002D1B4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CC037BB" w14:textId="45F49B4B" w:rsidR="002D1B4F" w:rsidRDefault="002D1B4F" w:rsidP="002D1B4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</w:tcPr>
                <w:p w14:paraId="5526E94F" w14:textId="77777777" w:rsidR="002D1B4F" w:rsidRDefault="002D1B4F" w:rsidP="002D1B4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D1B4F" w:rsidRPr="00DB19B9" w14:paraId="6C3E8E9B" w14:textId="77777777" w:rsidTr="002D1B4F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2EED5" w14:textId="36F1B10B" w:rsidR="002D1B4F" w:rsidRPr="00702BD9" w:rsidRDefault="002D1B4F" w:rsidP="002D1B4F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Pr="00B800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1B21336E" w14:textId="77777777" w:rsidR="002D1B4F" w:rsidRDefault="002D1B4F" w:rsidP="002D1B4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3BEB277" w14:textId="7121B9A7" w:rsidR="002D1B4F" w:rsidRDefault="002D1B4F" w:rsidP="002D1B4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25D15F37" w14:textId="77777777" w:rsidR="002D1B4F" w:rsidRDefault="002D1B4F" w:rsidP="002D1B4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D1B4F" w:rsidRPr="00DB19B9" w14:paraId="4B43494F" w14:textId="77777777" w:rsidTr="002D1B4F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BDD777B" w14:textId="6F603AA1" w:rsidR="002D1B4F" w:rsidRDefault="002D1B4F" w:rsidP="002D1B4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1784" w:type="dxa"/>
                </w:tcPr>
                <w:p w14:paraId="1A3D7058" w14:textId="77777777" w:rsidR="002D1B4F" w:rsidRDefault="002D1B4F" w:rsidP="002D1B4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20B9E76" w14:textId="77777777" w:rsidR="002D1B4F" w:rsidRDefault="002D1B4F" w:rsidP="002D1B4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</w:tcPr>
                <w:p w14:paraId="52CADB13" w14:textId="77777777" w:rsidR="002D1B4F" w:rsidRDefault="002D1B4F" w:rsidP="002D1B4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D1B4F" w:rsidRPr="00DB19B9" w14:paraId="7AD2133B" w14:textId="77777777" w:rsidTr="002D1B4F">
              <w:trPr>
                <w:trHeight w:val="489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504D43CE" w14:textId="6838AE73" w:rsidR="002D1B4F" w:rsidRPr="00A06B22" w:rsidRDefault="002D1B4F" w:rsidP="002D1B4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Увођење обрасца захтева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</w:tcPr>
                <w:p w14:paraId="3F2F1BF7" w14:textId="77777777" w:rsidR="002D1B4F" w:rsidRDefault="002D1B4F" w:rsidP="002D1B4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</w:tcPr>
                <w:p w14:paraId="0D509C50" w14:textId="618960E5" w:rsidR="002D1B4F" w:rsidRDefault="002D1B4F" w:rsidP="002D1B4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000000"/>
                  </w:tcBorders>
                </w:tcPr>
                <w:p w14:paraId="68896AC6" w14:textId="77777777" w:rsidR="002D1B4F" w:rsidRDefault="002D1B4F" w:rsidP="002D1B4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D1B4F" w:rsidRPr="00DB19B9" w14:paraId="3D95B7F1" w14:textId="77777777" w:rsidTr="002D1B4F">
              <w:trPr>
                <w:trHeight w:val="489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401BA199" w14:textId="33BE5E76" w:rsidR="002D1B4F" w:rsidRPr="00DB19B9" w:rsidRDefault="002D1B4F" w:rsidP="002D1B4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Електронско подношење захтева и документације 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</w:tcPr>
                <w:p w14:paraId="7F1346D1" w14:textId="77777777" w:rsidR="002D1B4F" w:rsidRDefault="002D1B4F" w:rsidP="002D1B4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</w:tcPr>
                <w:p w14:paraId="2190B0C5" w14:textId="293A9A67" w:rsidR="002D1B4F" w:rsidRDefault="002D1B4F" w:rsidP="002D1B4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tcBorders>
                    <w:bottom w:val="single" w:sz="4" w:space="0" w:color="auto"/>
                  </w:tcBorders>
                </w:tcPr>
                <w:p w14:paraId="46DA3E52" w14:textId="77777777" w:rsidR="002D1B4F" w:rsidRDefault="002D1B4F" w:rsidP="002D1B4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6E8508E" w14:textId="77777777" w:rsidR="002B57D4" w:rsidRDefault="002B57D4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4C115366" w:rsidR="002B57D4" w:rsidRPr="00DB19B9" w:rsidRDefault="002B57D4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8A6BB8" w14:textId="77777777" w:rsidR="00860FFA" w:rsidRDefault="00860FFA" w:rsidP="002D1B4F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2EE4F4E" w14:textId="4118F561" w:rsidR="002D1B4F" w:rsidRDefault="002D1B4F" w:rsidP="002D1B4F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5C160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Pr="00B55472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6B655C7E" w14:textId="77777777" w:rsidR="002D1B4F" w:rsidRDefault="002D1B4F" w:rsidP="002D1B4F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2A9A42F7" w14:textId="77777777" w:rsidR="002D1B4F" w:rsidRDefault="002D1B4F" w:rsidP="002D1B4F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7B07B480" w14:textId="77777777" w:rsidR="002D1B4F" w:rsidRPr="00B55472" w:rsidRDefault="002D1B4F" w:rsidP="002D1B4F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1A48A3C" w14:textId="259B63B5" w:rsidR="002D1B4F" w:rsidRDefault="002D1B4F" w:rsidP="002D1B4F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554CCF19" w14:textId="77777777" w:rsidR="00C25C23" w:rsidRDefault="00C25C23" w:rsidP="002D1B4F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505803D3" w14:textId="439DEA47" w:rsidR="002D1B4F" w:rsidRDefault="00B026C3" w:rsidP="00B026C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B026C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Управа за шуме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2C75DEE3" w14:textId="77777777" w:rsidR="00B026C3" w:rsidRPr="00B026C3" w:rsidRDefault="00B026C3" w:rsidP="00B026C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5B97A25F" w14:textId="33EB557F" w:rsidR="002D1B4F" w:rsidRDefault="002D1B4F" w:rsidP="002D1B4F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Pr="00702BD9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Pr="00702BD9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663BAF58" w14:textId="77777777" w:rsidR="002D1B4F" w:rsidRDefault="002D1B4F" w:rsidP="002D1B4F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</w:p>
          <w:p w14:paraId="7B211982" w14:textId="77777777" w:rsidR="002D1B4F" w:rsidRPr="00702BD9" w:rsidRDefault="002D1B4F" w:rsidP="002D1B4F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74121707" w14:textId="77777777" w:rsidR="00167F2B" w:rsidRPr="00CD76B9" w:rsidRDefault="00167F2B" w:rsidP="00167F2B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76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50A5B61" w14:textId="77777777" w:rsidR="00167F2B" w:rsidRPr="00CD76B9" w:rsidRDefault="00167F2B" w:rsidP="00167F2B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76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2960918D" w14:textId="77777777" w:rsidR="00167F2B" w:rsidRPr="00CD76B9" w:rsidRDefault="00167F2B" w:rsidP="00167F2B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D76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5BCAA0A" w14:textId="77777777" w:rsidR="002D1B4F" w:rsidRPr="00702BD9" w:rsidRDefault="002D1B4F" w:rsidP="002D1B4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51D3F6D5" w14:textId="77777777" w:rsidR="002D1B4F" w:rsidRPr="00450237" w:rsidRDefault="002D1B4F" w:rsidP="002D1B4F">
            <w:pPr>
              <w:pStyle w:val="ListParagraph"/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50237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Места за унос специфичних информација за конкретан поступак (Локација шуме ,број катастарских парцела, катастарска општина, општина, и укупна површина; Власник шуме ; Корисник шуме; Површина на којој се мења водни режим; Разлог мењања водног режима), укључујући и информације, потребне за прибављање података по службеној дужности </w:t>
            </w:r>
          </w:p>
          <w:p w14:paraId="4BB121DE" w14:textId="77777777" w:rsidR="002D1B4F" w:rsidRPr="00702BD9" w:rsidRDefault="002D1B4F" w:rsidP="002D1B4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56D2F57" w14:textId="77777777" w:rsidR="002D1B4F" w:rsidRPr="00702BD9" w:rsidRDefault="002D1B4F" w:rsidP="002D1B4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8BE19D0" w14:textId="77777777" w:rsidR="002D1B4F" w:rsidRPr="00702BD9" w:rsidRDefault="002D1B4F" w:rsidP="002D1B4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FF1080C" w14:textId="77777777" w:rsidR="002D1B4F" w:rsidRPr="00702BD9" w:rsidRDefault="002D1B4F" w:rsidP="002D1B4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CCE72C5" w14:textId="77777777" w:rsidR="002D1B4F" w:rsidRPr="00702BD9" w:rsidRDefault="002D1B4F" w:rsidP="002D1B4F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7BD7B07D" w14:textId="77777777" w:rsidR="002D1B4F" w:rsidRPr="00702BD9" w:rsidRDefault="002D1B4F" w:rsidP="002D1B4F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C9AB595" w14:textId="77777777" w:rsidR="002D1B4F" w:rsidRPr="00702BD9" w:rsidRDefault="002D1B4F" w:rsidP="002D1B4F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7634C681" w14:textId="77777777" w:rsidR="002D1B4F" w:rsidRPr="00702BD9" w:rsidRDefault="002D1B4F" w:rsidP="002D1B4F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1B0379A" w14:textId="77777777" w:rsidR="002D1B4F" w:rsidRPr="00702BD9" w:rsidRDefault="002D1B4F" w:rsidP="002D1B4F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051E8C9" w14:textId="77777777" w:rsidR="002D1B4F" w:rsidRPr="00702BD9" w:rsidRDefault="002D1B4F" w:rsidP="002D1B4F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15C38B2" w14:textId="77777777" w:rsidR="002D1B4F" w:rsidRPr="00702BD9" w:rsidRDefault="002D1B4F" w:rsidP="002D1B4F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69F7B7B0" w14:textId="77777777" w:rsidR="002D1B4F" w:rsidRPr="00CD76B9" w:rsidRDefault="002D1B4F" w:rsidP="002D1B4F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502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61140E3" w14:textId="77777777" w:rsidR="00CD76B9" w:rsidRPr="00CD76B9" w:rsidRDefault="00CD76B9" w:rsidP="00CD76B9">
            <w:p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700C1759" w14:textId="77777777" w:rsidR="00CD76B9" w:rsidRPr="009C5512" w:rsidRDefault="00CD76B9" w:rsidP="00CD76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AE8B103" w14:textId="77777777" w:rsidR="00CD76B9" w:rsidRPr="009C5512" w:rsidRDefault="00CD76B9" w:rsidP="00CD76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BDB8758" w14:textId="77777777" w:rsidR="00CD76B9" w:rsidRPr="009C5512" w:rsidRDefault="00CD76B9" w:rsidP="00CD76B9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5FE43134" w14:textId="77777777" w:rsidR="00CD76B9" w:rsidRPr="009C5512" w:rsidRDefault="00CD76B9" w:rsidP="00CD76B9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0408A01" w14:textId="77777777" w:rsidR="00CD76B9" w:rsidRPr="009C5512" w:rsidRDefault="00CD76B9" w:rsidP="00CD76B9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6FB3AB4" w14:textId="77777777" w:rsidR="00CD76B9" w:rsidRPr="009C5512" w:rsidRDefault="00CD76B9" w:rsidP="00CD76B9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F07EC45" w14:textId="77777777" w:rsidR="00CD76B9" w:rsidRPr="009C5512" w:rsidRDefault="00CD76B9" w:rsidP="00CD76B9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E000DF2" w14:textId="77777777" w:rsidR="00CD76B9" w:rsidRPr="009C5512" w:rsidRDefault="00CD76B9" w:rsidP="00CD76B9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323F8EC" w14:textId="77777777" w:rsidR="00CD76B9" w:rsidRPr="009C5512" w:rsidRDefault="00CD76B9" w:rsidP="00CD76B9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55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6B05809" w14:textId="77777777" w:rsidR="00CD76B9" w:rsidRPr="00450237" w:rsidRDefault="00CD76B9" w:rsidP="00CD76B9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493A55AC" w14:textId="77777777" w:rsidR="002D1B4F" w:rsidRDefault="002D1B4F" w:rsidP="002D1B4F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Неопходно је да образац буде јавно доступан путем сајта Управе за шуме, како би се што пре што већем броју корисника шума омогућило да лако и једноставно редовно шаљу годишње извештаје.</w:t>
            </w:r>
          </w:p>
          <w:p w14:paraId="5F4ECF86" w14:textId="77777777" w:rsidR="002D1B4F" w:rsidRPr="00450237" w:rsidRDefault="002D1B4F" w:rsidP="002D1B4F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6D7C39CB" w14:textId="77777777" w:rsidR="002D1B4F" w:rsidRDefault="002D1B4F" w:rsidP="002D1B4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</w:t>
            </w:r>
          </w:p>
          <w:p w14:paraId="51C21316" w14:textId="77777777" w:rsidR="002D1B4F" w:rsidRDefault="002D1B4F" w:rsidP="002D1B4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D631407" w14:textId="77777777" w:rsidR="002D1B4F" w:rsidRDefault="002D1B4F" w:rsidP="002D1B4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9216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</w:t>
            </w:r>
            <w:r w:rsidRPr="0039216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и документације </w:t>
            </w:r>
          </w:p>
          <w:p w14:paraId="7D040CA2" w14:textId="77777777" w:rsidR="002D1B4F" w:rsidRDefault="002D1B4F" w:rsidP="002D1B4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74FF74E" w14:textId="309BF5C9" w:rsidR="002D1B4F" w:rsidRPr="00702BD9" w:rsidRDefault="002D1B4F" w:rsidP="002D1B4F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B35D56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</w:t>
            </w:r>
            <w:r w:rsidRPr="00702BD9">
              <w:rPr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4F6B592E" w14:textId="612E77BC" w:rsidR="006D5225" w:rsidRDefault="006D5225" w:rsidP="006D5225">
            <w:pPr>
              <w:jc w:val="left"/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40F46F19" w14:textId="77777777" w:rsidR="00584DB1" w:rsidRDefault="00F462C8" w:rsidP="00204A8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Latn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 w:rsidR="00860FFA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7C56FA9B" w14:textId="77777777" w:rsidR="00B026C3" w:rsidRDefault="00B026C3" w:rsidP="00204A8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Latn-RS"/>
              </w:rPr>
            </w:pPr>
          </w:p>
          <w:p w14:paraId="2FD8F50F" w14:textId="77777777" w:rsidR="00B026C3" w:rsidRDefault="00B026C3" w:rsidP="00204A8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Latn-RS"/>
              </w:rPr>
            </w:pPr>
          </w:p>
          <w:p w14:paraId="313E17E4" w14:textId="77777777" w:rsidR="00B026C3" w:rsidRDefault="00B026C3" w:rsidP="00204A8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Latn-RS"/>
              </w:rPr>
            </w:pPr>
          </w:p>
          <w:p w14:paraId="36275EB2" w14:textId="77777777" w:rsidR="00B026C3" w:rsidRDefault="00B026C3" w:rsidP="00204A8B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Latn-RS"/>
              </w:rPr>
            </w:pPr>
          </w:p>
          <w:p w14:paraId="3EAB4AF8" w14:textId="5C029F50" w:rsidR="00B026C3" w:rsidRPr="00B026C3" w:rsidRDefault="00B026C3" w:rsidP="00204A8B">
            <w:pPr>
              <w:contextualSpacing/>
              <w:rPr>
                <w:b/>
                <w:lang w:val="sr-Latn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39C46D26" w:rsidR="00CA1CE9" w:rsidRPr="00204A8B" w:rsidRDefault="00F462C8" w:rsidP="00204A8B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5A72F0A" w:rsidR="00CA1CE9" w:rsidRPr="00204A8B" w:rsidRDefault="00F462C8" w:rsidP="00204A8B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  <w:lang w:val="sr-Cyrl-RS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16D98F" w14:textId="77777777" w:rsidR="002B57D4" w:rsidRDefault="00860FFA" w:rsidP="009C5512">
            <w:pPr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860FFA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44.539,20 РСД. Усвајање и примена препорука ће донети привредним субјектима годишње директне уштеде од 11.918,66 РСД или 98 ЕУР. Ове уштеде износе 26,76% укупних директних трошкова привредних субјеката у поступку.</w:t>
            </w:r>
          </w:p>
          <w:p w14:paraId="3D79B5B1" w14:textId="77777777" w:rsidR="00860FFA" w:rsidRDefault="00860FFA" w:rsidP="00DB19B9">
            <w:pPr>
              <w:jc w:val="left"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31CCBA4" w14:textId="4E848AA3" w:rsidR="00860FFA" w:rsidRPr="00DB19B9" w:rsidRDefault="00860FFA" w:rsidP="00ED2F02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</w:t>
            </w:r>
            <w:r w:rsidR="00ED2F0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 побољшање послов</w:t>
            </w:r>
            <w:r w:rsidR="00ED2F0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ног амбијента.</w:t>
            </w:r>
          </w:p>
        </w:tc>
      </w:tr>
    </w:tbl>
    <w:p w14:paraId="5CE5710A" w14:textId="1C5B3A41" w:rsidR="003E3C16" w:rsidRPr="00DB19B9" w:rsidRDefault="003E3C16" w:rsidP="00204A8B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5FA49" w14:textId="77777777" w:rsidR="00B249FD" w:rsidRDefault="00B249FD" w:rsidP="002A202F">
      <w:r>
        <w:separator/>
      </w:r>
    </w:p>
  </w:endnote>
  <w:endnote w:type="continuationSeparator" w:id="0">
    <w:p w14:paraId="6CE825ED" w14:textId="77777777" w:rsidR="00B249FD" w:rsidRDefault="00B249F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602623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5A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5124B" w14:textId="77777777" w:rsidR="00B249FD" w:rsidRDefault="00B249FD" w:rsidP="002A202F">
      <w:r>
        <w:separator/>
      </w:r>
    </w:p>
  </w:footnote>
  <w:footnote w:type="continuationSeparator" w:id="0">
    <w:p w14:paraId="03177D96" w14:textId="77777777" w:rsidR="00B249FD" w:rsidRDefault="00B249F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103E"/>
    <w:multiLevelType w:val="hybridMultilevel"/>
    <w:tmpl w:val="BFD85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A754E"/>
    <w:multiLevelType w:val="hybridMultilevel"/>
    <w:tmpl w:val="F4AE6E1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6"/>
  </w:num>
  <w:num w:numId="5">
    <w:abstractNumId w:val="3"/>
  </w:num>
  <w:num w:numId="6">
    <w:abstractNumId w:val="13"/>
  </w:num>
  <w:num w:numId="7">
    <w:abstractNumId w:val="25"/>
  </w:num>
  <w:num w:numId="8">
    <w:abstractNumId w:val="11"/>
  </w:num>
  <w:num w:numId="9">
    <w:abstractNumId w:val="23"/>
  </w:num>
  <w:num w:numId="10">
    <w:abstractNumId w:val="21"/>
  </w:num>
  <w:num w:numId="11">
    <w:abstractNumId w:val="20"/>
  </w:num>
  <w:num w:numId="12">
    <w:abstractNumId w:val="19"/>
  </w:num>
  <w:num w:numId="13">
    <w:abstractNumId w:val="16"/>
  </w:num>
  <w:num w:numId="14">
    <w:abstractNumId w:val="22"/>
  </w:num>
  <w:num w:numId="15">
    <w:abstractNumId w:val="18"/>
  </w:num>
  <w:num w:numId="16">
    <w:abstractNumId w:val="12"/>
  </w:num>
  <w:num w:numId="17">
    <w:abstractNumId w:val="10"/>
  </w:num>
  <w:num w:numId="18">
    <w:abstractNumId w:val="24"/>
  </w:num>
  <w:num w:numId="19">
    <w:abstractNumId w:val="7"/>
  </w:num>
  <w:num w:numId="20">
    <w:abstractNumId w:val="26"/>
  </w:num>
  <w:num w:numId="21">
    <w:abstractNumId w:val="8"/>
  </w:num>
  <w:num w:numId="22">
    <w:abstractNumId w:val="4"/>
  </w:num>
  <w:num w:numId="23">
    <w:abstractNumId w:val="17"/>
  </w:num>
  <w:num w:numId="24">
    <w:abstractNumId w:val="0"/>
  </w:num>
  <w:num w:numId="25">
    <w:abstractNumId w:val="1"/>
  </w:num>
  <w:num w:numId="26">
    <w:abstractNumId w:val="15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F5E72"/>
    <w:rsid w:val="00101CBE"/>
    <w:rsid w:val="00103444"/>
    <w:rsid w:val="001156BA"/>
    <w:rsid w:val="001358F5"/>
    <w:rsid w:val="0015182D"/>
    <w:rsid w:val="00161847"/>
    <w:rsid w:val="00167F2B"/>
    <w:rsid w:val="00170CA7"/>
    <w:rsid w:val="001711C5"/>
    <w:rsid w:val="00184878"/>
    <w:rsid w:val="001A023F"/>
    <w:rsid w:val="001A3FAC"/>
    <w:rsid w:val="001A6472"/>
    <w:rsid w:val="001C5538"/>
    <w:rsid w:val="001D0EDE"/>
    <w:rsid w:val="001D20E2"/>
    <w:rsid w:val="001E38DE"/>
    <w:rsid w:val="001F7B31"/>
    <w:rsid w:val="00200671"/>
    <w:rsid w:val="00204A8B"/>
    <w:rsid w:val="0020601F"/>
    <w:rsid w:val="00212DA5"/>
    <w:rsid w:val="00213196"/>
    <w:rsid w:val="0021347C"/>
    <w:rsid w:val="002323AC"/>
    <w:rsid w:val="00261404"/>
    <w:rsid w:val="002673B0"/>
    <w:rsid w:val="00275E2A"/>
    <w:rsid w:val="00296938"/>
    <w:rsid w:val="002A202F"/>
    <w:rsid w:val="002A5A1B"/>
    <w:rsid w:val="002B19B4"/>
    <w:rsid w:val="002B57D4"/>
    <w:rsid w:val="002D1B4F"/>
    <w:rsid w:val="002F1BEC"/>
    <w:rsid w:val="002F4757"/>
    <w:rsid w:val="00322199"/>
    <w:rsid w:val="003223C7"/>
    <w:rsid w:val="0032337E"/>
    <w:rsid w:val="00326555"/>
    <w:rsid w:val="003410E0"/>
    <w:rsid w:val="003452BC"/>
    <w:rsid w:val="00350EAD"/>
    <w:rsid w:val="003651DB"/>
    <w:rsid w:val="00370241"/>
    <w:rsid w:val="003715A0"/>
    <w:rsid w:val="0037171F"/>
    <w:rsid w:val="00376FD1"/>
    <w:rsid w:val="0039002C"/>
    <w:rsid w:val="00390F68"/>
    <w:rsid w:val="00394FA3"/>
    <w:rsid w:val="003B44DB"/>
    <w:rsid w:val="003B4BC9"/>
    <w:rsid w:val="003B6298"/>
    <w:rsid w:val="003D7BDF"/>
    <w:rsid w:val="003E2EB1"/>
    <w:rsid w:val="003E3C16"/>
    <w:rsid w:val="003F16EA"/>
    <w:rsid w:val="00407D96"/>
    <w:rsid w:val="004214DD"/>
    <w:rsid w:val="00432495"/>
    <w:rsid w:val="00444DA7"/>
    <w:rsid w:val="00453F11"/>
    <w:rsid w:val="00457882"/>
    <w:rsid w:val="00463CC7"/>
    <w:rsid w:val="004651EF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1028"/>
    <w:rsid w:val="00523608"/>
    <w:rsid w:val="00525C0A"/>
    <w:rsid w:val="00535608"/>
    <w:rsid w:val="00556688"/>
    <w:rsid w:val="0056162B"/>
    <w:rsid w:val="0056707B"/>
    <w:rsid w:val="00581A9D"/>
    <w:rsid w:val="00584DB1"/>
    <w:rsid w:val="00586E1E"/>
    <w:rsid w:val="00596367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1211E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D5225"/>
    <w:rsid w:val="006F4A5C"/>
    <w:rsid w:val="00715F5C"/>
    <w:rsid w:val="007167E8"/>
    <w:rsid w:val="007173A6"/>
    <w:rsid w:val="007278C1"/>
    <w:rsid w:val="00733493"/>
    <w:rsid w:val="00737F1D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53A93"/>
    <w:rsid w:val="00860FFA"/>
    <w:rsid w:val="008624BF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2D45"/>
    <w:rsid w:val="009470D3"/>
    <w:rsid w:val="00947592"/>
    <w:rsid w:val="00950280"/>
    <w:rsid w:val="00991A18"/>
    <w:rsid w:val="00994A16"/>
    <w:rsid w:val="009A30D3"/>
    <w:rsid w:val="009C3009"/>
    <w:rsid w:val="009C5512"/>
    <w:rsid w:val="009D03A7"/>
    <w:rsid w:val="009E0479"/>
    <w:rsid w:val="009F00B9"/>
    <w:rsid w:val="00A0102E"/>
    <w:rsid w:val="00A12960"/>
    <w:rsid w:val="00A1570D"/>
    <w:rsid w:val="00A22386"/>
    <w:rsid w:val="00A56B75"/>
    <w:rsid w:val="00A71C04"/>
    <w:rsid w:val="00AA0017"/>
    <w:rsid w:val="00AA4BC5"/>
    <w:rsid w:val="00AB09B3"/>
    <w:rsid w:val="00AC02D1"/>
    <w:rsid w:val="00B00899"/>
    <w:rsid w:val="00B026C3"/>
    <w:rsid w:val="00B06019"/>
    <w:rsid w:val="00B07409"/>
    <w:rsid w:val="00B1006E"/>
    <w:rsid w:val="00B178FB"/>
    <w:rsid w:val="00B249FD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3C06"/>
    <w:rsid w:val="00C121EC"/>
    <w:rsid w:val="00C12C65"/>
    <w:rsid w:val="00C25C23"/>
    <w:rsid w:val="00C445E2"/>
    <w:rsid w:val="00C50606"/>
    <w:rsid w:val="00C70C78"/>
    <w:rsid w:val="00C70F1B"/>
    <w:rsid w:val="00C7129D"/>
    <w:rsid w:val="00C748D1"/>
    <w:rsid w:val="00C91014"/>
    <w:rsid w:val="00C931DD"/>
    <w:rsid w:val="00C95947"/>
    <w:rsid w:val="00CA1CE9"/>
    <w:rsid w:val="00CB1A4E"/>
    <w:rsid w:val="00CC29F6"/>
    <w:rsid w:val="00CD2287"/>
    <w:rsid w:val="00CD5BBB"/>
    <w:rsid w:val="00CD76B9"/>
    <w:rsid w:val="00CE0685"/>
    <w:rsid w:val="00CE371F"/>
    <w:rsid w:val="00D026A4"/>
    <w:rsid w:val="00D37EA5"/>
    <w:rsid w:val="00D43C2F"/>
    <w:rsid w:val="00D73628"/>
    <w:rsid w:val="00D73918"/>
    <w:rsid w:val="00D967D7"/>
    <w:rsid w:val="00DA125D"/>
    <w:rsid w:val="00DB19B9"/>
    <w:rsid w:val="00DC4BC2"/>
    <w:rsid w:val="00DE057D"/>
    <w:rsid w:val="00DF27EE"/>
    <w:rsid w:val="00E0020F"/>
    <w:rsid w:val="00E118C7"/>
    <w:rsid w:val="00E1427B"/>
    <w:rsid w:val="00E14300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A0850"/>
    <w:rsid w:val="00ED2F02"/>
    <w:rsid w:val="00EE42F7"/>
    <w:rsid w:val="00F11C98"/>
    <w:rsid w:val="00F12E47"/>
    <w:rsid w:val="00F17141"/>
    <w:rsid w:val="00F223B2"/>
    <w:rsid w:val="00F462C8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F0D"/>
    <w:rsid w:val="00FE782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ED12244-47CD-45B6-8219-71E8B688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2B57D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9C5512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F9A86-F476-4078-B149-7156797F2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2019-06-04T17:28:00Z</dcterms:created>
  <dcterms:modified xsi:type="dcterms:W3CDTF">2019-07-12T15:09:00Z</dcterms:modified>
</cp:coreProperties>
</file>