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08061" w14:textId="4970ABE7" w:rsidR="005379B8" w:rsidRPr="009E37F4" w:rsidRDefault="00A259A8" w:rsidP="005379B8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Cs w:val="22"/>
          <w:lang w:val="sr-Cyrl-RS"/>
        </w:rPr>
      </w:pPr>
      <w:bookmarkStart w:id="0" w:name="_GoBack"/>
      <w:bookmarkEnd w:id="0"/>
      <w:r w:rsidRPr="00C965B1">
        <w:rPr>
          <w:b/>
          <w:color w:val="000000" w:themeColor="text1"/>
          <w:sz w:val="22"/>
          <w:szCs w:val="22"/>
          <w:lang w:val="sr-Cyrl-RS"/>
        </w:rPr>
        <w:t>ПОЈЕДНОСТАВЉЕЊЕ ПОСТУПКА ПОДНОШЕЊА ИЗВЕШТАЈА О КОЛИЧИНИ И ВРСТИ ПРОИЗВЕДЕНОГ РЕПРОДУКТИВНОГ МАТЕРИЈАЛА У ТЕКУЋОЈ ГОДИНИ</w:t>
      </w:r>
    </w:p>
    <w:p w14:paraId="1149ED58" w14:textId="77777777" w:rsidR="005379B8" w:rsidRPr="009E37F4" w:rsidRDefault="005379B8" w:rsidP="005379B8">
      <w:pPr>
        <w:pStyle w:val="NormalWeb"/>
        <w:spacing w:before="0" w:beforeAutospacing="0" w:after="0" w:afterAutospacing="0" w:line="336" w:lineRule="atLeast"/>
        <w:jc w:val="center"/>
        <w:rPr>
          <w:b/>
          <w:color w:val="000000" w:themeColor="text1"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E37F4" w:rsidRPr="009E37F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E37F4" w:rsidRDefault="000E2036" w:rsidP="00850AD5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F7D79E" w:rsidR="000E2036" w:rsidRPr="009E37F4" w:rsidRDefault="003E5513" w:rsidP="009E37F4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Извештај о количини и врсти произведеног репродуктивног материјала у текућој години</w:t>
            </w:r>
          </w:p>
        </w:tc>
      </w:tr>
      <w:tr w:rsidR="009E37F4" w:rsidRPr="009E37F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9E37F4" w:rsidRDefault="000E2036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5B1F661" w:rsidR="000E2036" w:rsidRPr="009E37F4" w:rsidRDefault="003E5513" w:rsidP="009E37F4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16.04.0014</w:t>
            </w:r>
          </w:p>
        </w:tc>
      </w:tr>
      <w:tr w:rsidR="009E37F4" w:rsidRPr="009E37F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9E37F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E37F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F242045" w14:textId="77777777" w:rsidR="00092B84" w:rsidRPr="009E37F4" w:rsidRDefault="00551479" w:rsidP="009E37F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08E235F5" w:rsidR="00551479" w:rsidRPr="009E37F4" w:rsidRDefault="00551479" w:rsidP="009E37F4">
            <w:pPr>
              <w:pStyle w:val="NormalWeb"/>
              <w:spacing w:before="120" w:beforeAutospacing="0" w:after="12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9E37F4" w:rsidRPr="009E37F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9E37F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Правни о</w:t>
            </w:r>
            <w:r w:rsidR="00B903AE"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квир</w:t>
            </w:r>
            <w:r w:rsidR="00DC4BC2"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C876D73" w:rsidR="00645199" w:rsidRPr="009E37F4" w:rsidRDefault="00551479" w:rsidP="00A259A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46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репродукт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ивном материјалу шумског дрвећа   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135/2004, 8/2005, 41/2009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>)</w:t>
            </w:r>
          </w:p>
        </w:tc>
      </w:tr>
      <w:tr w:rsidR="009E37F4" w:rsidRPr="009E37F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9E37F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E37F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E37F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E37F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E37F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E37F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F2E9A2A" w:rsidR="00D73918" w:rsidRPr="009E37F4" w:rsidRDefault="00057E23" w:rsidP="00A259A8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 Закон о репродукти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вном материјалу шумског дрвећа 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("Сл. 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Гласник РС“ бр.</w:t>
            </w: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135/2004, 8/2005, 41/2009</w:t>
            </w:r>
            <w:r w:rsidR="00B47690" w:rsidRPr="009E37F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9E37F4" w:rsidRPr="009E37F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9E37F4" w:rsidRDefault="00275E2A" w:rsidP="00850AD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EFA43C1" w:rsidR="00804060" w:rsidRPr="009E37F4" w:rsidRDefault="00B47690" w:rsidP="00B6163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 xml:space="preserve">Четврти квартал </w:t>
            </w:r>
            <w:r w:rsidR="00B61638" w:rsidRPr="009E37F4">
              <w:rPr>
                <w:color w:val="000000" w:themeColor="text1"/>
                <w:sz w:val="22"/>
                <w:szCs w:val="22"/>
                <w:lang w:val="sr-Cyrl-RS"/>
              </w:rPr>
              <w:t>20</w:t>
            </w:r>
            <w:r w:rsidR="00B61638">
              <w:rPr>
                <w:color w:val="000000" w:themeColor="text1"/>
                <w:sz w:val="22"/>
                <w:szCs w:val="22"/>
                <w:lang w:val="sr-Latn-RS"/>
              </w:rPr>
              <w:t>20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A708A1">
              <w:rPr>
                <w:color w:val="000000" w:themeColor="text1"/>
                <w:sz w:val="22"/>
                <w:szCs w:val="22"/>
                <w:lang w:val="sr-Cyrl-RS"/>
              </w:rPr>
              <w:t>године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9E37F4" w:rsidRPr="009E37F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E37F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9E37F4" w:rsidRPr="009E37F4" w14:paraId="4635A4BE" w14:textId="77777777" w:rsidTr="00CA1CE9">
        <w:tc>
          <w:tcPr>
            <w:tcW w:w="9060" w:type="dxa"/>
            <w:gridSpan w:val="2"/>
          </w:tcPr>
          <w:p w14:paraId="07032BDC" w14:textId="77777777" w:rsidR="009E37F4" w:rsidRPr="009E37F4" w:rsidRDefault="009E37F4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3D5E412" w14:textId="73990ED5" w:rsidR="00551479" w:rsidRPr="009E37F4" w:rsidRDefault="00551479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 овом поступку је реч о обавештавању односно извештавању Управе за шуме од стране </w:t>
            </w:r>
            <w:r w:rsidR="003E5513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произвођача</w:t>
            </w: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репродуктивног материјала о </w:t>
            </w:r>
            <w:r w:rsidR="003E5513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врстама, категоријама и количинама шумског репродуктивног материјала који су произвели до 31. октобра текуће године. </w:t>
            </w:r>
            <w:r w:rsidR="005F4D4B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Управа за шуме не издаје акт по подношењу извештаја већ само води евиденцију поднетих извештаја.</w:t>
            </w: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За државу је важно </w:t>
            </w:r>
            <w:r w:rsidR="003E5513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да благовремено добија ове информација како би могла да води</w:t>
            </w:r>
            <w:r w:rsidR="003E5513" w:rsidRPr="009E37F4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3E5513"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биланс шумског репродуктивног материјала и </w:t>
            </w:r>
            <w:r w:rsidR="003E5513"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има </w:t>
            </w:r>
            <w:r w:rsidR="003E5513"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увид у стање залиха на нивоу Републике Србије</w:t>
            </w: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1B4E27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Овај поступак не производи трошкове на страни привредног субјекта.</w:t>
            </w:r>
          </w:p>
          <w:p w14:paraId="2D5240BA" w14:textId="77777777" w:rsidR="001822D7" w:rsidRPr="009E37F4" w:rsidRDefault="001822D7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6C6E3A0" w14:textId="7D84DA51" w:rsidR="001B4E27" w:rsidRPr="009E37F4" w:rsidRDefault="009E37F4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Образац извештаја о количини и врсти произведеног репродуктивног материјала у текућој години је у слободној форми.</w:t>
            </w:r>
          </w:p>
          <w:p w14:paraId="118E55B3" w14:textId="77777777" w:rsidR="001822D7" w:rsidRPr="009E37F4" w:rsidRDefault="001822D7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</w:pPr>
          </w:p>
          <w:p w14:paraId="61DB5461" w14:textId="7765C876" w:rsidR="009E37F4" w:rsidRPr="009E37F4" w:rsidRDefault="009E37F4" w:rsidP="009E37F4">
            <w:pPr>
              <w:spacing w:line="259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 xml:space="preserve">Поступак подразумева подношење </w:t>
            </w:r>
            <w:r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извештаја </w:t>
            </w:r>
            <w:r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лично</w:t>
            </w:r>
            <w:r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9E37F4">
              <w:rPr>
                <w:rFonts w:ascii="Times New Roman" w:eastAsiaTheme="minorHAnsi" w:hAnsi="Times New Roman"/>
                <w:color w:val="000000" w:themeColor="text1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5DC728FA" w:rsidR="001822D7" w:rsidRPr="009E37F4" w:rsidRDefault="001822D7" w:rsidP="00B47690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9E37F4" w:rsidRPr="009E37F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9E37F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9E37F4" w:rsidRPr="009E37F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9E37F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color w:val="000000" w:themeColor="text1"/>
                <w:sz w:val="2"/>
                <w:szCs w:val="22"/>
                <w:lang w:val="sr-Cyrl-RS"/>
              </w:rPr>
            </w:pPr>
          </w:p>
        </w:tc>
      </w:tr>
      <w:tr w:rsidR="009E37F4" w:rsidRPr="009E37F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9E37F4" w:rsidRPr="009E37F4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9E37F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9E37F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9E37F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9E37F4" w:rsidRPr="009E37F4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9E37F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9E37F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9E37F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9E37F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6AAE929A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noProof/>
                      <w:color w:val="000000" w:themeColor="text1"/>
                      <w:szCs w:val="22"/>
                      <w:lang w:val="sr-Cyrl-RS"/>
                    </w:rPr>
                    <w:t xml:space="preserve">Документација </w:t>
                  </w:r>
                </w:p>
              </w:tc>
              <w:tc>
                <w:tcPr>
                  <w:tcW w:w="1784" w:type="dxa"/>
                </w:tcPr>
                <w:p w14:paraId="7DA93255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4971C3B4" w:rsidR="00ED20FF" w:rsidRPr="009E37F4" w:rsidRDefault="00ED20FF" w:rsidP="00ED20F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37" w:type="dxa"/>
                </w:tcPr>
                <w:p w14:paraId="24710273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3B61670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3A439B" w14:textId="463B006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Доказ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5840726A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B7235EF" w14:textId="4D232FB9" w:rsidR="00ED20FF" w:rsidRPr="009E37F4" w:rsidRDefault="00ED20FF" w:rsidP="00ED20F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78BDB1B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6F43D65B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D3C1C25" w14:textId="0B158B34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784" w:type="dxa"/>
                </w:tcPr>
                <w:p w14:paraId="7610812B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23844A1" w14:textId="77777777" w:rsidR="00ED20FF" w:rsidRPr="009E37F4" w:rsidRDefault="00ED20FF" w:rsidP="00ED20F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37" w:type="dxa"/>
                </w:tcPr>
                <w:p w14:paraId="73ADD7FC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251373AD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C068EA1" w14:textId="16B669F5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429A80F8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C5272B3" w14:textId="6F0B8A62" w:rsidR="00ED20FF" w:rsidRPr="009E37F4" w:rsidRDefault="00ED20FF" w:rsidP="00ED20F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4207173E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31B2446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915391D" w14:textId="201A0FC5" w:rsidR="00ED20FF" w:rsidRPr="009E37F4" w:rsidRDefault="00ED20FF" w:rsidP="009E37F4">
                  <w:pPr>
                    <w:jc w:val="left"/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</w:pPr>
                  <w:r w:rsidRPr="009E37F4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 xml:space="preserve">Електронско подношење </w:t>
                  </w:r>
                  <w:r w:rsidR="009E37F4" w:rsidRPr="009E37F4">
                    <w:rPr>
                      <w:rFonts w:ascii="Times New Roman" w:eastAsia="Times New Roman" w:hAnsi="Times New Roman"/>
                      <w:i/>
                      <w:color w:val="000000" w:themeColor="text1"/>
                      <w:lang w:val="sr-Cyrl-RS"/>
                    </w:rPr>
                    <w:t>извештаја</w:t>
                  </w:r>
                </w:p>
              </w:tc>
              <w:tc>
                <w:tcPr>
                  <w:tcW w:w="1784" w:type="dxa"/>
                </w:tcPr>
                <w:p w14:paraId="7E3CF143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30099F2" w14:textId="6929A09B" w:rsidR="00ED20FF" w:rsidRPr="009E37F4" w:rsidRDefault="00ED20FF" w:rsidP="00ED20F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491E7D1B" w14:textId="77777777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</w:pPr>
                </w:p>
              </w:tc>
            </w:tr>
            <w:tr w:rsidR="009E37F4" w:rsidRPr="009E37F4" w14:paraId="42268790" w14:textId="022C4FA4" w:rsidTr="004E1C8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2BBE16" w14:textId="7E23F0E1" w:rsidR="00ED20FF" w:rsidRPr="009E37F4" w:rsidRDefault="00ED20FF" w:rsidP="00ED20FF">
                  <w:pPr>
                    <w:jc w:val="left"/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en-GB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 xml:space="preserve">Увођење подношења нотификације </w:t>
                  </w:r>
                </w:p>
              </w:tc>
              <w:tc>
                <w:tcPr>
                  <w:tcW w:w="1784" w:type="dxa"/>
                </w:tcPr>
                <w:p w14:paraId="78F7EE83" w14:textId="617DA947" w:rsidR="00ED20FF" w:rsidRPr="009E37F4" w:rsidRDefault="00ED20FF" w:rsidP="00ED20FF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5A8610AD" w14:textId="3F594122" w:rsidR="00ED20FF" w:rsidRPr="009E37F4" w:rsidRDefault="00ED20FF" w:rsidP="00ED20FF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1637" w:type="dxa"/>
                </w:tcPr>
                <w:p w14:paraId="643A9BC8" w14:textId="5BDB459D" w:rsidR="00ED20FF" w:rsidRPr="009E37F4" w:rsidRDefault="00ED20FF" w:rsidP="00ED20FF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9E37F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sr-Cyrl-RS"/>
                    </w:rPr>
                    <w:t>1.</w:t>
                  </w:r>
                </w:p>
              </w:tc>
            </w:tr>
          </w:tbl>
          <w:p w14:paraId="51DD5A10" w14:textId="77777777" w:rsidR="00DB25DA" w:rsidRPr="009E37F4" w:rsidRDefault="00DB25DA" w:rsidP="001B4E27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E28D8C5" w14:textId="606D081E" w:rsidR="000A0A90" w:rsidRPr="009E37F4" w:rsidRDefault="000A0A90" w:rsidP="001B4E27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9E37F4" w:rsidRPr="009E37F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9E37F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9E37F4" w:rsidRPr="009E37F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2454C3" w14:textId="77777777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594BE73F" w14:textId="77777777" w:rsidR="00ED20FF" w:rsidRPr="009E37F4" w:rsidRDefault="001B4E27" w:rsidP="00ED20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3.1.</w:t>
            </w:r>
            <w:r w:rsidR="00ED20FF"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="00ED20FF"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4FF33C78" w14:textId="77777777" w:rsidR="00ED20FF" w:rsidRPr="009E37F4" w:rsidRDefault="00ED20FF" w:rsidP="00ED20FF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2"/>
                <w:lang w:val="sr-Cyrl-RS"/>
              </w:rPr>
            </w:pPr>
          </w:p>
          <w:p w14:paraId="4163A69A" w14:textId="77777777" w:rsidR="00ED20FF" w:rsidRPr="009E37F4" w:rsidRDefault="00ED20FF" w:rsidP="00ED20FF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26FB4813" w14:textId="77777777" w:rsidR="00ED20FF" w:rsidRPr="009E37F4" w:rsidRDefault="00ED20FF" w:rsidP="00ED20FF">
            <w:pPr>
              <w:spacing w:line="259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</w:p>
          <w:p w14:paraId="1108CA7C" w14:textId="3AF5C2A1" w:rsidR="00ED20FF" w:rsidRDefault="00ED20FF" w:rsidP="00ED20F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013860DA" w14:textId="77777777" w:rsidR="00F1576D" w:rsidRPr="009E37F4" w:rsidRDefault="00F1576D" w:rsidP="00ED20F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1D1BB0C7" w14:textId="32060A5F" w:rsidR="00B47690" w:rsidRDefault="001B4E27" w:rsidP="00B61638">
            <w:pPr>
              <w:contextualSpacing/>
              <w:jc w:val="distribute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Latn-RS"/>
              </w:rPr>
            </w:pP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="00B61638" w:rsidRPr="00B6163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6AC648B2" w14:textId="77777777" w:rsidR="00B61638" w:rsidRPr="00B61638" w:rsidRDefault="00B61638" w:rsidP="00B61638">
            <w:pPr>
              <w:contextualSpacing/>
              <w:jc w:val="distribute"/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</w:pPr>
          </w:p>
          <w:p w14:paraId="40A9B85E" w14:textId="2CCFB2D1" w:rsidR="00ED20FF" w:rsidRPr="009E37F4" w:rsidRDefault="00057E23" w:rsidP="00ED20F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0A0A90"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2</w:t>
            </w: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  <w:r w:rsidR="00ED20FF" w:rsidRPr="009E37F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="00ED20FF" w:rsidRPr="009E37F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70BBBFE" w14:textId="77777777" w:rsidR="00ED20FF" w:rsidRPr="009E37F4" w:rsidRDefault="00ED20FF" w:rsidP="00ED20FF">
            <w:pPr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4A12C969" w14:textId="77777777" w:rsidR="00ED20FF" w:rsidRPr="009E37F4" w:rsidRDefault="00ED20FF" w:rsidP="00ED20FF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0A227B80" w14:textId="77777777" w:rsidR="00A259A8" w:rsidRPr="00C965B1" w:rsidRDefault="00A259A8" w:rsidP="00A259A8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C965B1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7E8A3DB" w14:textId="77777777" w:rsidR="00A259A8" w:rsidRPr="00C965B1" w:rsidRDefault="00A259A8" w:rsidP="00A259A8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C965B1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2E2F7E6" w14:textId="77777777" w:rsidR="00A259A8" w:rsidRPr="00C965B1" w:rsidRDefault="00A259A8" w:rsidP="00A259A8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C965B1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C305B42" w14:textId="77777777" w:rsidR="00ED20FF" w:rsidRPr="009E37F4" w:rsidRDefault="00ED20FF" w:rsidP="00ED20FF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4629DD73" w14:textId="77777777" w:rsidR="00ED20FF" w:rsidRPr="009E37F4" w:rsidRDefault="00ED20FF" w:rsidP="00ED20FF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4F2162E3" w14:textId="77777777" w:rsidR="00ED20FF" w:rsidRPr="009E37F4" w:rsidRDefault="00ED20FF" w:rsidP="00ED20FF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4EDB7DB3" w14:textId="77777777" w:rsidR="00ED20FF" w:rsidRPr="009E37F4" w:rsidRDefault="00ED20FF" w:rsidP="00ED20F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Таксативно набројана сва потребна документа</w:t>
            </w:r>
          </w:p>
          <w:p w14:paraId="557210B2" w14:textId="77777777" w:rsidR="00ED20FF" w:rsidRPr="009E37F4" w:rsidRDefault="00ED20FF" w:rsidP="00ED20F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3F7603F" w14:textId="77777777" w:rsidR="00ED20FF" w:rsidRPr="009E37F4" w:rsidRDefault="00ED20FF" w:rsidP="00ED20F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Издавалац документа</w:t>
            </w:r>
          </w:p>
          <w:p w14:paraId="143413BA" w14:textId="77777777" w:rsidR="00ED20FF" w:rsidRPr="009E37F4" w:rsidRDefault="00ED20FF" w:rsidP="00ED20F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5A16270A" w14:textId="77777777" w:rsidR="00ED20FF" w:rsidRPr="009E37F4" w:rsidRDefault="00ED20FF" w:rsidP="00ED20FF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</w:t>
            </w: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lastRenderedPageBreak/>
              <w:t>поступку одлучивања (сходно члану 103. став 3. ЗУП-а).</w:t>
            </w:r>
          </w:p>
          <w:p w14:paraId="1EE485D3" w14:textId="77777777" w:rsidR="00ED20FF" w:rsidRPr="009E37F4" w:rsidRDefault="00ED20FF" w:rsidP="00ED20FF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1.ДА</w:t>
            </w:r>
          </w:p>
          <w:p w14:paraId="3FEEA54D" w14:textId="77777777" w:rsidR="00ED20FF" w:rsidRPr="009E37F4" w:rsidRDefault="00ED20FF" w:rsidP="00ED20FF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2. НЕ</w:t>
            </w:r>
          </w:p>
          <w:p w14:paraId="414856E9" w14:textId="77777777" w:rsidR="00ED20FF" w:rsidRPr="009E37F4" w:rsidRDefault="00ED20FF" w:rsidP="00ED20FF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F3AFD9E" w14:textId="77777777" w:rsidR="00ED20FF" w:rsidRPr="009E37F4" w:rsidRDefault="00ED20FF" w:rsidP="00ED20FF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520491F" w14:textId="77777777" w:rsidR="00ED20FF" w:rsidRPr="009E37F4" w:rsidRDefault="00ED20FF" w:rsidP="00ED20FF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2A22958" w14:textId="77777777" w:rsidR="00ED20FF" w:rsidRPr="00C965B1" w:rsidRDefault="00ED20FF" w:rsidP="00ED20FF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  <w:t>Место за потпис подносиоца захтева.</w:t>
            </w:r>
          </w:p>
          <w:p w14:paraId="49DD1659" w14:textId="77777777" w:rsidR="00C965B1" w:rsidRDefault="00C965B1" w:rsidP="00C965B1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lang w:val="sr-Cyrl-RS"/>
              </w:rPr>
            </w:pPr>
          </w:p>
          <w:p w14:paraId="3E8E21A3" w14:textId="77777777" w:rsidR="00C965B1" w:rsidRPr="00275F83" w:rsidRDefault="00C965B1" w:rsidP="00C965B1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DAD4B8B" w14:textId="77777777" w:rsidR="00C965B1" w:rsidRPr="00275F83" w:rsidRDefault="00C965B1" w:rsidP="00C965B1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C3811D4" w14:textId="77777777" w:rsidR="00C965B1" w:rsidRPr="00275F83" w:rsidRDefault="00C965B1" w:rsidP="00C965B1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E10AF14" w14:textId="77777777" w:rsidR="00C965B1" w:rsidRPr="00275F83" w:rsidRDefault="00C965B1" w:rsidP="00C965B1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Финансијским издацима:</w:t>
            </w:r>
          </w:p>
          <w:p w14:paraId="611993E4" w14:textId="77777777" w:rsidR="00C965B1" w:rsidRPr="00275F83" w:rsidRDefault="00C965B1" w:rsidP="00C965B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Износ издатка</w:t>
            </w:r>
          </w:p>
          <w:p w14:paraId="2D4B74F6" w14:textId="77777777" w:rsidR="00C965B1" w:rsidRPr="00275F83" w:rsidRDefault="00C965B1" w:rsidP="00C965B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Сврха уплате</w:t>
            </w:r>
          </w:p>
          <w:p w14:paraId="42D2C0C2" w14:textId="77777777" w:rsidR="00C965B1" w:rsidRPr="00275F83" w:rsidRDefault="00C965B1" w:rsidP="00C965B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A399F94" w14:textId="77777777" w:rsidR="00C965B1" w:rsidRPr="00275F83" w:rsidRDefault="00C965B1" w:rsidP="00C965B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Број рачуна</w:t>
            </w:r>
          </w:p>
          <w:p w14:paraId="7FABC714" w14:textId="77777777" w:rsidR="00C965B1" w:rsidRPr="00275F83" w:rsidRDefault="00C965B1" w:rsidP="00C965B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5F8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Модел и позив на број</w:t>
            </w:r>
          </w:p>
          <w:p w14:paraId="31926F0B" w14:textId="77777777" w:rsidR="00C965B1" w:rsidRDefault="00C965B1" w:rsidP="00ED20FF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E7AB97C" w14:textId="75BE36A2" w:rsidR="00B47690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1D42EEB9" w14:textId="77777777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lang w:val="sr-Cyrl-RS"/>
              </w:rPr>
            </w:pPr>
          </w:p>
          <w:p w14:paraId="6A4CEC86" w14:textId="61FF012C" w:rsidR="006A10F9" w:rsidRPr="009E37F4" w:rsidRDefault="006A10F9" w:rsidP="00B47690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3.</w:t>
            </w:r>
            <w:r w:rsidR="000A0A90"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>3</w:t>
            </w: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Електронско подношење </w:t>
            </w:r>
            <w:r w:rsidR="009E37F4"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извештаја</w:t>
            </w:r>
          </w:p>
          <w:p w14:paraId="3B590196" w14:textId="77777777" w:rsidR="00ED20FF" w:rsidRPr="009E37F4" w:rsidRDefault="00ED20FF" w:rsidP="00B47690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1351074" w14:textId="77777777" w:rsidR="00ED20FF" w:rsidRPr="009E37F4" w:rsidRDefault="006A10F9" w:rsidP="00ED20F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Извештај о количини и врсти произведеног репродуктивног материјала у текућој години, потписан квалификованим електронским сертификатом, са пратећом документацијом, на имејл адресу надлежног органа.</w:t>
            </w:r>
            <w:r w:rsidR="000F13D2" w:rsidRPr="009E37F4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ED20FF" w:rsidRPr="009E37F4">
              <w:rPr>
                <w:color w:val="000000" w:themeColor="text1"/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1BC513A0" w14:textId="77777777" w:rsidR="00ED20FF" w:rsidRPr="009E37F4" w:rsidRDefault="00ED20FF" w:rsidP="00ED20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728EA0BD" w14:textId="77777777" w:rsidR="00ED20FF" w:rsidRPr="009E37F4" w:rsidRDefault="00ED20FF" w:rsidP="00ED20FF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9D58A8F" w14:textId="77777777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</w:p>
          <w:p w14:paraId="0EC6EF82" w14:textId="3B616DA8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4"/>
                <w:lang w:val="sr-Cyrl-RS"/>
              </w:rPr>
              <w:t xml:space="preserve">3.4. Увођење подношења нотификације </w:t>
            </w:r>
          </w:p>
          <w:p w14:paraId="23B8A14C" w14:textId="77777777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0DF0FF1" w14:textId="3A9C7E72" w:rsidR="00ED20FF" w:rsidRPr="009E37F4" w:rsidRDefault="00ED20FF" w:rsidP="00ED20FF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Предлог је да поступак треба свести на нотификацију. Обавеза државног органа је да прими и евидентира Извештај о количини и врсти произведеног репродуктивног материјала у текућој години. Самим тим, како нема никаквог одлучивања од стране органа, обавеза подносиоца се завршава са подношењем извештаја у законском року. </w:t>
            </w:r>
          </w:p>
          <w:p w14:paraId="08734F7F" w14:textId="77777777" w:rsidR="00ED20FF" w:rsidRPr="009E37F4" w:rsidRDefault="00ED20FF" w:rsidP="00ED20FF">
            <w:pPr>
              <w:contextualSpacing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4ABD5E6E" w14:textId="2EA37AF9" w:rsidR="00ED20FF" w:rsidRPr="009E37F4" w:rsidRDefault="00ED20FF" w:rsidP="00ED20FF">
            <w:pPr>
              <w:contextualSpacing/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За примену ове пре</w:t>
            </w:r>
            <w:r w:rsidR="00A708A1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>п</w:t>
            </w: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оруке </w:t>
            </w: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je</w:t>
            </w: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потребна измена  Закон</w:t>
            </w: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Latn-RS"/>
              </w:rPr>
              <w:t>a</w:t>
            </w:r>
            <w:r w:rsidRPr="009E37F4">
              <w:rPr>
                <w:rFonts w:ascii="Times New Roman" w:eastAsia="Times New Roman" w:hAnsi="Times New Roman"/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о репродуктивном материјалу шумског дрвећа   ("Сл. Гласник РС“ бр. 135/2004-1, 8/2005-7 (исправка), 41/2009-174)</w:t>
            </w:r>
          </w:p>
          <w:p w14:paraId="53DFBF96" w14:textId="77777777" w:rsidR="00B47690" w:rsidRDefault="00B47690" w:rsidP="00B4769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Latn-RS"/>
              </w:rPr>
            </w:pPr>
          </w:p>
          <w:p w14:paraId="49C5BF20" w14:textId="77777777" w:rsidR="00B61638" w:rsidRDefault="00B61638" w:rsidP="00B4769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Latn-RS"/>
              </w:rPr>
            </w:pPr>
          </w:p>
          <w:p w14:paraId="3EAB4AF8" w14:textId="5F8E6EEC" w:rsidR="00B61638" w:rsidRPr="00B61638" w:rsidRDefault="00B61638" w:rsidP="00B47690">
            <w:pPr>
              <w:pStyle w:val="NormalWeb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  <w:lang w:val="sr-Latn-RS"/>
              </w:rPr>
            </w:pPr>
          </w:p>
        </w:tc>
      </w:tr>
      <w:tr w:rsidR="009E37F4" w:rsidRPr="009E37F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9E37F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9E37F4" w:rsidRPr="009E37F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7DF0DF" w14:textId="77777777" w:rsidR="002D77E8" w:rsidRPr="009E37F4" w:rsidRDefault="002D77E8" w:rsidP="00B47690">
            <w:pPr>
              <w:pStyle w:val="auto-style4"/>
              <w:shd w:val="clear" w:color="auto" w:fill="FFFFFF"/>
              <w:spacing w:before="0" w:beforeAutospacing="0" w:after="0" w:afterAutospacing="0"/>
              <w:ind w:right="496"/>
              <w:jc w:val="right"/>
              <w:rPr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3F5CF143" w14:textId="77777777" w:rsidR="00A708A1" w:rsidRDefault="002D77E8" w:rsidP="00A708A1">
            <w:pPr>
              <w:pStyle w:val="auto-style4"/>
              <w:shd w:val="clear" w:color="auto" w:fill="FFFFFF"/>
              <w:spacing w:before="0" w:beforeAutospacing="0" w:after="0" w:afterAutospacing="0"/>
              <w:ind w:right="496"/>
              <w:jc w:val="right"/>
              <w:rPr>
                <w:b/>
                <w:color w:val="000000" w:themeColor="text1"/>
                <w:sz w:val="22"/>
                <w:szCs w:val="22"/>
                <w:lang w:val="sr-Latn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CS"/>
              </w:rPr>
              <w:t>НАЦРТ</w:t>
            </w:r>
            <w:r w:rsidR="00B47690" w:rsidRPr="009E37F4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  <w:p w14:paraId="7BFA030E" w14:textId="77777777" w:rsidR="00A708A1" w:rsidRDefault="002D77E8" w:rsidP="00B47690">
            <w:pPr>
              <w:pStyle w:val="auto-style4"/>
              <w:shd w:val="clear" w:color="auto" w:fill="FFFFFF"/>
              <w:spacing w:before="0" w:beforeAutospacing="0" w:after="0" w:afterAutospacing="0"/>
              <w:ind w:right="496"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lang w:val="sr-Cyrl-RS"/>
              </w:rPr>
              <w:t>ЗАКОН О ДОПУНИ</w:t>
            </w:r>
            <w:r w:rsidRPr="009E37F4">
              <w:rPr>
                <w:color w:val="000000" w:themeColor="text1"/>
              </w:rPr>
              <w:t xml:space="preserve"> </w:t>
            </w:r>
            <w:r w:rsidRPr="009E37F4">
              <w:rPr>
                <w:b/>
                <w:color w:val="000000" w:themeColor="text1"/>
                <w:sz w:val="22"/>
                <w:lang w:val="sr-Cyrl-RS"/>
              </w:rPr>
              <w:t>ЗАКОН</w:t>
            </w:r>
            <w:r w:rsidRPr="009E37F4">
              <w:rPr>
                <w:b/>
                <w:color w:val="000000" w:themeColor="text1"/>
                <w:sz w:val="22"/>
                <w:lang w:val="sr-Latn-RS"/>
              </w:rPr>
              <w:t>A</w:t>
            </w:r>
            <w:r w:rsidRPr="009E37F4">
              <w:rPr>
                <w:b/>
                <w:color w:val="000000" w:themeColor="text1"/>
                <w:sz w:val="22"/>
                <w:lang w:val="sr-Cyrl-RS"/>
              </w:rPr>
              <w:t xml:space="preserve"> О РЕПРОДУКТИВНОМ </w:t>
            </w:r>
          </w:p>
          <w:p w14:paraId="3E193162" w14:textId="41A50F51" w:rsidR="002D77E8" w:rsidRPr="009E37F4" w:rsidRDefault="002D77E8" w:rsidP="00A708A1">
            <w:pPr>
              <w:pStyle w:val="auto-style4"/>
              <w:shd w:val="clear" w:color="auto" w:fill="FFFFFF"/>
              <w:spacing w:before="0" w:beforeAutospacing="0" w:after="0" w:afterAutospacing="0"/>
              <w:ind w:right="496"/>
              <w:jc w:val="center"/>
              <w:rPr>
                <w:b/>
                <w:color w:val="000000" w:themeColor="text1"/>
                <w:sz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lang w:val="sr-Cyrl-RS"/>
              </w:rPr>
              <w:t>МАТЕРИЈАЛУ ШУМСКОГ ДРВЕЋА</w:t>
            </w:r>
          </w:p>
          <w:p w14:paraId="3A1B124C" w14:textId="77777777" w:rsidR="00A708A1" w:rsidRDefault="002D77E8" w:rsidP="00A708A1">
            <w:pPr>
              <w:pStyle w:val="auto-style4"/>
              <w:shd w:val="clear" w:color="auto" w:fill="FFFFFF"/>
              <w:jc w:val="center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CS"/>
              </w:rPr>
              <w:t>Члан 1.</w:t>
            </w:r>
          </w:p>
          <w:p w14:paraId="1951AF16" w14:textId="26AC468B" w:rsidR="002D77E8" w:rsidRPr="009E37F4" w:rsidRDefault="007F6281" w:rsidP="00A708A1">
            <w:pPr>
              <w:pStyle w:val="auto-style4"/>
              <w:shd w:val="clear" w:color="auto" w:fill="FFFFFF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У</w:t>
            </w:r>
            <w:r w:rsidRPr="009E37F4">
              <w:rPr>
                <w:color w:val="000000" w:themeColor="text1"/>
              </w:rPr>
              <w:t xml:space="preserve"> 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Закон</w:t>
            </w:r>
            <w:r w:rsidRPr="009E37F4">
              <w:rPr>
                <w:color w:val="000000" w:themeColor="text1"/>
                <w:sz w:val="22"/>
                <w:szCs w:val="22"/>
                <w:lang w:val="sr-Latn-RS"/>
              </w:rPr>
              <w:t>u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 xml:space="preserve"> о репродуктивном материјалу шумског дрвећа</w:t>
            </w:r>
            <w:r w:rsidRPr="009E37F4">
              <w:rPr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(„Службени гласник РС“ број: 135/2004-1, 8/2005-7 (исправка), 41/2009-174</w:t>
            </w:r>
            <w:r w:rsidRPr="009E37F4">
              <w:rPr>
                <w:color w:val="000000" w:themeColor="text1"/>
                <w:sz w:val="22"/>
                <w:szCs w:val="22"/>
                <w:lang w:val="sr-Latn-RS"/>
              </w:rPr>
              <w:t xml:space="preserve">) 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 xml:space="preserve">у члану 19. после става 2. додаје се став 3. који гласи: </w:t>
            </w:r>
          </w:p>
          <w:p w14:paraId="5492961B" w14:textId="058EA5F1" w:rsidR="007F6281" w:rsidRPr="009E37F4" w:rsidRDefault="007F6281" w:rsidP="007C5D46">
            <w:pPr>
              <w:pStyle w:val="auto-style4"/>
              <w:shd w:val="clear" w:color="auto" w:fill="FFFFFF"/>
              <w:ind w:firstLine="690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„</w:t>
            </w:r>
            <w:r w:rsidR="007C5D46" w:rsidRPr="009E37F4">
              <w:rPr>
                <w:color w:val="000000" w:themeColor="text1"/>
                <w:sz w:val="22"/>
                <w:szCs w:val="22"/>
                <w:lang w:val="sr-Cyrl-RS"/>
              </w:rPr>
              <w:t>Произвођач, односно увозник репродуктивног материјала, обавештења из става 1. и 2. овог члана мож</w:t>
            </w:r>
            <w:r w:rsidR="00283ADC" w:rsidRPr="009E37F4">
              <w:rPr>
                <w:color w:val="000000" w:themeColor="text1"/>
                <w:sz w:val="22"/>
                <w:szCs w:val="22"/>
                <w:lang w:val="sr-Cyrl-RS"/>
              </w:rPr>
              <w:t>е поднети  електронским путем. O</w:t>
            </w:r>
            <w:r w:rsidR="007C5D46" w:rsidRPr="009E37F4">
              <w:rPr>
                <w:color w:val="000000" w:themeColor="text1"/>
                <w:sz w:val="22"/>
                <w:szCs w:val="22"/>
                <w:lang w:val="sr-Cyrl-RS"/>
              </w:rPr>
              <w:t>бавештења морају да садрже истините податке</w:t>
            </w:r>
            <w:r w:rsidRPr="009E37F4">
              <w:rPr>
                <w:color w:val="000000" w:themeColor="text1"/>
                <w:sz w:val="22"/>
                <w:szCs w:val="22"/>
                <w:lang w:val="sr-Cyrl-RS"/>
              </w:rPr>
              <w:t>.“</w:t>
            </w:r>
          </w:p>
          <w:p w14:paraId="52427D50" w14:textId="5063DE10" w:rsidR="002D77E8" w:rsidRPr="009E37F4" w:rsidRDefault="002D77E8" w:rsidP="004F5A1D">
            <w:pPr>
              <w:pStyle w:val="auto-style5"/>
              <w:shd w:val="clear" w:color="auto" w:fill="FFFFFF"/>
              <w:spacing w:after="0"/>
              <w:jc w:val="center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9E37F4">
              <w:rPr>
                <w:bCs/>
                <w:color w:val="000000" w:themeColor="text1"/>
                <w:sz w:val="22"/>
                <w:szCs w:val="22"/>
                <w:lang w:val="sr-Cyrl-CS"/>
              </w:rPr>
              <w:t>Члан 2.</w:t>
            </w:r>
          </w:p>
          <w:p w14:paraId="35748BC7" w14:textId="77777777" w:rsidR="002D77E8" w:rsidRPr="009E37F4" w:rsidRDefault="002D77E8" w:rsidP="002D77E8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1E06682F" w14:textId="77777777" w:rsidR="00890640" w:rsidRPr="009E37F4" w:rsidRDefault="00890640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9763933" w14:textId="761851C8" w:rsidR="00890640" w:rsidRPr="009E37F4" w:rsidRDefault="00890640" w:rsidP="00DB19B9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9E37F4" w:rsidRPr="009E37F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9E37F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9E37F4" w:rsidRPr="009E37F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56C345" w14:textId="77777777" w:rsidR="00B47690" w:rsidRPr="009E37F4" w:rsidRDefault="00B47690" w:rsidP="00B47690">
            <w:pPr>
              <w:spacing w:after="12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550A9FD6" w14:textId="541F6AF3" w:rsidR="002D77E8" w:rsidRPr="009E37F4" w:rsidRDefault="002D77E8" w:rsidP="00B47690">
            <w:pPr>
              <w:spacing w:after="120"/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ПРЕГЛЕД ОДРЕДБИ</w:t>
            </w:r>
            <w:r w:rsidR="00B47690" w:rsidRPr="009E37F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9E37F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ЗАКОНА О РЕПРОДУКТИВНОМ МАТЕРИЈАЛУ ШУМСКОГ ДРВЕЋА КОЈЕ СЕ ДОПУЊУЈУ</w:t>
            </w:r>
          </w:p>
          <w:p w14:paraId="2178ECCD" w14:textId="500BED31" w:rsidR="00CA1CE9" w:rsidRPr="009E37F4" w:rsidRDefault="00CA1CE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6EC4AE16" w14:textId="5D1ABDA3" w:rsidR="007C5D46" w:rsidRPr="009E37F4" w:rsidRDefault="007C5D46" w:rsidP="007C5D46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Члан 19.</w:t>
            </w:r>
          </w:p>
          <w:p w14:paraId="65E9EFE7" w14:textId="77777777" w:rsidR="007C5D46" w:rsidRPr="009E37F4" w:rsidRDefault="007C5D46" w:rsidP="007C5D4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0A577B88" w14:textId="7C08E780" w:rsidR="007C5D46" w:rsidRPr="009E37F4" w:rsidRDefault="007C5D46" w:rsidP="007C5D4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О врсти и количини репродуктивног материјала произведеног до 31. октобра текуће године произвођач је дужан да обавести министарство најкасније до 15. новембра текуће године.</w:t>
            </w:r>
          </w:p>
          <w:p w14:paraId="7CA61427" w14:textId="77777777" w:rsidR="007C5D46" w:rsidRPr="009E37F4" w:rsidRDefault="007C5D46" w:rsidP="007C5D4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53105096" w14:textId="7D4FAD6F" w:rsidR="007C5D46" w:rsidRPr="009E37F4" w:rsidRDefault="007C5D46" w:rsidP="007C5D4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Увозник репродуктивног материјала је дужан да обавести министарство о врсти и количини увезеног репродуктивног материјала најкасније у року од 15 дана од дана увоза.</w:t>
            </w:r>
          </w:p>
          <w:p w14:paraId="5132D641" w14:textId="77777777" w:rsidR="007C5D46" w:rsidRPr="009E37F4" w:rsidRDefault="007C5D46" w:rsidP="007C5D46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  <w:p w14:paraId="30AA9427" w14:textId="77777777" w:rsidR="00890640" w:rsidRPr="009E37F4" w:rsidRDefault="007C5D46" w:rsidP="004F5A1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 w:rsidRPr="009E37F4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ПРОИЗВОЂАЧ, ОДНОСНО УВОЗНИК РЕПРОДУКТИВНОГ МАТЕРИЈАЛА, ОБАВЕШТЕЊА ИЗ СТАВА 1. И 2. ОВОГ ЧЛАНА МОЖЕ ПОДНЕТИ  ЕЛЕКТРОНСКИМ ПУТЕМ. ОБАВЕШТЕЊА МОРАЈУ ДА САДРЖЕ ИСТИНИТЕ ПОДАТКЕ.</w:t>
            </w:r>
          </w:p>
          <w:p w14:paraId="1506ADFF" w14:textId="35DB1467" w:rsidR="00B47690" w:rsidRPr="009E37F4" w:rsidRDefault="00B47690" w:rsidP="004F5A1D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</w:p>
        </w:tc>
      </w:tr>
      <w:tr w:rsidR="009E37F4" w:rsidRPr="009E37F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9E37F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E37F4">
              <w:rPr>
                <w:b/>
                <w:color w:val="000000" w:themeColor="text1"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E37F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319382" w14:textId="77777777" w:rsidR="00CA1CE9" w:rsidRPr="009E37F4" w:rsidRDefault="00CA1CE9" w:rsidP="00DB19B9">
            <w:pPr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  <w:p w14:paraId="779E791B" w14:textId="77777777" w:rsidR="00890640" w:rsidRDefault="00A708A1" w:rsidP="00FF0DF2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FF0DF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FF0DF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77E7FEC6" w:rsidR="005D6D61" w:rsidRPr="009E37F4" w:rsidRDefault="005D6D61" w:rsidP="00FF0DF2">
            <w:pPr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9E37F4" w:rsidRDefault="003E3C16" w:rsidP="003E3C16">
      <w:pP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</w:pPr>
    </w:p>
    <w:sectPr w:rsidR="003E3C16" w:rsidRPr="009E37F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2B24A" w14:textId="77777777" w:rsidR="0053416F" w:rsidRDefault="0053416F" w:rsidP="002A202F">
      <w:r>
        <w:separator/>
      </w:r>
    </w:p>
  </w:endnote>
  <w:endnote w:type="continuationSeparator" w:id="0">
    <w:p w14:paraId="61F61531" w14:textId="77777777" w:rsidR="0053416F" w:rsidRDefault="0053416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84F558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5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4AD23" w14:textId="77777777" w:rsidR="0053416F" w:rsidRDefault="0053416F" w:rsidP="002A202F">
      <w:r>
        <w:separator/>
      </w:r>
    </w:p>
  </w:footnote>
  <w:footnote w:type="continuationSeparator" w:id="0">
    <w:p w14:paraId="514C2ADC" w14:textId="77777777" w:rsidR="0053416F" w:rsidRDefault="0053416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0779"/>
    <w:multiLevelType w:val="hybridMultilevel"/>
    <w:tmpl w:val="E0EA10F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3"/>
  </w:num>
  <w:num w:numId="6">
    <w:abstractNumId w:val="12"/>
  </w:num>
  <w:num w:numId="7">
    <w:abstractNumId w:val="24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3"/>
  </w:num>
  <w:num w:numId="19">
    <w:abstractNumId w:val="6"/>
  </w:num>
  <w:num w:numId="20">
    <w:abstractNumId w:val="25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0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25F1"/>
    <w:rsid w:val="000326BC"/>
    <w:rsid w:val="00036812"/>
    <w:rsid w:val="00044F35"/>
    <w:rsid w:val="00044F63"/>
    <w:rsid w:val="00050616"/>
    <w:rsid w:val="00057E23"/>
    <w:rsid w:val="00061070"/>
    <w:rsid w:val="0006115D"/>
    <w:rsid w:val="00083993"/>
    <w:rsid w:val="00092B84"/>
    <w:rsid w:val="0009542A"/>
    <w:rsid w:val="00097E99"/>
    <w:rsid w:val="000A0A90"/>
    <w:rsid w:val="000A53F3"/>
    <w:rsid w:val="000A5CDC"/>
    <w:rsid w:val="000B54D7"/>
    <w:rsid w:val="000D5029"/>
    <w:rsid w:val="000E2036"/>
    <w:rsid w:val="000F13D2"/>
    <w:rsid w:val="000F5E72"/>
    <w:rsid w:val="001156BA"/>
    <w:rsid w:val="00116FD7"/>
    <w:rsid w:val="00120B9A"/>
    <w:rsid w:val="00123351"/>
    <w:rsid w:val="0015182D"/>
    <w:rsid w:val="00161847"/>
    <w:rsid w:val="00170CA7"/>
    <w:rsid w:val="001711C5"/>
    <w:rsid w:val="001822D7"/>
    <w:rsid w:val="00183BBB"/>
    <w:rsid w:val="001A023F"/>
    <w:rsid w:val="001A3FAC"/>
    <w:rsid w:val="001A6472"/>
    <w:rsid w:val="001B4E27"/>
    <w:rsid w:val="001C5538"/>
    <w:rsid w:val="001D0EDE"/>
    <w:rsid w:val="001D20E2"/>
    <w:rsid w:val="001E38DE"/>
    <w:rsid w:val="001F7B31"/>
    <w:rsid w:val="0020601F"/>
    <w:rsid w:val="00212DA5"/>
    <w:rsid w:val="0021347C"/>
    <w:rsid w:val="002323AC"/>
    <w:rsid w:val="00240650"/>
    <w:rsid w:val="00261404"/>
    <w:rsid w:val="002673B0"/>
    <w:rsid w:val="00275E2A"/>
    <w:rsid w:val="00275F83"/>
    <w:rsid w:val="00280F78"/>
    <w:rsid w:val="00283ADC"/>
    <w:rsid w:val="00296938"/>
    <w:rsid w:val="002A202F"/>
    <w:rsid w:val="002B19B4"/>
    <w:rsid w:val="002C4799"/>
    <w:rsid w:val="002C5329"/>
    <w:rsid w:val="002D5265"/>
    <w:rsid w:val="002D77E8"/>
    <w:rsid w:val="002F1BEC"/>
    <w:rsid w:val="002F4757"/>
    <w:rsid w:val="003128EB"/>
    <w:rsid w:val="00322199"/>
    <w:rsid w:val="003223C7"/>
    <w:rsid w:val="00326555"/>
    <w:rsid w:val="00334A65"/>
    <w:rsid w:val="003410E0"/>
    <w:rsid w:val="00350EAD"/>
    <w:rsid w:val="003651DB"/>
    <w:rsid w:val="003715A0"/>
    <w:rsid w:val="0037171F"/>
    <w:rsid w:val="0037337B"/>
    <w:rsid w:val="00376FD1"/>
    <w:rsid w:val="0039002C"/>
    <w:rsid w:val="003B44DB"/>
    <w:rsid w:val="003B4BC9"/>
    <w:rsid w:val="003B6298"/>
    <w:rsid w:val="003E2EB1"/>
    <w:rsid w:val="003E3C16"/>
    <w:rsid w:val="003E5513"/>
    <w:rsid w:val="00407D96"/>
    <w:rsid w:val="00427543"/>
    <w:rsid w:val="00432495"/>
    <w:rsid w:val="00444DA7"/>
    <w:rsid w:val="00445F89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1C8B"/>
    <w:rsid w:val="004E29D1"/>
    <w:rsid w:val="004F5A1D"/>
    <w:rsid w:val="00500566"/>
    <w:rsid w:val="005073A3"/>
    <w:rsid w:val="00513D24"/>
    <w:rsid w:val="00523608"/>
    <w:rsid w:val="00525C0A"/>
    <w:rsid w:val="0053416F"/>
    <w:rsid w:val="00535608"/>
    <w:rsid w:val="005379B8"/>
    <w:rsid w:val="00551479"/>
    <w:rsid w:val="00556688"/>
    <w:rsid w:val="0056162B"/>
    <w:rsid w:val="0056707B"/>
    <w:rsid w:val="00576201"/>
    <w:rsid w:val="00581A9D"/>
    <w:rsid w:val="0058446E"/>
    <w:rsid w:val="00587275"/>
    <w:rsid w:val="005A2503"/>
    <w:rsid w:val="005A41EA"/>
    <w:rsid w:val="005A7763"/>
    <w:rsid w:val="005B4F04"/>
    <w:rsid w:val="005B7CB9"/>
    <w:rsid w:val="005C275F"/>
    <w:rsid w:val="005D0023"/>
    <w:rsid w:val="005D6D61"/>
    <w:rsid w:val="005E21C4"/>
    <w:rsid w:val="005E4EE1"/>
    <w:rsid w:val="005F4D4B"/>
    <w:rsid w:val="005F4D59"/>
    <w:rsid w:val="005F5534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10F9"/>
    <w:rsid w:val="006B2016"/>
    <w:rsid w:val="006C5349"/>
    <w:rsid w:val="006C5F2A"/>
    <w:rsid w:val="006C662C"/>
    <w:rsid w:val="006F3371"/>
    <w:rsid w:val="006F4A5C"/>
    <w:rsid w:val="00715F5C"/>
    <w:rsid w:val="007278C1"/>
    <w:rsid w:val="00733493"/>
    <w:rsid w:val="00737F1D"/>
    <w:rsid w:val="00782816"/>
    <w:rsid w:val="00785A46"/>
    <w:rsid w:val="007861E3"/>
    <w:rsid w:val="007916D0"/>
    <w:rsid w:val="007940D6"/>
    <w:rsid w:val="00794C97"/>
    <w:rsid w:val="007B1740"/>
    <w:rsid w:val="007C5D46"/>
    <w:rsid w:val="007C61B5"/>
    <w:rsid w:val="007D3889"/>
    <w:rsid w:val="007D39E4"/>
    <w:rsid w:val="007D43A7"/>
    <w:rsid w:val="007E1695"/>
    <w:rsid w:val="007F204C"/>
    <w:rsid w:val="007F6281"/>
    <w:rsid w:val="00800354"/>
    <w:rsid w:val="00804060"/>
    <w:rsid w:val="008166C9"/>
    <w:rsid w:val="00822B66"/>
    <w:rsid w:val="00824E43"/>
    <w:rsid w:val="0083396E"/>
    <w:rsid w:val="00833D8C"/>
    <w:rsid w:val="00834C9A"/>
    <w:rsid w:val="0084708C"/>
    <w:rsid w:val="00850AD5"/>
    <w:rsid w:val="00852739"/>
    <w:rsid w:val="008629CC"/>
    <w:rsid w:val="00865EBB"/>
    <w:rsid w:val="0087359B"/>
    <w:rsid w:val="00877567"/>
    <w:rsid w:val="00886C36"/>
    <w:rsid w:val="00890640"/>
    <w:rsid w:val="00890C47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91A18"/>
    <w:rsid w:val="00994A16"/>
    <w:rsid w:val="009A30D3"/>
    <w:rsid w:val="009D03A7"/>
    <w:rsid w:val="009E0479"/>
    <w:rsid w:val="009E37F4"/>
    <w:rsid w:val="00A0102E"/>
    <w:rsid w:val="00A12960"/>
    <w:rsid w:val="00A1570D"/>
    <w:rsid w:val="00A22386"/>
    <w:rsid w:val="00A259A8"/>
    <w:rsid w:val="00A56B75"/>
    <w:rsid w:val="00A708A1"/>
    <w:rsid w:val="00A71C04"/>
    <w:rsid w:val="00AA0017"/>
    <w:rsid w:val="00AA4BC5"/>
    <w:rsid w:val="00AB09B3"/>
    <w:rsid w:val="00AB51F3"/>
    <w:rsid w:val="00AC02D1"/>
    <w:rsid w:val="00AC673C"/>
    <w:rsid w:val="00B06019"/>
    <w:rsid w:val="00B07409"/>
    <w:rsid w:val="00B1006E"/>
    <w:rsid w:val="00B178FB"/>
    <w:rsid w:val="00B33E88"/>
    <w:rsid w:val="00B47690"/>
    <w:rsid w:val="00B5252A"/>
    <w:rsid w:val="00B61638"/>
    <w:rsid w:val="00B63DB1"/>
    <w:rsid w:val="00B67138"/>
    <w:rsid w:val="00B6715C"/>
    <w:rsid w:val="00B81CFE"/>
    <w:rsid w:val="00B903AE"/>
    <w:rsid w:val="00B9157F"/>
    <w:rsid w:val="00B95225"/>
    <w:rsid w:val="00BA299C"/>
    <w:rsid w:val="00BA55D3"/>
    <w:rsid w:val="00BA6759"/>
    <w:rsid w:val="00BA7204"/>
    <w:rsid w:val="00BB2C8C"/>
    <w:rsid w:val="00BC6826"/>
    <w:rsid w:val="00BE6903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94115"/>
    <w:rsid w:val="00C965B1"/>
    <w:rsid w:val="00CA1CE9"/>
    <w:rsid w:val="00CB1A4E"/>
    <w:rsid w:val="00CC29F6"/>
    <w:rsid w:val="00CD2287"/>
    <w:rsid w:val="00CD4876"/>
    <w:rsid w:val="00CD5BBB"/>
    <w:rsid w:val="00CE0685"/>
    <w:rsid w:val="00D37EA5"/>
    <w:rsid w:val="00D72AE4"/>
    <w:rsid w:val="00D7351E"/>
    <w:rsid w:val="00D73628"/>
    <w:rsid w:val="00D73918"/>
    <w:rsid w:val="00D967D7"/>
    <w:rsid w:val="00DA125D"/>
    <w:rsid w:val="00DB19B9"/>
    <w:rsid w:val="00DB25DA"/>
    <w:rsid w:val="00DB6ED8"/>
    <w:rsid w:val="00DC4BC2"/>
    <w:rsid w:val="00DE057D"/>
    <w:rsid w:val="00E0020F"/>
    <w:rsid w:val="00E118C7"/>
    <w:rsid w:val="00E1427B"/>
    <w:rsid w:val="00E14E0D"/>
    <w:rsid w:val="00E2143C"/>
    <w:rsid w:val="00E22B8B"/>
    <w:rsid w:val="00E305EA"/>
    <w:rsid w:val="00E317D1"/>
    <w:rsid w:val="00E40DF0"/>
    <w:rsid w:val="00E4267B"/>
    <w:rsid w:val="00E47DAC"/>
    <w:rsid w:val="00E52C1E"/>
    <w:rsid w:val="00E63C8A"/>
    <w:rsid w:val="00E70BF6"/>
    <w:rsid w:val="00EC64F5"/>
    <w:rsid w:val="00EC652C"/>
    <w:rsid w:val="00ED20FF"/>
    <w:rsid w:val="00F11C98"/>
    <w:rsid w:val="00F12E47"/>
    <w:rsid w:val="00F1576D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0DF2"/>
    <w:rsid w:val="00FF2320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291B365E-C29A-4F36-BA45-DFE6CB92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4">
    <w:name w:val="auto-style4"/>
    <w:basedOn w:val="Normal"/>
    <w:rsid w:val="00DB6ED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5">
    <w:name w:val="auto-style5"/>
    <w:basedOn w:val="Normal"/>
    <w:rsid w:val="00DB6ED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75F8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FBE12-C5DA-43C5-A556-301C3317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2019-06-04T17:32:00Z</dcterms:created>
  <dcterms:modified xsi:type="dcterms:W3CDTF">2019-07-12T15:10:00Z</dcterms:modified>
</cp:coreProperties>
</file>