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38584" w14:textId="77777777" w:rsidR="00276288" w:rsidRPr="00877D2F" w:rsidRDefault="00276288" w:rsidP="000E2036">
      <w:pPr>
        <w:pStyle w:val="NormalWeb"/>
        <w:spacing w:before="0" w:beforeAutospacing="0" w:after="0" w:afterAutospacing="0" w:line="336" w:lineRule="atLeast"/>
        <w:jc w:val="center"/>
        <w:rPr>
          <w:b/>
          <w:color w:val="000000" w:themeColor="text1"/>
          <w:sz w:val="22"/>
          <w:szCs w:val="22"/>
          <w:lang w:val="sr-Cyrl-RS"/>
        </w:rPr>
      </w:pPr>
      <w:bookmarkStart w:id="0" w:name="_GoBack"/>
      <w:bookmarkEnd w:id="0"/>
      <w:r w:rsidRPr="00877D2F">
        <w:rPr>
          <w:b/>
          <w:color w:val="000000" w:themeColor="text1"/>
          <w:sz w:val="22"/>
          <w:szCs w:val="22"/>
          <w:lang w:val="sr-Cyrl-RS"/>
        </w:rPr>
        <w:t>СПАЈАЊЕ ПОСТУПКА ИЗДАВАЊА САГЛАСНОСТИ НА ПЛАНСКА ДОКУМЕНТА У ЛОВСТВУ И САГЛАСНОСТИ ЗА ОГРАЂИВАЊА ЛОВИШТА</w:t>
      </w:r>
    </w:p>
    <w:p w14:paraId="299395FC" w14:textId="77777777" w:rsidR="00B1006E" w:rsidRPr="00793022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color w:val="000000" w:themeColor="text1"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793022" w:rsidRPr="00793022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793022" w:rsidRDefault="000E2036" w:rsidP="00850AD5">
            <w:pPr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A2DC611" w14:textId="77777777" w:rsidR="003A274A" w:rsidRDefault="00F13605" w:rsidP="005F0F44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b/>
                <w:color w:val="000000" w:themeColor="text1"/>
                <w:sz w:val="22"/>
                <w:szCs w:val="22"/>
                <w:lang w:val="sr-Cyrl-RS"/>
              </w:rPr>
              <w:t>Сагласност на планска документа у ловству</w:t>
            </w:r>
            <w:r w:rsidR="005F0F44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 и </w:t>
            </w:r>
            <w:r w:rsidR="003A274A" w:rsidRPr="00793022">
              <w:rPr>
                <w:b/>
                <w:color w:val="000000" w:themeColor="text1"/>
                <w:sz w:val="22"/>
                <w:szCs w:val="22"/>
                <w:lang w:val="sr-Cyrl-RS"/>
              </w:rPr>
              <w:t>ограђивање ловишта</w:t>
            </w:r>
          </w:p>
          <w:p w14:paraId="0E4673D7" w14:textId="77777777" w:rsidR="009D4D91" w:rsidRDefault="009D4D91" w:rsidP="005F0F44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7D100DEF" w14:textId="77777777" w:rsidR="009D4D91" w:rsidRDefault="009D4D91" w:rsidP="005F0F44">
            <w:pPr>
              <w:pStyle w:val="NormalWeb"/>
              <w:spacing w:before="120" w:beforeAutospacing="0" w:after="12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color w:val="000000" w:themeColor="text1"/>
                <w:sz w:val="22"/>
                <w:szCs w:val="22"/>
                <w:lang w:val="sr-Cyrl-RS"/>
              </w:rPr>
              <w:t>Настао спајањем поступака:</w:t>
            </w:r>
          </w:p>
          <w:p w14:paraId="5240FBAF" w14:textId="77777777" w:rsidR="009D4D91" w:rsidRDefault="009D4D91" w:rsidP="005F0F44">
            <w:pPr>
              <w:pStyle w:val="NormalWeb"/>
              <w:spacing w:before="120" w:beforeAutospacing="0" w:after="12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color w:val="000000" w:themeColor="text1"/>
                <w:sz w:val="22"/>
                <w:szCs w:val="22"/>
                <w:lang w:val="sr-Cyrl-RS"/>
              </w:rPr>
              <w:t>Сагласност на планска документа у ловству</w:t>
            </w:r>
          </w:p>
          <w:p w14:paraId="4F892E50" w14:textId="6CBC1084" w:rsidR="009D4D91" w:rsidRDefault="009D4D91" w:rsidP="005F0F44">
            <w:pPr>
              <w:pStyle w:val="NormalWeb"/>
              <w:spacing w:before="120" w:beforeAutospacing="0" w:after="12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color w:val="000000" w:themeColor="text1"/>
                <w:sz w:val="22"/>
                <w:szCs w:val="22"/>
                <w:lang w:val="sr-Cyrl-RS"/>
              </w:rPr>
              <w:t>и</w:t>
            </w:r>
          </w:p>
          <w:p w14:paraId="5FD56B01" w14:textId="24A7F746" w:rsidR="009D4D91" w:rsidRPr="009D4D91" w:rsidRDefault="009D4D91" w:rsidP="005F0F44">
            <w:pPr>
              <w:pStyle w:val="NormalWeb"/>
              <w:spacing w:before="120" w:beforeAutospacing="0" w:after="12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color w:val="000000" w:themeColor="text1"/>
                <w:sz w:val="22"/>
                <w:szCs w:val="22"/>
                <w:lang w:val="sr-Cyrl-RS"/>
              </w:rPr>
              <w:t>Сагласност за ограђивање ловишта</w:t>
            </w:r>
          </w:p>
        </w:tc>
      </w:tr>
      <w:tr w:rsidR="00793022" w:rsidRPr="00793022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793022" w:rsidRDefault="000E2036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b/>
                <w:color w:val="000000" w:themeColor="text1"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2ADCDD51" w14:textId="77777777" w:rsidR="000E2036" w:rsidRPr="00793022" w:rsidRDefault="00F13605" w:rsidP="00793022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b/>
                <w:color w:val="000000" w:themeColor="text1"/>
                <w:sz w:val="22"/>
                <w:szCs w:val="22"/>
                <w:lang w:val="sr-Cyrl-RS"/>
              </w:rPr>
              <w:t>16.04.0021</w:t>
            </w:r>
          </w:p>
          <w:p w14:paraId="76B78B5F" w14:textId="76233208" w:rsidR="003A274A" w:rsidRPr="00793022" w:rsidRDefault="003A274A" w:rsidP="00793022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b/>
                <w:color w:val="000000" w:themeColor="text1"/>
                <w:sz w:val="22"/>
                <w:szCs w:val="22"/>
                <w:lang w:val="sr-Cyrl-RS"/>
              </w:rPr>
              <w:t>16.04.0025</w:t>
            </w:r>
          </w:p>
        </w:tc>
      </w:tr>
      <w:tr w:rsidR="00793022" w:rsidRPr="00793022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793022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b/>
                <w:color w:val="000000" w:themeColor="text1"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793022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b/>
                <w:color w:val="000000" w:themeColor="text1"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3A5EFC40" w14:textId="77777777" w:rsidR="00092B84" w:rsidRPr="00793022" w:rsidRDefault="00F13605" w:rsidP="00793022">
            <w:pPr>
              <w:pStyle w:val="NormalWeb"/>
              <w:spacing w:before="120" w:beforeAutospacing="0" w:after="12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color w:val="000000" w:themeColor="text1"/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36E7532C" w:rsidR="00F13605" w:rsidRPr="00793022" w:rsidRDefault="00F13605" w:rsidP="00793022">
            <w:pPr>
              <w:pStyle w:val="NormalWeb"/>
              <w:spacing w:before="120" w:beforeAutospacing="0" w:after="12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color w:val="000000" w:themeColor="text1"/>
                <w:sz w:val="22"/>
                <w:szCs w:val="22"/>
                <w:lang w:val="sr-Cyrl-RS"/>
              </w:rPr>
              <w:t>Управа за шуме</w:t>
            </w:r>
          </w:p>
        </w:tc>
      </w:tr>
      <w:tr w:rsidR="00793022" w:rsidRPr="00793022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793022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b/>
                <w:color w:val="000000" w:themeColor="text1"/>
                <w:sz w:val="22"/>
                <w:szCs w:val="22"/>
                <w:lang w:val="sr-Cyrl-RS"/>
              </w:rPr>
              <w:t>Правни о</w:t>
            </w:r>
            <w:r w:rsidR="00B903AE" w:rsidRPr="00793022">
              <w:rPr>
                <w:b/>
                <w:color w:val="000000" w:themeColor="text1"/>
                <w:sz w:val="22"/>
                <w:szCs w:val="22"/>
                <w:lang w:val="sr-Cyrl-RS"/>
              </w:rPr>
              <w:t>квир</w:t>
            </w:r>
            <w:r w:rsidR="00DC4BC2" w:rsidRPr="00793022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BE8FF88" w14:textId="0F0BAFB3" w:rsidR="00AA41F5" w:rsidRPr="00793022" w:rsidRDefault="008B775B" w:rsidP="00793022">
            <w:pPr>
              <w:pStyle w:val="ListParagraph"/>
              <w:numPr>
                <w:ilvl w:val="0"/>
                <w:numId w:val="28"/>
              </w:numPr>
              <w:spacing w:before="120" w:after="120"/>
              <w:ind w:left="346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Закон о дивљачи и ловству </w:t>
            </w:r>
            <w:r w:rsidRPr="00793022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("Сл. </w:t>
            </w:r>
            <w:r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Гласник РС“ бр.</w:t>
            </w:r>
            <w:r w:rsidR="00F13605"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18/2010</w:t>
            </w:r>
            <w:r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>)</w:t>
            </w:r>
          </w:p>
          <w:p w14:paraId="2CCB5DCC" w14:textId="4E602A49" w:rsidR="00645199" w:rsidRPr="00793022" w:rsidRDefault="00F13605" w:rsidP="00276288">
            <w:pPr>
              <w:pStyle w:val="ListParagraph"/>
              <w:numPr>
                <w:ilvl w:val="0"/>
                <w:numId w:val="28"/>
              </w:numPr>
              <w:spacing w:before="120" w:after="120"/>
              <w:ind w:left="346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Правилник о садржини и начину израде планских </w:t>
            </w:r>
            <w:r w:rsidR="00163516"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д</w:t>
            </w:r>
            <w:r w:rsidR="008B775B"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окумената у ловству </w:t>
            </w:r>
            <w:r w:rsidR="008B775B" w:rsidRPr="00793022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("Сл. </w:t>
            </w:r>
            <w:r w:rsidR="008B775B"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Гласник РС“ бр.</w:t>
            </w:r>
            <w:r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9/2012</w:t>
            </w:r>
            <w:r w:rsidR="008B775B"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>)</w:t>
            </w:r>
          </w:p>
        </w:tc>
      </w:tr>
      <w:tr w:rsidR="00793022" w:rsidRPr="00793022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793022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79302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79302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79302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79302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79302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2D224901" w14:textId="5A431E91" w:rsidR="00D73918" w:rsidRPr="00793022" w:rsidRDefault="00163516" w:rsidP="00793022">
            <w:pPr>
              <w:pStyle w:val="ListParagraph"/>
              <w:numPr>
                <w:ilvl w:val="0"/>
                <w:numId w:val="32"/>
              </w:num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Закон о </w:t>
            </w:r>
            <w:r w:rsidR="008B775B"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дивљачи и ловству </w:t>
            </w:r>
            <w:r w:rsidR="008B775B" w:rsidRPr="00793022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("Сл. </w:t>
            </w:r>
            <w:r w:rsidR="008B775B"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Гласник РС“ бр.</w:t>
            </w:r>
            <w:r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18/2010</w:t>
            </w:r>
            <w:r w:rsidR="008B775B"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>)</w:t>
            </w:r>
          </w:p>
          <w:p w14:paraId="55CB4618" w14:textId="5BF877AB" w:rsidR="00E56786" w:rsidRPr="00793022" w:rsidRDefault="00E56786" w:rsidP="00276288">
            <w:pPr>
              <w:pStyle w:val="ListParagraph"/>
              <w:numPr>
                <w:ilvl w:val="0"/>
                <w:numId w:val="32"/>
              </w:num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Правилник о садржини и начину израд</w:t>
            </w:r>
            <w:r w:rsidR="008B775B"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е планских докумената у ловству </w:t>
            </w:r>
            <w:r w:rsidR="008B775B" w:rsidRPr="00793022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("Сл. </w:t>
            </w:r>
            <w:r w:rsidR="008B775B"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Гласник РС“ бр.</w:t>
            </w:r>
            <w:r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9/2012</w:t>
            </w:r>
            <w:r w:rsidR="008B775B"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>)</w:t>
            </w:r>
          </w:p>
        </w:tc>
      </w:tr>
      <w:tr w:rsidR="00793022" w:rsidRPr="00793022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793022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b/>
                <w:color w:val="000000" w:themeColor="text1"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793022">
              <w:rPr>
                <w:b/>
                <w:color w:val="000000" w:themeColor="text1"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9FD46F9" w:rsidR="00804060" w:rsidRPr="00793022" w:rsidRDefault="008B775B" w:rsidP="00DD44E9">
            <w:pPr>
              <w:pStyle w:val="NormalWeb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color w:val="000000" w:themeColor="text1"/>
                <w:sz w:val="22"/>
                <w:szCs w:val="22"/>
                <w:lang w:val="sr-Cyrl-RS"/>
              </w:rPr>
              <w:t xml:space="preserve">Четврти квартал </w:t>
            </w:r>
            <w:r w:rsidR="00DD44E9" w:rsidRPr="00793022">
              <w:rPr>
                <w:color w:val="000000" w:themeColor="text1"/>
                <w:sz w:val="22"/>
                <w:szCs w:val="22"/>
                <w:lang w:val="sr-Cyrl-RS"/>
              </w:rPr>
              <w:t>20</w:t>
            </w:r>
            <w:r w:rsidR="00DD44E9">
              <w:rPr>
                <w:color w:val="000000" w:themeColor="text1"/>
                <w:sz w:val="22"/>
                <w:szCs w:val="22"/>
                <w:lang w:val="sr-Latn-RS"/>
              </w:rPr>
              <w:t>20</w:t>
            </w:r>
            <w:r w:rsidRPr="00793022">
              <w:rPr>
                <w:color w:val="000000" w:themeColor="text1"/>
                <w:sz w:val="22"/>
                <w:szCs w:val="22"/>
                <w:lang w:val="sr-Cyrl-RS"/>
              </w:rPr>
              <w:t xml:space="preserve">. </w:t>
            </w:r>
            <w:r w:rsidR="00446073" w:rsidRPr="00793022">
              <w:rPr>
                <w:color w:val="000000" w:themeColor="text1"/>
                <w:sz w:val="22"/>
                <w:szCs w:val="22"/>
                <w:lang w:val="sr-Cyrl-RS"/>
              </w:rPr>
              <w:t>године</w:t>
            </w:r>
            <w:r w:rsidRPr="00793022">
              <w:rPr>
                <w:color w:val="000000" w:themeColor="text1"/>
                <w:sz w:val="22"/>
                <w:szCs w:val="22"/>
                <w:lang w:val="sr-Cyrl-RS"/>
              </w:rPr>
              <w:t>.</w:t>
            </w:r>
          </w:p>
        </w:tc>
      </w:tr>
      <w:tr w:rsidR="00793022" w:rsidRPr="00793022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793022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b/>
                <w:color w:val="000000" w:themeColor="text1"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793022" w:rsidRPr="00793022" w14:paraId="4635A4BE" w14:textId="77777777" w:rsidTr="00CA1CE9">
        <w:tc>
          <w:tcPr>
            <w:tcW w:w="9060" w:type="dxa"/>
            <w:gridSpan w:val="2"/>
          </w:tcPr>
          <w:p w14:paraId="2FFCCBBE" w14:textId="77777777" w:rsidR="00F73B25" w:rsidRPr="00793022" w:rsidRDefault="00F73B25" w:rsidP="00446073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</w:pPr>
          </w:p>
          <w:p w14:paraId="6F27739F" w14:textId="673A0D37" w:rsidR="003A274A" w:rsidRPr="00793022" w:rsidRDefault="003A274A" w:rsidP="00446073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  <w:t xml:space="preserve">Анализом административног поступка 16.04.0025 и кроз разговоре са службеницима дошло се до закључка да ограђивање дела ловишта повлачи за собом и израду Програма газдовања за ограђени део ловишта а овај програм нако тога мора да се инкорпорира као саставног дела Ловне основе ловишта. На овај начин привредни субјект сноси непотребне трошкове како у виду такси и накнада тако и у виду времена које му је потребно да спроведе све административне поступке. </w:t>
            </w:r>
          </w:p>
          <w:p w14:paraId="578B8E9A" w14:textId="77777777" w:rsidR="003A274A" w:rsidRPr="00793022" w:rsidRDefault="003A274A" w:rsidP="00446073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2D9BAA30" w14:textId="77777777" w:rsidR="00446073" w:rsidRPr="00793022" w:rsidRDefault="00446073" w:rsidP="00446073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69A7948C" w14:textId="52DF9E8D" w:rsidR="00AA41F5" w:rsidRPr="00793022" w:rsidRDefault="006831E9" w:rsidP="002C3AB4">
            <w:pPr>
              <w:spacing w:before="120" w:after="120"/>
              <w:ind w:left="60"/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  <w:r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Потребно је претходно нагласити да планска документа која могу бити предмет овог поступка јесу Ловна основа</w:t>
            </w:r>
            <w:r w:rsidR="0044368D" w:rsidRPr="00793022">
              <w:rPr>
                <w:rFonts w:ascii="Times New Roman" w:hAnsi="Times New Roman"/>
                <w:color w:val="000000" w:themeColor="text1"/>
                <w:sz w:val="22"/>
              </w:rPr>
              <w:t>,</w:t>
            </w:r>
            <w:r w:rsidR="00AA41F5" w:rsidRPr="00793022">
              <w:rPr>
                <w:rFonts w:ascii="Times New Roman" w:hAnsi="Times New Roman"/>
                <w:color w:val="000000" w:themeColor="text1"/>
                <w:sz w:val="22"/>
              </w:rPr>
              <w:t xml:space="preserve"> програм газдовања за ограђени део ловишта и програм насељавања дивљачи.</w:t>
            </w:r>
            <w:r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 Ловна основа је документ који се доноси за период од 10 година док се </w:t>
            </w:r>
            <w:r w:rsidR="00AA41F5"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друга два планска документа доносе по потреби.</w:t>
            </w:r>
            <w:r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 </w:t>
            </w:r>
            <w:r w:rsidR="00F13605"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Анализом правног оквира и у разговору са службеницима </w:t>
            </w:r>
            <w:r w:rsidR="00D1484A"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утврђено је да је чланом 37. Закон о дивљачи и ловству</w:t>
            </w:r>
            <w:r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 подносилац захтева </w:t>
            </w:r>
            <w:r w:rsidR="00D1484A"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који</w:t>
            </w:r>
            <w:r w:rsidR="00AA41F5"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 жели да спроведе ограђивање дела ловишта </w:t>
            </w:r>
            <w:r w:rsidR="00D1484A"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потребно да  добије сагласнос</w:t>
            </w:r>
            <w:r w:rsidR="00A25299"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т</w:t>
            </w:r>
            <w:r w:rsidR="00AA41F5"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 од власника дела ловишта који планира да огради и сагласност </w:t>
            </w:r>
            <w:r w:rsidR="00D1484A"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Министарства </w:t>
            </w:r>
            <w:r w:rsidR="00AA41F5"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на програм газдовања за ограђени део ловишта</w:t>
            </w:r>
            <w:r w:rsidR="00D1484A"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. Даље је утврђено да подносилац захтева</w:t>
            </w:r>
            <w:r w:rsidR="00AA41F5"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 мора да </w:t>
            </w:r>
            <w:r w:rsidR="00AA41F5"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lastRenderedPageBreak/>
              <w:t>инкорпорира тај програм у Ловну основу иста је ситуација и са програмом насељавања дивљачи. На овај начин подносилац захтева сноси непотребне трошкове у виду накнаде и такси за добијање сагласности било за програм газдовања за ограђени део ловишта или за програм насељавања дивљачи. Ови плански документи ће свакако бити предмет провере и верификације кроз измене Ловне основе која мора да уследи након промена у ловишту.</w:t>
            </w:r>
            <w:r w:rsidR="00D1484A"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 </w:t>
            </w:r>
          </w:p>
          <w:p w14:paraId="795C6CA1" w14:textId="3D46863C" w:rsidR="001041BA" w:rsidRPr="00793022" w:rsidRDefault="009113D6" w:rsidP="002C3AB4">
            <w:pPr>
              <w:spacing w:before="120" w:after="120"/>
              <w:ind w:left="60"/>
              <w:rPr>
                <w:rFonts w:ascii="Times New Roman" w:hAnsi="Times New Roman"/>
                <w:color w:val="000000" w:themeColor="text1"/>
                <w:sz w:val="22"/>
                <w:lang w:val="sr-Latn-RS"/>
              </w:rPr>
            </w:pPr>
            <w:r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Утврђено је да у пракси постоје две ситуације: прва ситуација је када се сагласност даје у форми решења (у случајевима када управњачки орган корисника ловишта донесе плански документ и такав упути у Министарство на сагласност) и друга ситуација је када се сагласност даје у форми претходне сагласности (подносилац захтева тражи претходну сагласност и на основу ње усваја план који се касније проследи Управи за шуме на верификацију). </w:t>
            </w:r>
            <w:r w:rsidR="00344920"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На овај начин подносиоци захтева покушавају да пренесу део одговорноси на само Министарство и одређене одредбе планских докумената нису у складу са њиховим капацитетима и могућностима.</w:t>
            </w:r>
          </w:p>
          <w:p w14:paraId="70B00B0B" w14:textId="53AB83F3" w:rsidR="001041BA" w:rsidRPr="00793022" w:rsidRDefault="001041BA" w:rsidP="00BD27D8">
            <w:pPr>
              <w:spacing w:before="120" w:after="120"/>
              <w:ind w:left="60"/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  <w:r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Анализом овог поступка је утврђено да се плански документ за који се тражи сагласност доставља у два примерка. На овај начин се за подносиоца захтева ствара непотребно оптерећење и повећање директних трошкова поступка. Поред тога се обрада и архивирање и чување предмета компликује за службеника.</w:t>
            </w:r>
            <w:r w:rsidR="002C3AB4" w:rsidRPr="00793022">
              <w:rPr>
                <w:rFonts w:ascii="Times New Roman" w:hAnsi="Times New Roman"/>
                <w:color w:val="000000" w:themeColor="text1"/>
                <w:sz w:val="22"/>
              </w:rPr>
              <w:t xml:space="preserve"> </w:t>
            </w:r>
          </w:p>
          <w:p w14:paraId="74A7D5DF" w14:textId="0D443784" w:rsidR="00823416" w:rsidRPr="00793022" w:rsidRDefault="00823416" w:rsidP="002C3AB4">
            <w:pPr>
              <w:spacing w:before="120" w:after="120"/>
              <w:ind w:left="60"/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  <w:r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Утврђено је да се поред таксе за захтев и таксе на решење наплаћује и Накнада трошкова поступка за ловну основу која износи 40.000,00 рсд односно Накнада трошкова поступка за ревизију ловне основе која износи 30.000,00 рсд. Ове накнаде су предвиђене Одлуком о висини трошкова поступка и таксама коју доноси директор Управе за шуме. Овај поступак не захтева образовање комисије нити ствара било које друге додатне трошкове  Управи за шуме, поступак по захтеву спроводи један службеник. </w:t>
            </w:r>
            <w:r w:rsidR="00AA41F5"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Одлука директора нема основа у закону нити подзаконским актима.</w:t>
            </w:r>
            <w:r w:rsidR="0003190F"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 Потребно је да </w:t>
            </w:r>
            <w:r w:rsidR="004B0E2E"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се накнаде пропишу у Правилнику </w:t>
            </w:r>
            <w:r w:rsidR="004B0E2E"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о садржини и начину израде планских докумената у ловству.</w:t>
            </w:r>
          </w:p>
          <w:p w14:paraId="13132A4F" w14:textId="6B341622" w:rsidR="00F13605" w:rsidRPr="00793022" w:rsidRDefault="00793022" w:rsidP="00163516">
            <w:pPr>
              <w:spacing w:before="120" w:after="120"/>
              <w:ind w:left="60"/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  <w:r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Образац захтева је у слободној форми. </w:t>
            </w:r>
          </w:p>
          <w:p w14:paraId="76DCA3C1" w14:textId="77777777" w:rsidR="00446073" w:rsidRPr="00793022" w:rsidRDefault="00446073" w:rsidP="00446073">
            <w:pPr>
              <w:spacing w:line="259" w:lineRule="auto"/>
              <w:contextualSpacing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</w:pPr>
            <w:r w:rsidRPr="00793022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Поступак подразумева подношење захтева лично</w:t>
            </w:r>
            <w:r w:rsidRPr="00793022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Cyrl-RS"/>
              </w:rPr>
              <w:t xml:space="preserve"> на писарници или поштом</w:t>
            </w:r>
            <w:r w:rsidRPr="00793022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. Још увек није успостављена пуна електронска управа, нити поједини сегменти електронске комуникације.</w:t>
            </w:r>
          </w:p>
          <w:p w14:paraId="4BCB02C2" w14:textId="14BB774E" w:rsidR="00446073" w:rsidRPr="00793022" w:rsidRDefault="00446073" w:rsidP="00446073">
            <w:pPr>
              <w:spacing w:line="259" w:lineRule="auto"/>
              <w:contextualSpacing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</w:pPr>
          </w:p>
        </w:tc>
      </w:tr>
      <w:tr w:rsidR="00793022" w:rsidRPr="00793022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793022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793022" w:rsidRPr="00793022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793022" w:rsidRDefault="00C70F1B" w:rsidP="00C70F1B">
            <w:pPr>
              <w:pStyle w:val="NormalWeb"/>
              <w:spacing w:before="120" w:beforeAutospacing="0" w:after="120" w:afterAutospacing="0"/>
              <w:rPr>
                <w:b/>
                <w:color w:val="000000" w:themeColor="text1"/>
                <w:sz w:val="2"/>
                <w:szCs w:val="22"/>
                <w:lang w:val="sr-Cyrl-RS"/>
              </w:rPr>
            </w:pPr>
          </w:p>
        </w:tc>
      </w:tr>
      <w:tr w:rsidR="00793022" w:rsidRPr="00793022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793022" w:rsidRPr="00793022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79302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4"/>
                      <w:lang w:val="sr-Cyrl-RS"/>
                    </w:rPr>
                  </w:pPr>
                  <w:r w:rsidRPr="00793022"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79302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79302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79302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79302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793022" w:rsidRPr="00793022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793022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79302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79302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79302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79302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793022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793022" w:rsidRPr="00793022" w14:paraId="0E0A4448" w14:textId="77777777" w:rsidTr="00CD4A0B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5503F5C" w14:textId="20848A22" w:rsidR="003A274A" w:rsidRPr="00793022" w:rsidRDefault="003A274A" w:rsidP="00CD4A0B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79302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Спајање поступка</w:t>
                  </w:r>
                </w:p>
              </w:tc>
              <w:tc>
                <w:tcPr>
                  <w:tcW w:w="1784" w:type="dxa"/>
                </w:tcPr>
                <w:p w14:paraId="429B77CD" w14:textId="77777777" w:rsidR="003A274A" w:rsidRPr="00793022" w:rsidRDefault="003A274A" w:rsidP="00CD4A0B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614FD156" w14:textId="77777777" w:rsidR="003A274A" w:rsidRPr="00793022" w:rsidRDefault="003A274A" w:rsidP="00CD4A0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79302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4E1EC8CD" w14:textId="77777777" w:rsidR="003A274A" w:rsidRPr="00793022" w:rsidRDefault="003A274A" w:rsidP="00CD4A0B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793022" w:rsidRPr="00793022" w14:paraId="1E77C85A" w14:textId="77777777" w:rsidTr="00471E7D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4DF82C9" w14:textId="3AB7747E" w:rsidR="00446073" w:rsidRPr="00793022" w:rsidRDefault="00446073" w:rsidP="00C70F1B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79302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Финансијски издаци</w:t>
                  </w:r>
                </w:p>
              </w:tc>
              <w:tc>
                <w:tcPr>
                  <w:tcW w:w="5202" w:type="dxa"/>
                  <w:gridSpan w:val="3"/>
                </w:tcPr>
                <w:p w14:paraId="24710273" w14:textId="77777777" w:rsidR="00446073" w:rsidRPr="00793022" w:rsidRDefault="00446073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793022" w:rsidRPr="00793022" w14:paraId="1F0C8680" w14:textId="77777777" w:rsidTr="004773C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AA10481" w14:textId="77777777" w:rsidR="00446073" w:rsidRPr="00793022" w:rsidRDefault="00446073" w:rsidP="004773C9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en-GB"/>
                    </w:rPr>
                  </w:pPr>
                  <w:r w:rsidRPr="00793022"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  <w:t>Прописивање висине износа финансијског издатка</w:t>
                  </w:r>
                </w:p>
                <w:p w14:paraId="2E36809D" w14:textId="77777777" w:rsidR="00446073" w:rsidRPr="00793022" w:rsidRDefault="00446073" w:rsidP="004773C9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4" w:type="dxa"/>
                </w:tcPr>
                <w:p w14:paraId="7BF0BFE7" w14:textId="77777777" w:rsidR="00446073" w:rsidRPr="00793022" w:rsidRDefault="00446073" w:rsidP="004773C9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79302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X</w:t>
                  </w:r>
                </w:p>
              </w:tc>
              <w:tc>
                <w:tcPr>
                  <w:tcW w:w="1781" w:type="dxa"/>
                </w:tcPr>
                <w:p w14:paraId="5DFEFBF3" w14:textId="77777777" w:rsidR="00446073" w:rsidRPr="00793022" w:rsidRDefault="00446073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637" w:type="dxa"/>
                </w:tcPr>
                <w:p w14:paraId="1A147D02" w14:textId="02FFE3A7" w:rsidR="00446073" w:rsidRPr="00793022" w:rsidRDefault="00877D2F" w:rsidP="004773C9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2</w:t>
                  </w:r>
                  <w:r w:rsidR="00446073" w:rsidRPr="0079302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.</w:t>
                  </w:r>
                </w:p>
              </w:tc>
            </w:tr>
            <w:tr w:rsidR="00793022" w:rsidRPr="00793022" w14:paraId="47DDDA8B" w14:textId="77777777" w:rsidTr="006D30F3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A40BAB3" w14:textId="7A263652" w:rsidR="00446073" w:rsidRPr="00793022" w:rsidRDefault="00446073" w:rsidP="00446073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79302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45F44A94" w14:textId="77777777" w:rsidR="00446073" w:rsidRPr="00793022" w:rsidRDefault="00446073" w:rsidP="00446073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793022" w:rsidRPr="00793022" w14:paraId="0225319A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74CC902" w14:textId="1F7CEF98" w:rsidR="00446073" w:rsidRPr="00793022" w:rsidRDefault="00446073" w:rsidP="00446073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793022"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</w:tcPr>
                <w:p w14:paraId="47C80F8B" w14:textId="77777777" w:rsidR="00446073" w:rsidRPr="00793022" w:rsidRDefault="00446073" w:rsidP="00446073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61091BB7" w14:textId="17004B3A" w:rsidR="00446073" w:rsidRPr="00793022" w:rsidRDefault="00446073" w:rsidP="00446073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79302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35791B9D" w14:textId="77777777" w:rsidR="00446073" w:rsidRPr="00793022" w:rsidRDefault="00446073" w:rsidP="00446073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793022" w:rsidRPr="00793022" w14:paraId="3558CDAF" w14:textId="77777777" w:rsidTr="00446073">
              <w:trPr>
                <w:trHeight w:val="489"/>
              </w:trPr>
              <w:tc>
                <w:tcPr>
                  <w:tcW w:w="3632" w:type="dxa"/>
                </w:tcPr>
                <w:p w14:paraId="5CBF3C92" w14:textId="77777777" w:rsidR="00446073" w:rsidRPr="00793022" w:rsidRDefault="00446073" w:rsidP="00446073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793022"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  <w:t>Електронско подношење захтева и планског документа у електронској форми</w:t>
                  </w:r>
                </w:p>
              </w:tc>
              <w:tc>
                <w:tcPr>
                  <w:tcW w:w="1784" w:type="dxa"/>
                </w:tcPr>
                <w:p w14:paraId="2F8383CF" w14:textId="77777777" w:rsidR="00446073" w:rsidRPr="00793022" w:rsidRDefault="00446073" w:rsidP="00446073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63645CB6" w14:textId="77777777" w:rsidR="00446073" w:rsidRPr="00793022" w:rsidRDefault="00446073" w:rsidP="00446073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79302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1C459B05" w14:textId="77777777" w:rsidR="00446073" w:rsidRPr="00793022" w:rsidRDefault="00446073" w:rsidP="00446073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793022" w:rsidRPr="00793022" w14:paraId="788D2FC4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6431868C" w14:textId="499A5A6A" w:rsidR="00446073" w:rsidRPr="00793022" w:rsidRDefault="00446073" w:rsidP="00446073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en-GB"/>
                    </w:rPr>
                  </w:pPr>
                  <w:r w:rsidRPr="0079302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 xml:space="preserve">Промена претходне сагласности у сагласност </w:t>
                  </w:r>
                </w:p>
              </w:tc>
              <w:tc>
                <w:tcPr>
                  <w:tcW w:w="1784" w:type="dxa"/>
                </w:tcPr>
                <w:p w14:paraId="5B039FC5" w14:textId="45086341" w:rsidR="00446073" w:rsidRPr="00793022" w:rsidRDefault="00446073" w:rsidP="00446073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79302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X</w:t>
                  </w:r>
                </w:p>
              </w:tc>
              <w:tc>
                <w:tcPr>
                  <w:tcW w:w="1781" w:type="dxa"/>
                </w:tcPr>
                <w:p w14:paraId="35152C86" w14:textId="77777777" w:rsidR="00446073" w:rsidRPr="00793022" w:rsidRDefault="00446073" w:rsidP="00446073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637" w:type="dxa"/>
                </w:tcPr>
                <w:p w14:paraId="0859CFFF" w14:textId="7AC13D9D" w:rsidR="00446073" w:rsidRPr="00793022" w:rsidRDefault="00446073" w:rsidP="00446073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79302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1.</w:t>
                  </w:r>
                </w:p>
              </w:tc>
            </w:tr>
          </w:tbl>
          <w:p w14:paraId="6E28D8C5" w14:textId="4E03DA0F" w:rsidR="00BB1C60" w:rsidRPr="00793022" w:rsidRDefault="00BB1C60" w:rsidP="00823416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793022" w:rsidRPr="00793022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793022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793022" w:rsidRPr="00793022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BAEA058" w14:textId="77777777" w:rsidR="00446073" w:rsidRPr="00793022" w:rsidRDefault="00446073" w:rsidP="002C3AB4">
            <w:pP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</w:rPr>
            </w:pPr>
          </w:p>
          <w:p w14:paraId="4905C912" w14:textId="77777777" w:rsidR="003A274A" w:rsidRPr="00793022" w:rsidRDefault="003A274A" w:rsidP="003A274A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CS"/>
              </w:rPr>
            </w:pPr>
            <w:r w:rsidRPr="007930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3.1. </w:t>
            </w:r>
            <w:r w:rsidRPr="007930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CS"/>
              </w:rPr>
              <w:t>Спајање поступка</w:t>
            </w:r>
          </w:p>
          <w:p w14:paraId="7DFF8383" w14:textId="77777777" w:rsidR="003A274A" w:rsidRPr="00793022" w:rsidRDefault="003A274A" w:rsidP="003A274A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4E653FD6" w14:textId="5CD13555" w:rsidR="003A274A" w:rsidRPr="00793022" w:rsidRDefault="003A274A" w:rsidP="003A274A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Препорука је да се поступак за добијање сагласности за ограђивање ловишта (16.04.0025) споји са поступком за издавање сагласности на планска документа јер у крајњој инстанци мора доћи до измене планског документа и инкорпорирања измена које су настале ограђивањем дела ловишта јер након ограђивања дела ловишта се израђује Програм газдовања за ограђени део ловишта који се уноси у плански документ његовом допуном.  За спровођење ове препоруке је потребно изменити Закон о дивљачи и ловству и то тако што ће се укинути сагласност на Програм газдовања за ограђени део ловишта као посебан документ већ ће се његова садржина испитивати у поступку измене и допуне Планског документа а што представља овавезан корак након ограђивања дела ловишта.</w:t>
            </w:r>
          </w:p>
          <w:p w14:paraId="1D4EC957" w14:textId="77777777" w:rsidR="003A274A" w:rsidRPr="00793022" w:rsidRDefault="003A274A" w:rsidP="003A274A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728EC4DA" w14:textId="4E919FB8" w:rsidR="003A274A" w:rsidRPr="00793022" w:rsidRDefault="003A274A" w:rsidP="003A274A">
            <w:pPr>
              <w:spacing w:line="259" w:lineRule="auto"/>
              <w:contextualSpacing/>
              <w:rPr>
                <w:rFonts w:ascii="Times New Roman" w:eastAsia="Times New Roman" w:hAnsi="Times New Roman"/>
                <w:b/>
                <w:noProof/>
                <w:color w:val="000000" w:themeColor="text1"/>
                <w:sz w:val="24"/>
                <w:szCs w:val="24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</w:t>
            </w:r>
            <w:r w:rsidR="00AE548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п</w:t>
            </w:r>
            <w:r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оруке је потребна измена Закона о дивљачи и ловству   ("Сл. Гласник РС“ бр.18/2010-68)</w:t>
            </w:r>
          </w:p>
          <w:p w14:paraId="592A5B84" w14:textId="77777777" w:rsidR="003A274A" w:rsidRPr="00793022" w:rsidRDefault="003A274A" w:rsidP="002C3AB4">
            <w:pP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</w:p>
          <w:p w14:paraId="05115F8D" w14:textId="540CBE64" w:rsidR="002C3AB4" w:rsidRPr="00793022" w:rsidRDefault="002C3AB4" w:rsidP="002C3AB4">
            <w:pP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</w:rPr>
            </w:pPr>
            <w:r w:rsidRPr="007930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</w:rPr>
              <w:t>3.</w:t>
            </w:r>
            <w:r w:rsidR="003A274A" w:rsidRPr="007930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>2</w:t>
            </w:r>
            <w:r w:rsidRPr="007930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</w:rPr>
              <w:t>. Прописивање висине износа финансијског издатка</w:t>
            </w:r>
          </w:p>
          <w:p w14:paraId="5F585EBD" w14:textId="77777777" w:rsidR="00446073" w:rsidRPr="00793022" w:rsidRDefault="00446073" w:rsidP="002C3AB4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0444FCB3" w14:textId="3C5E8A08" w:rsidR="004B0261" w:rsidRPr="00793022" w:rsidRDefault="00DA2854" w:rsidP="002C3AB4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Имајући у виду да </w:t>
            </w:r>
            <w:r w:rsidR="0049765B"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Одлука директора Управе за шуме нема правног основа </w:t>
            </w: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требало</w:t>
            </w:r>
            <w:r w:rsidR="0049765B"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би </w:t>
            </w: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="0049765B"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прописати висину Накнаде коју подносилац захтева плаћа</w:t>
            </w:r>
            <w:r w:rsidR="005B4EA8"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. </w:t>
            </w:r>
            <w:r w:rsidR="0049765B"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Висину накнаде </w:t>
            </w:r>
            <w:r w:rsidR="005B4EA8"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треба предвидети у </w:t>
            </w:r>
            <w:r w:rsidR="007A37AC"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Правилнику о садржини и начину израде планских докумената у ловству</w:t>
            </w:r>
            <w:r w:rsidR="00896E71"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 xml:space="preserve"> </w:t>
            </w:r>
            <w:r w:rsidR="00896E71"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("Сл. Гласник РС“ бр. 9/2012-91)</w:t>
            </w:r>
            <w:r w:rsidR="00DF32E3"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у износима од 20.000 динара за ловну основу и 15.000 динара за за ревизију.</w:t>
            </w:r>
          </w:p>
          <w:p w14:paraId="68D651A0" w14:textId="01066529" w:rsidR="004B0E2E" w:rsidRPr="00793022" w:rsidRDefault="004B0E2E" w:rsidP="002C3AB4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6240B077" w14:textId="495D46C9" w:rsidR="00163516" w:rsidRPr="00793022" w:rsidRDefault="008B775B" w:rsidP="00163516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</w:t>
            </w:r>
            <w:r w:rsidR="00AE548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п</w:t>
            </w:r>
            <w:r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оруке </w:t>
            </w:r>
            <w:r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Latn-RS"/>
              </w:rPr>
              <w:t>je</w:t>
            </w:r>
            <w:r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потребн</w:t>
            </w:r>
            <w:r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Latn-RS"/>
              </w:rPr>
              <w:t>a</w:t>
            </w:r>
            <w:r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измен</w:t>
            </w:r>
            <w:r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Latn-RS"/>
              </w:rPr>
              <w:t>a</w:t>
            </w:r>
            <w:r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896E71"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Правилник</w:t>
            </w:r>
            <w:r w:rsidR="00896E71"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Latn-RS"/>
              </w:rPr>
              <w:t>a</w:t>
            </w:r>
            <w:r w:rsidR="00896E71"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о садржини и начину израде планских докумената у ловству ("Сл. Гласник РС“ бр. 9/2012-91)</w:t>
            </w:r>
          </w:p>
          <w:p w14:paraId="64A4114A" w14:textId="39CD7746" w:rsidR="00163516" w:rsidRPr="00793022" w:rsidRDefault="00163516" w:rsidP="002C3AB4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549F04BC" w14:textId="3F9CBF63" w:rsidR="00446073" w:rsidRPr="00793022" w:rsidRDefault="00163516" w:rsidP="00446073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3.</w:t>
            </w:r>
            <w:r w:rsidR="003A274A" w:rsidRPr="007930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3</w:t>
            </w:r>
            <w:r w:rsidRPr="007930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. </w:t>
            </w:r>
            <w:r w:rsidR="00446073" w:rsidRPr="0079302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Увођење обрасца за подношење захтева</w:t>
            </w:r>
            <w:r w:rsidR="00446073"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738582D3" w14:textId="77777777" w:rsidR="00446073" w:rsidRPr="00793022" w:rsidRDefault="00446073" w:rsidP="00446073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63F8D362" w14:textId="77777777" w:rsidR="00446073" w:rsidRPr="00793022" w:rsidRDefault="00446073" w:rsidP="00446073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38225A69" w14:textId="77777777" w:rsidR="00276288" w:rsidRPr="00877D2F" w:rsidRDefault="00276288" w:rsidP="00276288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877D2F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18F32E36" w14:textId="77777777" w:rsidR="00276288" w:rsidRPr="00877D2F" w:rsidRDefault="00276288" w:rsidP="00276288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877D2F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44408CB5" w14:textId="77777777" w:rsidR="00276288" w:rsidRPr="00877D2F" w:rsidRDefault="00276288" w:rsidP="00276288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877D2F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158ACF6" w14:textId="77777777" w:rsidR="00446073" w:rsidRPr="00793022" w:rsidRDefault="00446073" w:rsidP="00446073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</w:p>
          <w:p w14:paraId="11F02652" w14:textId="77777777" w:rsidR="00446073" w:rsidRPr="00793022" w:rsidRDefault="00446073" w:rsidP="00446073">
            <w:pPr>
              <w:pStyle w:val="ListParagraph"/>
              <w:numPr>
                <w:ilvl w:val="1"/>
                <w:numId w:val="26"/>
              </w:numPr>
              <w:ind w:left="870"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 xml:space="preserve">Места за унос специфичних информација за конкретан поступак (Локација шуме ,број катастарских парцела, катастарска општина, општина, и укупна површина; Власник шуме ; Корисник шуме; Површина на којој се мења водни режим; Разлог мењања водног режима), укључујући и информације, потребне за прибављање података по службеној дужности </w:t>
            </w:r>
          </w:p>
          <w:p w14:paraId="44FAE02B" w14:textId="77777777" w:rsidR="00446073" w:rsidRPr="00793022" w:rsidRDefault="00446073" w:rsidP="00446073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6776BD4A" w14:textId="77777777" w:rsidR="00446073" w:rsidRPr="00793022" w:rsidRDefault="00446073" w:rsidP="00446073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5148C0C2" w14:textId="77777777" w:rsidR="00446073" w:rsidRPr="00793022" w:rsidRDefault="00446073" w:rsidP="00446073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6F17BC7F" w14:textId="77777777" w:rsidR="00446073" w:rsidRPr="00793022" w:rsidRDefault="00446073" w:rsidP="00446073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Издавалац документа</w:t>
            </w:r>
          </w:p>
          <w:p w14:paraId="7CA75529" w14:textId="77777777" w:rsidR="00446073" w:rsidRPr="00793022" w:rsidRDefault="00446073" w:rsidP="00446073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7AE130EA" w14:textId="77777777" w:rsidR="00446073" w:rsidRPr="00793022" w:rsidRDefault="00446073" w:rsidP="00446073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lastRenderedPageBreak/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C1E6CE8" w14:textId="77777777" w:rsidR="00446073" w:rsidRPr="00793022" w:rsidRDefault="00446073" w:rsidP="00446073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1.ДА</w:t>
            </w:r>
          </w:p>
          <w:p w14:paraId="2644C957" w14:textId="77777777" w:rsidR="00446073" w:rsidRPr="00793022" w:rsidRDefault="00446073" w:rsidP="00446073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2. НЕ</w:t>
            </w:r>
          </w:p>
          <w:p w14:paraId="37ECC5E7" w14:textId="77777777" w:rsidR="00446073" w:rsidRPr="00793022" w:rsidRDefault="00446073" w:rsidP="00446073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11710AB5" w14:textId="77777777" w:rsidR="00446073" w:rsidRPr="00793022" w:rsidRDefault="00446073" w:rsidP="00446073">
            <w:pPr>
              <w:shd w:val="clear" w:color="auto" w:fill="FFFFFF"/>
              <w:spacing w:before="100" w:beforeAutospacing="1" w:after="100" w:afterAutospacing="1" w:line="259" w:lineRule="auto"/>
              <w:ind w:left="993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38B488C9" w14:textId="77777777" w:rsidR="00446073" w:rsidRPr="00793022" w:rsidRDefault="00446073" w:rsidP="00446073">
            <w:pPr>
              <w:numPr>
                <w:ilvl w:val="1"/>
                <w:numId w:val="26"/>
              </w:numPr>
              <w:spacing w:after="160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00F0685B" w14:textId="77777777" w:rsidR="00446073" w:rsidRPr="00877D2F" w:rsidRDefault="00446073" w:rsidP="00446073">
            <w:pPr>
              <w:numPr>
                <w:ilvl w:val="1"/>
                <w:numId w:val="26"/>
              </w:numPr>
              <w:spacing w:after="160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2DCD4287" w14:textId="77777777" w:rsidR="00877D2F" w:rsidRDefault="00877D2F" w:rsidP="00877D2F">
            <w:pPr>
              <w:spacing w:after="160" w:line="259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0BB48A8A" w14:textId="77777777" w:rsidR="00877D2F" w:rsidRPr="00507EB3" w:rsidRDefault="00877D2F" w:rsidP="00877D2F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07EB3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28339871" w14:textId="77777777" w:rsidR="00877D2F" w:rsidRPr="00507EB3" w:rsidRDefault="00877D2F" w:rsidP="00877D2F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5E6BE564" w14:textId="77777777" w:rsidR="00877D2F" w:rsidRPr="00507EB3" w:rsidRDefault="00877D2F" w:rsidP="00877D2F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07EB3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6C4C0BF6" w14:textId="77777777" w:rsidR="00877D2F" w:rsidRPr="00507EB3" w:rsidRDefault="00877D2F" w:rsidP="00877D2F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07EB3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Финансијским издацима:</w:t>
            </w:r>
          </w:p>
          <w:p w14:paraId="3C73C604" w14:textId="77777777" w:rsidR="00877D2F" w:rsidRPr="00507EB3" w:rsidRDefault="00877D2F" w:rsidP="00877D2F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07EB3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Износ издатка</w:t>
            </w:r>
          </w:p>
          <w:p w14:paraId="408065CA" w14:textId="77777777" w:rsidR="00877D2F" w:rsidRPr="00507EB3" w:rsidRDefault="00877D2F" w:rsidP="00877D2F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07EB3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Сврха уплате</w:t>
            </w:r>
          </w:p>
          <w:p w14:paraId="18CDC429" w14:textId="77777777" w:rsidR="00877D2F" w:rsidRPr="00507EB3" w:rsidRDefault="00877D2F" w:rsidP="00877D2F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07EB3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28EB2134" w14:textId="77777777" w:rsidR="00877D2F" w:rsidRPr="00507EB3" w:rsidRDefault="00877D2F" w:rsidP="00877D2F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07EB3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Број рачуна</w:t>
            </w:r>
          </w:p>
          <w:p w14:paraId="5F65863B" w14:textId="77777777" w:rsidR="00877D2F" w:rsidRPr="00507EB3" w:rsidRDefault="00877D2F" w:rsidP="00877D2F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07EB3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Модел и позив на број</w:t>
            </w:r>
          </w:p>
          <w:p w14:paraId="21E01CAA" w14:textId="77777777" w:rsidR="00446073" w:rsidRPr="00793022" w:rsidRDefault="00446073" w:rsidP="00877D2F">
            <w:pPr>
              <w:spacing w:after="160" w:line="259" w:lineRule="auto"/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2DB862AD" w14:textId="2D1C4BA3" w:rsidR="00446073" w:rsidRPr="00626559" w:rsidRDefault="00446073" w:rsidP="00446073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en-GB"/>
              </w:rPr>
            </w:pPr>
            <w:r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нзмена пропис</w:t>
            </w:r>
            <w:r w:rsidR="00626559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en-GB"/>
              </w:rPr>
              <w:t>a.</w:t>
            </w:r>
          </w:p>
          <w:p w14:paraId="6DBDFE41" w14:textId="220C8034" w:rsidR="001041BA" w:rsidRPr="00793022" w:rsidRDefault="001041BA" w:rsidP="002C3AB4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46363F36" w14:textId="3AFEA962" w:rsidR="00BB1C60" w:rsidRPr="00793022" w:rsidRDefault="002C3AB4" w:rsidP="00BB1C60">
            <w:pP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</w:rPr>
              <w:t>3.</w:t>
            </w:r>
            <w:r w:rsidR="003A274A" w:rsidRPr="007930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>4</w:t>
            </w:r>
            <w:r w:rsidR="00163516" w:rsidRPr="007930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. Електронско подношење захтева и планског документа</w:t>
            </w:r>
            <w:r w:rsidR="00163516" w:rsidRPr="0079302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63516" w:rsidRPr="007930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у електронској форми</w:t>
            </w:r>
          </w:p>
          <w:p w14:paraId="65ED5354" w14:textId="77777777" w:rsidR="00446073" w:rsidRPr="00793022" w:rsidRDefault="00446073" w:rsidP="00BB1C60">
            <w:pP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6CD56BED" w14:textId="3C74E729" w:rsidR="00446073" w:rsidRPr="00793022" w:rsidRDefault="00163516" w:rsidP="0044607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color w:val="000000" w:themeColor="text1"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 Плански документ</w:t>
            </w:r>
            <w:r w:rsidR="001041BA" w:rsidRPr="00793022">
              <w:rPr>
                <w:color w:val="000000" w:themeColor="text1"/>
                <w:sz w:val="22"/>
                <w:lang w:val="sr-Cyrl-RS"/>
              </w:rPr>
              <w:t xml:space="preserve"> се издаје и у електронској форми</w:t>
            </w:r>
            <w:r w:rsidRPr="00793022">
              <w:rPr>
                <w:color w:val="000000" w:themeColor="text1"/>
                <w:sz w:val="22"/>
                <w:lang w:val="sr-Cyrl-RS"/>
              </w:rPr>
              <w:t xml:space="preserve">, па је стога </w:t>
            </w:r>
            <w:r w:rsidR="001041BA" w:rsidRPr="00793022">
              <w:rPr>
                <w:color w:val="000000" w:themeColor="text1"/>
                <w:sz w:val="22"/>
                <w:lang w:val="sr-Cyrl-RS"/>
              </w:rPr>
              <w:t xml:space="preserve"> потребно је предвидети могућност да се поред достављања оргинала предвиди слање електронске верзије овог документа како би се олакшао рад службеницима и смањили трошкови на страни подносиоца захтева.</w:t>
            </w:r>
            <w:r w:rsidR="00446073" w:rsidRPr="00793022">
              <w:rPr>
                <w:color w:val="000000" w:themeColor="text1"/>
                <w:sz w:val="22"/>
                <w:szCs w:val="22"/>
                <w:lang w:val="sr-Cyrl-RS"/>
              </w:rPr>
              <w:t xml:space="preserve"> Предлаже се примена ове препоруке чим се за то остваре технички услови.</w:t>
            </w:r>
          </w:p>
          <w:p w14:paraId="529A4EC5" w14:textId="77777777" w:rsidR="00446073" w:rsidRPr="00793022" w:rsidRDefault="00446073" w:rsidP="00446073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04CCB629" w14:textId="77777777" w:rsidR="00446073" w:rsidRPr="00793022" w:rsidRDefault="00446073" w:rsidP="00446073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0EFB0EB5" w14:textId="1C4060FC" w:rsidR="002C3AB4" w:rsidRPr="00793022" w:rsidRDefault="002C3AB4" w:rsidP="002C3AB4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04CFB7DA" w14:textId="7266622C" w:rsidR="00446073" w:rsidRPr="00793022" w:rsidRDefault="00446073" w:rsidP="00446073">
            <w:pP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</w:rPr>
            </w:pPr>
            <w:r w:rsidRPr="007930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>3.</w:t>
            </w:r>
            <w:r w:rsidR="003A274A" w:rsidRPr="007930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>5</w:t>
            </w:r>
            <w:r w:rsidRPr="007930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 xml:space="preserve">. </w:t>
            </w:r>
            <w:r w:rsidRPr="007930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</w:rPr>
              <w:t>Промена претходне сагласности у сагласност</w:t>
            </w:r>
          </w:p>
          <w:p w14:paraId="009AEDBC" w14:textId="77777777" w:rsidR="00446073" w:rsidRPr="00793022" w:rsidRDefault="00446073" w:rsidP="00446073">
            <w:pP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</w:rPr>
            </w:pPr>
          </w:p>
          <w:p w14:paraId="2FCCEA4E" w14:textId="77777777" w:rsidR="00446073" w:rsidRPr="00793022" w:rsidRDefault="00446073" w:rsidP="00446073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Потребно је прописати да се сагласност на планске акте даје након усвајања од стране управљачких органа подносиоца захтева. Ради споровођења ове препоруке потребно је изменити члан 49. и 37. Закона о дивљачи и ловству на начин да члан 49. у ставу 2. измени </w:t>
            </w: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lastRenderedPageBreak/>
              <w:t>тако да се предвиди да се сагласност на планске акте даје након усвајања од стране управљачких органа подносиоца захтева а члан 37. у ставу 1. брише део који се односи на прибављање сагласности на програм газдовања за ограђени део ловишта.</w:t>
            </w:r>
          </w:p>
          <w:p w14:paraId="63459072" w14:textId="77777777" w:rsidR="00446073" w:rsidRPr="00793022" w:rsidRDefault="00446073" w:rsidP="00446073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7EC344A5" w14:textId="4F7D9064" w:rsidR="00446073" w:rsidRPr="00793022" w:rsidRDefault="00446073" w:rsidP="00446073">
            <w:pPr>
              <w:spacing w:line="259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</w:t>
            </w:r>
            <w:r w:rsidR="00AE548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п</w:t>
            </w:r>
            <w:r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оруке </w:t>
            </w:r>
            <w:r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Latn-RS"/>
              </w:rPr>
              <w:t>je</w:t>
            </w:r>
            <w:r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потребн</w:t>
            </w:r>
            <w:r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Latn-RS"/>
              </w:rPr>
              <w:t>a</w:t>
            </w:r>
            <w:r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измен</w:t>
            </w:r>
            <w:r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Latn-RS"/>
              </w:rPr>
              <w:t>a</w:t>
            </w:r>
            <w:r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Закон</w:t>
            </w:r>
            <w:r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Latn-RS"/>
              </w:rPr>
              <w:t>a</w:t>
            </w:r>
            <w:r w:rsidRPr="00793022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о дивљачи и ловству ("Сл. Гласник РС“ бр. 18/2010-68)</w:t>
            </w:r>
          </w:p>
          <w:p w14:paraId="242D68FA" w14:textId="77777777" w:rsidR="00446073" w:rsidRPr="00793022" w:rsidRDefault="00446073" w:rsidP="00446073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3EAB4AF8" w14:textId="095BC751" w:rsidR="005A7763" w:rsidRPr="00793022" w:rsidRDefault="005A7763" w:rsidP="00163516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</w:tc>
      </w:tr>
      <w:tr w:rsidR="00793022" w:rsidRPr="00793022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793022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lang w:val="sr-Cyrl-RS"/>
              </w:rPr>
            </w:pPr>
            <w:r w:rsidRPr="00793022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793022" w:rsidRPr="00793022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11AF059" w14:textId="65344AA2" w:rsidR="0096011A" w:rsidRPr="00793022" w:rsidRDefault="00896E71" w:rsidP="00896E71">
            <w:pPr>
              <w:pStyle w:val="auto-style4"/>
              <w:shd w:val="clear" w:color="auto" w:fill="FFFFFF"/>
              <w:jc w:val="center"/>
              <w:rPr>
                <w:b/>
                <w:color w:val="000000" w:themeColor="text1"/>
                <w:sz w:val="22"/>
                <w:szCs w:val="22"/>
                <w:lang w:val="sr-Latn-RS"/>
              </w:rPr>
            </w:pPr>
            <w:r w:rsidRPr="00793022">
              <w:rPr>
                <w:b/>
                <w:color w:val="000000" w:themeColor="text1"/>
                <w:sz w:val="22"/>
                <w:szCs w:val="22"/>
                <w:lang w:val="sr-Latn-RS"/>
              </w:rPr>
              <w:t>1</w:t>
            </w:r>
          </w:p>
          <w:p w14:paraId="76D151BA" w14:textId="77777777" w:rsidR="00AE5484" w:rsidRDefault="00896E71" w:rsidP="00AE5484">
            <w:pPr>
              <w:pStyle w:val="auto-style4"/>
              <w:shd w:val="clear" w:color="auto" w:fill="FFFFFF"/>
              <w:ind w:right="586"/>
              <w:jc w:val="right"/>
              <w:rPr>
                <w:b/>
                <w:color w:val="000000" w:themeColor="text1"/>
                <w:sz w:val="22"/>
                <w:szCs w:val="22"/>
                <w:lang w:val="sr-Cyrl-CS"/>
              </w:rPr>
            </w:pPr>
            <w:r w:rsidRPr="00793022">
              <w:rPr>
                <w:b/>
                <w:color w:val="000000" w:themeColor="text1"/>
                <w:sz w:val="22"/>
                <w:szCs w:val="22"/>
                <w:lang w:val="sr-Cyrl-CS"/>
              </w:rPr>
              <w:t xml:space="preserve">НАЦРТ </w:t>
            </w:r>
          </w:p>
          <w:p w14:paraId="471CF087" w14:textId="3C89355F" w:rsidR="006524D6" w:rsidRPr="00793022" w:rsidRDefault="006524D6" w:rsidP="00896E71">
            <w:pPr>
              <w:pStyle w:val="auto-style4"/>
              <w:shd w:val="clear" w:color="auto" w:fill="FFFFFF"/>
              <w:ind w:right="586"/>
              <w:jc w:val="center"/>
              <w:rPr>
                <w:b/>
                <w:color w:val="000000" w:themeColor="text1"/>
                <w:sz w:val="22"/>
                <w:lang w:val="sr-Cyrl-RS"/>
              </w:rPr>
            </w:pPr>
            <w:r w:rsidRPr="00793022">
              <w:rPr>
                <w:b/>
                <w:color w:val="000000" w:themeColor="text1"/>
                <w:sz w:val="22"/>
                <w:lang w:val="sr-Cyrl-RS"/>
              </w:rPr>
              <w:t xml:space="preserve">ЗАКОН О </w:t>
            </w:r>
            <w:r w:rsidR="00376BA6" w:rsidRPr="00793022">
              <w:rPr>
                <w:b/>
                <w:color w:val="000000" w:themeColor="text1"/>
                <w:sz w:val="22"/>
                <w:lang w:val="sr-Cyrl-RS"/>
              </w:rPr>
              <w:t xml:space="preserve">ИЗМЕНАМА И </w:t>
            </w:r>
            <w:r w:rsidRPr="00793022">
              <w:rPr>
                <w:b/>
                <w:color w:val="000000" w:themeColor="text1"/>
                <w:sz w:val="22"/>
                <w:lang w:val="sr-Cyrl-RS"/>
              </w:rPr>
              <w:t xml:space="preserve">ДОПУНАМА ЗАКОНА </w:t>
            </w:r>
            <w:r w:rsidR="0096011A" w:rsidRPr="00793022">
              <w:rPr>
                <w:b/>
                <w:color w:val="000000" w:themeColor="text1"/>
                <w:sz w:val="22"/>
                <w:lang w:val="sr-Latn-RS"/>
              </w:rPr>
              <w:t xml:space="preserve">                                                                             </w:t>
            </w:r>
            <w:r w:rsidRPr="00793022">
              <w:rPr>
                <w:b/>
                <w:color w:val="000000" w:themeColor="text1"/>
                <w:sz w:val="22"/>
                <w:lang w:val="sr-Cyrl-RS"/>
              </w:rPr>
              <w:t>О ДИВЉАЧИ И ЛОВСТВУ</w:t>
            </w:r>
          </w:p>
          <w:p w14:paraId="3C444961" w14:textId="77777777" w:rsidR="006524D6" w:rsidRPr="00793022" w:rsidRDefault="006524D6" w:rsidP="006524D6">
            <w:pPr>
              <w:pStyle w:val="auto-style4"/>
              <w:shd w:val="clear" w:color="auto" w:fill="FFFFFF"/>
              <w:jc w:val="center"/>
              <w:rPr>
                <w:color w:val="000000" w:themeColor="text1"/>
                <w:sz w:val="22"/>
                <w:szCs w:val="22"/>
                <w:lang w:val="sr-Cyrl-CS"/>
              </w:rPr>
            </w:pPr>
            <w:r w:rsidRPr="00793022">
              <w:rPr>
                <w:color w:val="000000" w:themeColor="text1"/>
                <w:sz w:val="22"/>
                <w:szCs w:val="22"/>
                <w:lang w:val="sr-Cyrl-CS"/>
              </w:rPr>
              <w:t>Члан 1.</w:t>
            </w:r>
          </w:p>
          <w:p w14:paraId="22BFDC04" w14:textId="1158E9A5" w:rsidR="006524D6" w:rsidRPr="00793022" w:rsidRDefault="006524D6" w:rsidP="006524D6">
            <w:pPr>
              <w:pStyle w:val="auto-style4"/>
              <w:shd w:val="clear" w:color="auto" w:fill="FFFFFF"/>
              <w:jc w:val="both"/>
              <w:rPr>
                <w:color w:val="000000" w:themeColor="text1"/>
                <w:sz w:val="22"/>
                <w:szCs w:val="22"/>
                <w:lang w:val="sr-Cyrl-CS"/>
              </w:rPr>
            </w:pPr>
            <w:r w:rsidRPr="00793022">
              <w:rPr>
                <w:color w:val="000000" w:themeColor="text1"/>
                <w:sz w:val="22"/>
                <w:szCs w:val="22"/>
                <w:lang w:val="sr-Cyrl-RS"/>
              </w:rPr>
              <w:t xml:space="preserve">У </w:t>
            </w:r>
            <w:r w:rsidRPr="00793022">
              <w:rPr>
                <w:color w:val="000000" w:themeColor="text1"/>
                <w:sz w:val="22"/>
                <w:szCs w:val="20"/>
                <w:lang w:val="sr-Cyrl-RS"/>
              </w:rPr>
              <w:t xml:space="preserve">закону о дивљачи и ловству („Службени гласник РС“ број: </w:t>
            </w:r>
            <w:r w:rsidRPr="00793022">
              <w:rPr>
                <w:color w:val="000000" w:themeColor="text1"/>
                <w:sz w:val="22"/>
                <w:lang w:val="sr-Cyrl-RS"/>
              </w:rPr>
              <w:t>18/2010-68</w:t>
            </w:r>
            <w:r w:rsidRPr="00793022">
              <w:rPr>
                <w:color w:val="000000" w:themeColor="text1"/>
                <w:sz w:val="22"/>
                <w:szCs w:val="22"/>
                <w:lang w:val="sr-Cyrl-RS"/>
              </w:rPr>
              <w:t>)</w:t>
            </w:r>
            <w:r w:rsidRPr="00793022">
              <w:rPr>
                <w:color w:val="000000" w:themeColor="text1"/>
                <w:sz w:val="22"/>
                <w:szCs w:val="22"/>
                <w:lang w:val="sr-Cyrl-CS"/>
              </w:rPr>
              <w:t xml:space="preserve"> </w:t>
            </w:r>
            <w:r w:rsidR="0096011A" w:rsidRPr="00793022">
              <w:rPr>
                <w:color w:val="000000" w:themeColor="text1"/>
                <w:sz w:val="22"/>
                <w:szCs w:val="22"/>
                <w:lang w:val="sr-Cyrl-RS"/>
              </w:rPr>
              <w:t>у</w:t>
            </w:r>
            <w:r w:rsidRPr="00793022">
              <w:rPr>
                <w:color w:val="000000" w:themeColor="text1"/>
                <w:sz w:val="22"/>
                <w:szCs w:val="22"/>
                <w:lang w:val="sr-Cyrl-CS"/>
              </w:rPr>
              <w:t xml:space="preserve"> члан</w:t>
            </w:r>
            <w:r w:rsidR="0096011A" w:rsidRPr="00793022">
              <w:rPr>
                <w:color w:val="000000" w:themeColor="text1"/>
                <w:sz w:val="22"/>
                <w:szCs w:val="22"/>
                <w:lang w:val="sr-Cyrl-CS"/>
              </w:rPr>
              <w:t>у</w:t>
            </w:r>
            <w:r w:rsidRPr="00793022">
              <w:rPr>
                <w:color w:val="000000" w:themeColor="text1"/>
                <w:sz w:val="22"/>
                <w:szCs w:val="22"/>
                <w:lang w:val="sr-Cyrl-CS"/>
              </w:rPr>
              <w:t xml:space="preserve"> 37. </w:t>
            </w:r>
            <w:r w:rsidR="0096011A" w:rsidRPr="00793022">
              <w:rPr>
                <w:color w:val="000000" w:themeColor="text1"/>
                <w:sz w:val="22"/>
                <w:szCs w:val="22"/>
                <w:lang w:val="sr-Cyrl-CS"/>
              </w:rPr>
              <w:t>став</w:t>
            </w:r>
            <w:r w:rsidRPr="00793022">
              <w:rPr>
                <w:color w:val="000000" w:themeColor="text1"/>
                <w:sz w:val="22"/>
                <w:szCs w:val="22"/>
                <w:lang w:val="sr-Cyrl-CS"/>
              </w:rPr>
              <w:t xml:space="preserve"> 1. речи „и ако је на програм газдовања за ограђени део ловишта прибављена сагласност у складу са овим законом и законом којим се уређује ветеринарство“</w:t>
            </w:r>
            <w:r w:rsidR="0096011A" w:rsidRPr="00793022">
              <w:rPr>
                <w:color w:val="000000" w:themeColor="text1"/>
                <w:sz w:val="22"/>
                <w:szCs w:val="22"/>
                <w:lang w:val="sr-Cyrl-CS"/>
              </w:rPr>
              <w:t xml:space="preserve"> бришу се. </w:t>
            </w:r>
          </w:p>
          <w:p w14:paraId="7D7BF02D" w14:textId="4C488C9A" w:rsidR="006524D6" w:rsidRPr="00793022" w:rsidRDefault="006524D6" w:rsidP="006524D6">
            <w:pPr>
              <w:pStyle w:val="auto-style5"/>
              <w:shd w:val="clear" w:color="auto" w:fill="FFFFFF"/>
              <w:spacing w:after="0"/>
              <w:jc w:val="center"/>
              <w:rPr>
                <w:bCs/>
                <w:color w:val="000000" w:themeColor="text1"/>
                <w:sz w:val="22"/>
                <w:szCs w:val="22"/>
                <w:lang w:val="sr-Cyrl-CS"/>
              </w:rPr>
            </w:pPr>
            <w:r w:rsidRPr="00793022">
              <w:rPr>
                <w:bCs/>
                <w:color w:val="000000" w:themeColor="text1"/>
                <w:sz w:val="22"/>
                <w:szCs w:val="22"/>
                <w:lang w:val="sr-Cyrl-CS"/>
              </w:rPr>
              <w:t>Члан 2.</w:t>
            </w:r>
          </w:p>
          <w:p w14:paraId="1646D3AE" w14:textId="3EC87236" w:rsidR="006524D6" w:rsidRPr="00793022" w:rsidRDefault="006524D6" w:rsidP="006524D6">
            <w:pPr>
              <w:pStyle w:val="auto-style5"/>
              <w:shd w:val="clear" w:color="auto" w:fill="FFFFFF"/>
              <w:spacing w:after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793022">
              <w:rPr>
                <w:bCs/>
                <w:color w:val="000000" w:themeColor="text1"/>
                <w:sz w:val="22"/>
                <w:szCs w:val="22"/>
                <w:lang w:val="sr-Cyrl-CS"/>
              </w:rPr>
              <w:t xml:space="preserve">У члану 49. </w:t>
            </w:r>
            <w:r w:rsidR="004E74D5" w:rsidRPr="00793022">
              <w:rPr>
                <w:bCs/>
                <w:color w:val="000000" w:themeColor="text1"/>
                <w:sz w:val="22"/>
                <w:szCs w:val="22"/>
                <w:lang w:val="sr-Cyrl-CS"/>
              </w:rPr>
              <w:t>став</w:t>
            </w:r>
            <w:r w:rsidRPr="00793022">
              <w:rPr>
                <w:bCs/>
                <w:color w:val="000000" w:themeColor="text1"/>
                <w:sz w:val="22"/>
                <w:szCs w:val="22"/>
                <w:lang w:val="sr-Cyrl-CS"/>
              </w:rPr>
              <w:t xml:space="preserve"> 2. </w:t>
            </w:r>
            <w:r w:rsidR="0096011A" w:rsidRPr="00793022">
              <w:rPr>
                <w:bCs/>
                <w:color w:val="000000" w:themeColor="text1"/>
                <w:sz w:val="22"/>
                <w:szCs w:val="22"/>
                <w:lang w:val="sr-Cyrl-CS"/>
              </w:rPr>
              <w:t xml:space="preserve">мења се </w:t>
            </w:r>
            <w:r w:rsidRPr="00793022">
              <w:rPr>
                <w:bCs/>
                <w:color w:val="000000" w:themeColor="text1"/>
                <w:sz w:val="22"/>
                <w:szCs w:val="22"/>
                <w:lang w:val="sr-Cyrl-CS"/>
              </w:rPr>
              <w:t>и гласи:</w:t>
            </w:r>
          </w:p>
          <w:p w14:paraId="2585FA2F" w14:textId="3311F311" w:rsidR="006524D6" w:rsidRPr="00793022" w:rsidRDefault="004E74D5" w:rsidP="0096011A">
            <w:pPr>
              <w:pStyle w:val="auto-style5"/>
              <w:spacing w:after="0"/>
              <w:ind w:firstLine="690"/>
              <w:jc w:val="both"/>
              <w:rPr>
                <w:bCs/>
                <w:color w:val="000000" w:themeColor="text1"/>
                <w:sz w:val="22"/>
                <w:szCs w:val="22"/>
                <w:lang w:val="sr-Cyrl-CS"/>
              </w:rPr>
            </w:pPr>
            <w:r w:rsidRPr="00793022">
              <w:rPr>
                <w:bCs/>
                <w:color w:val="000000" w:themeColor="text1"/>
                <w:sz w:val="22"/>
                <w:szCs w:val="22"/>
                <w:lang w:val="sr-Cyrl-CS"/>
              </w:rPr>
              <w:t>„</w:t>
            </w:r>
            <w:r w:rsidR="006524D6" w:rsidRPr="00793022">
              <w:rPr>
                <w:bCs/>
                <w:color w:val="000000" w:themeColor="text1"/>
                <w:sz w:val="22"/>
                <w:szCs w:val="22"/>
                <w:lang w:val="sr-Cyrl-CS"/>
              </w:rPr>
              <w:t>Министарство</w:t>
            </w:r>
            <w:r w:rsidR="006524D6" w:rsidRPr="00793022">
              <w:rPr>
                <w:bCs/>
                <w:color w:val="000000" w:themeColor="text1"/>
                <w:sz w:val="22"/>
                <w:szCs w:val="22"/>
              </w:rPr>
              <w:t>, а на територији аутономне покрајине надлежни покрајински орган,</w:t>
            </w:r>
            <w:r w:rsidR="006524D6" w:rsidRPr="00793022">
              <w:rPr>
                <w:bCs/>
                <w:color w:val="000000" w:themeColor="text1"/>
                <w:sz w:val="22"/>
                <w:szCs w:val="22"/>
                <w:lang w:val="sr-Cyrl-CS"/>
              </w:rPr>
              <w:t xml:space="preserve"> даје сагласност на л</w:t>
            </w:r>
            <w:r w:rsidR="006524D6" w:rsidRPr="00793022">
              <w:rPr>
                <w:bCs/>
                <w:color w:val="000000" w:themeColor="text1"/>
                <w:sz w:val="22"/>
                <w:szCs w:val="22"/>
              </w:rPr>
              <w:t>овн</w:t>
            </w:r>
            <w:r w:rsidR="006524D6" w:rsidRPr="00793022">
              <w:rPr>
                <w:bCs/>
                <w:color w:val="000000" w:themeColor="text1"/>
                <w:sz w:val="22"/>
                <w:szCs w:val="22"/>
                <w:lang w:val="sr-Cyrl-CS"/>
              </w:rPr>
              <w:t>у</w:t>
            </w:r>
            <w:r w:rsidR="006524D6" w:rsidRPr="00793022">
              <w:rPr>
                <w:bCs/>
                <w:color w:val="000000" w:themeColor="text1"/>
                <w:sz w:val="22"/>
                <w:szCs w:val="22"/>
              </w:rPr>
              <w:t xml:space="preserve"> основ</w:t>
            </w:r>
            <w:r w:rsidR="006524D6" w:rsidRPr="00793022">
              <w:rPr>
                <w:bCs/>
                <w:color w:val="000000" w:themeColor="text1"/>
                <w:sz w:val="22"/>
                <w:szCs w:val="22"/>
                <w:lang w:val="sr-Cyrl-CS"/>
              </w:rPr>
              <w:t>у</w:t>
            </w:r>
            <w:r w:rsidR="006524D6" w:rsidRPr="00793022">
              <w:rPr>
                <w:bCs/>
                <w:color w:val="000000" w:themeColor="text1"/>
                <w:sz w:val="22"/>
                <w:szCs w:val="22"/>
              </w:rPr>
              <w:t>, програм газдовања за ограђени део ловишта и програм насељавања дивљачи</w:t>
            </w:r>
            <w:r w:rsidR="006524D6" w:rsidRPr="00793022">
              <w:rPr>
                <w:bCs/>
                <w:color w:val="000000" w:themeColor="text1"/>
                <w:sz w:val="22"/>
                <w:szCs w:val="22"/>
                <w:lang w:val="sr-Cyrl-CS"/>
              </w:rPr>
              <w:t xml:space="preserve"> након прибављања одлуке управљачких органа корисника ловишта.</w:t>
            </w:r>
            <w:r w:rsidRPr="00793022">
              <w:rPr>
                <w:bCs/>
                <w:color w:val="000000" w:themeColor="text1"/>
                <w:sz w:val="22"/>
                <w:szCs w:val="22"/>
                <w:lang w:val="sr-Cyrl-CS"/>
              </w:rPr>
              <w:t>“</w:t>
            </w:r>
          </w:p>
          <w:p w14:paraId="050C1FE7" w14:textId="50D169AF" w:rsidR="006524D6" w:rsidRPr="00793022" w:rsidRDefault="00376BA6" w:rsidP="00376BA6">
            <w:pPr>
              <w:pStyle w:val="auto-style5"/>
              <w:spacing w:after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793022">
              <w:rPr>
                <w:bCs/>
                <w:color w:val="000000" w:themeColor="text1"/>
                <w:sz w:val="22"/>
                <w:szCs w:val="22"/>
                <w:lang w:val="sr-Cyrl-CS"/>
              </w:rPr>
              <w:t>Члан 3.</w:t>
            </w:r>
          </w:p>
          <w:p w14:paraId="3F16609C" w14:textId="68185E89" w:rsidR="00BF75C8" w:rsidRPr="00793022" w:rsidRDefault="006524D6" w:rsidP="0096011A">
            <w:pPr>
              <w:pStyle w:val="NormalWeb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bCs/>
                <w:color w:val="000000" w:themeColor="text1"/>
                <w:sz w:val="22"/>
                <w:szCs w:val="22"/>
                <w:lang w:val="sr-Cyrl-CS"/>
              </w:rPr>
            </w:pPr>
            <w:r w:rsidRPr="00793022">
              <w:rPr>
                <w:bCs/>
                <w:color w:val="000000" w:themeColor="text1"/>
                <w:sz w:val="22"/>
                <w:szCs w:val="22"/>
                <w:lang w:val="sr-Cyrl-CS"/>
              </w:rPr>
              <w:t>Овај закон ступа на снагу осмог дана од дана објављивања у „Службеном гласнику Републике Србије“.</w:t>
            </w:r>
          </w:p>
          <w:p w14:paraId="09EF9FAA" w14:textId="05CBE8F6" w:rsidR="0096011A" w:rsidRPr="00793022" w:rsidRDefault="0096011A" w:rsidP="0096011A">
            <w:pPr>
              <w:pStyle w:val="NormalWeb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bCs/>
                <w:color w:val="000000" w:themeColor="text1"/>
                <w:sz w:val="22"/>
                <w:szCs w:val="22"/>
                <w:lang w:val="sr-Cyrl-CS"/>
              </w:rPr>
            </w:pPr>
          </w:p>
          <w:p w14:paraId="7AB4C881" w14:textId="062E0AF5" w:rsidR="0096011A" w:rsidRPr="00793022" w:rsidRDefault="00896E71" w:rsidP="00896E71">
            <w:pPr>
              <w:pStyle w:val="NormalWeb"/>
              <w:shd w:val="clear" w:color="auto" w:fill="FFFFFF"/>
              <w:spacing w:before="0" w:beforeAutospacing="0" w:after="150" w:afterAutospacing="0"/>
              <w:ind w:firstLine="480"/>
              <w:jc w:val="center"/>
              <w:rPr>
                <w:b/>
                <w:color w:val="000000" w:themeColor="text1"/>
                <w:sz w:val="22"/>
                <w:szCs w:val="22"/>
                <w:lang w:val="sr-Latn-RS"/>
              </w:rPr>
            </w:pPr>
            <w:r w:rsidRPr="00793022">
              <w:rPr>
                <w:b/>
                <w:color w:val="000000" w:themeColor="text1"/>
                <w:sz w:val="22"/>
                <w:szCs w:val="22"/>
                <w:lang w:val="sr-Latn-RS"/>
              </w:rPr>
              <w:t>2</w:t>
            </w:r>
          </w:p>
          <w:p w14:paraId="070812DD" w14:textId="77777777" w:rsidR="00AE5484" w:rsidRDefault="00E36D8A" w:rsidP="00AE5484">
            <w:pPr>
              <w:pStyle w:val="auto-style4"/>
              <w:shd w:val="clear" w:color="auto" w:fill="FFFFFF"/>
              <w:ind w:right="586"/>
              <w:jc w:val="right"/>
              <w:rPr>
                <w:b/>
                <w:color w:val="000000" w:themeColor="text1"/>
                <w:sz w:val="22"/>
                <w:szCs w:val="22"/>
                <w:lang w:val="sr-Cyrl-CS"/>
              </w:rPr>
            </w:pPr>
            <w:r w:rsidRPr="00793022">
              <w:rPr>
                <w:b/>
                <w:color w:val="000000" w:themeColor="text1"/>
                <w:sz w:val="22"/>
                <w:szCs w:val="22"/>
                <w:lang w:val="sr-Cyrl-CS"/>
              </w:rPr>
              <w:t>НАЦРТ</w:t>
            </w:r>
          </w:p>
          <w:p w14:paraId="37D66591" w14:textId="673568F3" w:rsidR="00E36D8A" w:rsidRPr="00793022" w:rsidRDefault="00896E71" w:rsidP="00896E71">
            <w:pPr>
              <w:pStyle w:val="auto-style4"/>
              <w:shd w:val="clear" w:color="auto" w:fill="FFFFFF"/>
              <w:ind w:right="586"/>
              <w:jc w:val="center"/>
              <w:rPr>
                <w:b/>
                <w:color w:val="000000" w:themeColor="text1"/>
                <w:sz w:val="22"/>
                <w:lang w:val="sr-Cyrl-RS"/>
              </w:rPr>
            </w:pPr>
            <w:r w:rsidRPr="00793022">
              <w:rPr>
                <w:b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="00BF75C8" w:rsidRPr="00793022">
              <w:rPr>
                <w:b/>
                <w:color w:val="000000" w:themeColor="text1"/>
                <w:sz w:val="22"/>
                <w:lang w:val="sr-Cyrl-RS"/>
              </w:rPr>
              <w:t>ПРАВИЛНИК</w:t>
            </w:r>
            <w:r w:rsidR="00E36D8A" w:rsidRPr="00793022">
              <w:rPr>
                <w:b/>
                <w:color w:val="000000" w:themeColor="text1"/>
                <w:sz w:val="22"/>
                <w:lang w:val="sr-Cyrl-RS"/>
              </w:rPr>
              <w:t xml:space="preserve"> О ДОПУНАМА </w:t>
            </w:r>
            <w:r w:rsidR="00BF75C8" w:rsidRPr="00793022">
              <w:rPr>
                <w:b/>
                <w:color w:val="000000" w:themeColor="text1"/>
                <w:sz w:val="22"/>
                <w:lang w:val="sr-Cyrl-RS"/>
              </w:rPr>
              <w:t xml:space="preserve">ПРАВИЛНИКА О САДРЖИНИ </w:t>
            </w:r>
            <w:r w:rsidR="0096011A" w:rsidRPr="00793022">
              <w:rPr>
                <w:b/>
                <w:color w:val="000000" w:themeColor="text1"/>
                <w:sz w:val="22"/>
                <w:lang w:val="sr-Cyrl-RS"/>
              </w:rPr>
              <w:t xml:space="preserve">                                           </w:t>
            </w:r>
            <w:r w:rsidR="00BF75C8" w:rsidRPr="00793022">
              <w:rPr>
                <w:b/>
                <w:color w:val="000000" w:themeColor="text1"/>
                <w:sz w:val="22"/>
                <w:lang w:val="sr-Cyrl-RS"/>
              </w:rPr>
              <w:t>И НАЧИНУ ПЛАНСКИХ ДОКУМЕНАТА У ЛОВСТВУ</w:t>
            </w:r>
          </w:p>
          <w:p w14:paraId="37034C1C" w14:textId="77777777" w:rsidR="00E36D8A" w:rsidRPr="00793022" w:rsidRDefault="00E36D8A" w:rsidP="00E36D8A">
            <w:pPr>
              <w:pStyle w:val="auto-style4"/>
              <w:shd w:val="clear" w:color="auto" w:fill="FFFFFF"/>
              <w:jc w:val="center"/>
              <w:rPr>
                <w:color w:val="000000" w:themeColor="text1"/>
                <w:sz w:val="22"/>
                <w:szCs w:val="22"/>
                <w:lang w:val="sr-Cyrl-CS"/>
              </w:rPr>
            </w:pPr>
            <w:r w:rsidRPr="00793022">
              <w:rPr>
                <w:color w:val="000000" w:themeColor="text1"/>
                <w:sz w:val="22"/>
                <w:szCs w:val="22"/>
                <w:lang w:val="sr-Cyrl-CS"/>
              </w:rPr>
              <w:t>Члан 1.</w:t>
            </w:r>
          </w:p>
          <w:p w14:paraId="148B9F3F" w14:textId="1F9E7C8B" w:rsidR="00E36D8A" w:rsidRPr="00793022" w:rsidRDefault="00E36D8A" w:rsidP="00E36D8A">
            <w:pPr>
              <w:pStyle w:val="auto-style4"/>
              <w:shd w:val="clear" w:color="auto" w:fill="FFFFFF"/>
              <w:jc w:val="both"/>
              <w:rPr>
                <w:color w:val="000000" w:themeColor="text1"/>
                <w:sz w:val="22"/>
                <w:szCs w:val="22"/>
                <w:lang w:val="sr-Cyrl-CS"/>
              </w:rPr>
            </w:pPr>
            <w:r w:rsidRPr="00793022">
              <w:rPr>
                <w:color w:val="000000" w:themeColor="text1"/>
                <w:sz w:val="22"/>
                <w:szCs w:val="22"/>
                <w:lang w:val="sr-Cyrl-RS"/>
              </w:rPr>
              <w:t xml:space="preserve">У </w:t>
            </w:r>
            <w:r w:rsidR="00BF75C8" w:rsidRPr="00793022">
              <w:rPr>
                <w:color w:val="000000" w:themeColor="text1"/>
                <w:sz w:val="22"/>
                <w:lang w:val="sr-Cyrl-RS"/>
              </w:rPr>
              <w:t xml:space="preserve">Правилнику о садржини и начину планских докумената у ловству </w:t>
            </w:r>
            <w:r w:rsidRPr="00793022">
              <w:rPr>
                <w:color w:val="000000" w:themeColor="text1"/>
                <w:sz w:val="22"/>
                <w:szCs w:val="20"/>
                <w:lang w:val="sr-Cyrl-RS"/>
              </w:rPr>
              <w:t xml:space="preserve">(„Службени гласник РС“ број: </w:t>
            </w:r>
            <w:r w:rsidRPr="00793022">
              <w:rPr>
                <w:color w:val="000000" w:themeColor="text1"/>
                <w:sz w:val="22"/>
                <w:lang w:val="sr-Cyrl-RS"/>
              </w:rPr>
              <w:t xml:space="preserve">9/2012-91) </w:t>
            </w:r>
            <w:r w:rsidRPr="00793022">
              <w:rPr>
                <w:color w:val="000000" w:themeColor="text1"/>
                <w:sz w:val="22"/>
                <w:szCs w:val="22"/>
                <w:lang w:val="sr-Cyrl-CS"/>
              </w:rPr>
              <w:t>после члана 34. додаје се члан 34а. који гласи:</w:t>
            </w:r>
          </w:p>
          <w:p w14:paraId="047D001D" w14:textId="11D6B02D" w:rsidR="00E36D8A" w:rsidRPr="00793022" w:rsidRDefault="00BF75C8" w:rsidP="00E36D8A">
            <w:pPr>
              <w:pStyle w:val="auto-style4"/>
              <w:shd w:val="clear" w:color="auto" w:fill="FFFFFF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color w:val="000000" w:themeColor="text1"/>
                <w:sz w:val="22"/>
                <w:szCs w:val="22"/>
                <w:lang w:val="sr-Cyrl-RS"/>
              </w:rPr>
              <w:t>„</w:t>
            </w:r>
            <w:r w:rsidR="00E36D8A" w:rsidRPr="00793022">
              <w:rPr>
                <w:color w:val="000000" w:themeColor="text1"/>
                <w:sz w:val="22"/>
                <w:szCs w:val="22"/>
                <w:lang w:val="sr-Cyrl-RS"/>
              </w:rPr>
              <w:t>Накнаде за израду ловне основе и за ревизију ловне основе одређене су овим правилником и то у следећим износима:</w:t>
            </w:r>
          </w:p>
          <w:p w14:paraId="4A7A1022" w14:textId="77777777" w:rsidR="00E36D8A" w:rsidRPr="00793022" w:rsidRDefault="00E36D8A" w:rsidP="00E36D8A">
            <w:pPr>
              <w:pStyle w:val="NormalWeb"/>
              <w:numPr>
                <w:ilvl w:val="0"/>
                <w:numId w:val="29"/>
              </w:numPr>
              <w:shd w:val="clear" w:color="auto" w:fill="FFFFFF"/>
              <w:spacing w:before="0" w:beforeAutospacing="0" w:after="15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793022">
              <w:rPr>
                <w:color w:val="000000" w:themeColor="text1"/>
                <w:sz w:val="22"/>
                <w:szCs w:val="22"/>
                <w:lang w:val="sr-Cyrl-CS"/>
              </w:rPr>
              <w:lastRenderedPageBreak/>
              <w:t>Накнада за израду ловне основе исноси 20.000,00 динара</w:t>
            </w:r>
          </w:p>
          <w:p w14:paraId="47C9B9A6" w14:textId="77777777" w:rsidR="00E36D8A" w:rsidRPr="00793022" w:rsidRDefault="00E36D8A" w:rsidP="00E36D8A">
            <w:pPr>
              <w:pStyle w:val="NormalWeb"/>
              <w:numPr>
                <w:ilvl w:val="0"/>
                <w:numId w:val="29"/>
              </w:numPr>
              <w:shd w:val="clear" w:color="auto" w:fill="FFFFFF"/>
              <w:spacing w:before="0" w:beforeAutospacing="0" w:after="15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793022">
              <w:rPr>
                <w:color w:val="000000" w:themeColor="text1"/>
                <w:sz w:val="22"/>
                <w:szCs w:val="22"/>
                <w:lang w:val="sr-Cyrl-CS"/>
              </w:rPr>
              <w:t xml:space="preserve">Накнада за ревизију ловне основе износи 15.000,00 динара </w:t>
            </w:r>
          </w:p>
          <w:p w14:paraId="20E3F238" w14:textId="77777777" w:rsidR="00E36D8A" w:rsidRPr="00793022" w:rsidRDefault="00E36D8A" w:rsidP="00E36D8A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63D00ACF" w14:textId="091B82AC" w:rsidR="00E36D8A" w:rsidRPr="00793022" w:rsidRDefault="00E36D8A" w:rsidP="00E36D8A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jc w:val="both"/>
              <w:rPr>
                <w:color w:val="000000" w:themeColor="text1"/>
                <w:sz w:val="22"/>
                <w:lang w:val="sr-Cyrl-CS"/>
              </w:rPr>
            </w:pPr>
            <w:r w:rsidRPr="00793022">
              <w:rPr>
                <w:color w:val="000000" w:themeColor="text1"/>
                <w:sz w:val="22"/>
                <w:lang w:val="sr-Cyrl-CS"/>
              </w:rPr>
              <w:t>Накнаде се уплаћују на посебан рачун Управе за шуме.</w:t>
            </w:r>
            <w:r w:rsidR="00BF75C8" w:rsidRPr="00793022">
              <w:rPr>
                <w:color w:val="000000" w:themeColor="text1"/>
                <w:sz w:val="22"/>
                <w:lang w:val="sr-Cyrl-CS"/>
              </w:rPr>
              <w:t>“</w:t>
            </w:r>
          </w:p>
          <w:p w14:paraId="7F70C7F6" w14:textId="77777777" w:rsidR="0096011A" w:rsidRPr="00793022" w:rsidRDefault="0096011A" w:rsidP="00E36D8A">
            <w:pPr>
              <w:pStyle w:val="NormalWeb"/>
              <w:shd w:val="clear" w:color="auto" w:fill="FFFFFF"/>
              <w:spacing w:before="0" w:beforeAutospacing="0" w:after="0" w:afterAutospacing="0"/>
              <w:ind w:firstLine="480"/>
              <w:jc w:val="both"/>
              <w:rPr>
                <w:color w:val="000000" w:themeColor="text1"/>
                <w:sz w:val="16"/>
                <w:szCs w:val="18"/>
              </w:rPr>
            </w:pPr>
          </w:p>
          <w:p w14:paraId="15944906" w14:textId="77777777" w:rsidR="00E36D8A" w:rsidRPr="00793022" w:rsidRDefault="00E36D8A" w:rsidP="00E36D8A">
            <w:pPr>
              <w:pStyle w:val="auto-style5"/>
              <w:shd w:val="clear" w:color="auto" w:fill="FFFFFF"/>
              <w:spacing w:after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793022">
              <w:rPr>
                <w:bCs/>
                <w:color w:val="000000" w:themeColor="text1"/>
                <w:sz w:val="22"/>
                <w:szCs w:val="22"/>
                <w:lang w:val="sr-Cyrl-CS"/>
              </w:rPr>
              <w:t>Члан 2.</w:t>
            </w:r>
          </w:p>
          <w:p w14:paraId="74C233EF" w14:textId="370FCC8F" w:rsidR="00E36D8A" w:rsidRPr="00793022" w:rsidRDefault="00E36D8A" w:rsidP="00E36D8A">
            <w:pPr>
              <w:pStyle w:val="NormalWeb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color w:val="000000" w:themeColor="text1"/>
                <w:sz w:val="22"/>
                <w:lang w:val="sr-Cyrl-RS"/>
              </w:rPr>
            </w:pPr>
            <w:r w:rsidRPr="00793022">
              <w:rPr>
                <w:bCs/>
                <w:color w:val="000000" w:themeColor="text1"/>
                <w:sz w:val="22"/>
                <w:szCs w:val="22"/>
                <w:lang w:val="sr-Cyrl-CS"/>
              </w:rPr>
              <w:t xml:space="preserve">Овај </w:t>
            </w:r>
            <w:r w:rsidR="00BF75C8" w:rsidRPr="00793022">
              <w:rPr>
                <w:bCs/>
                <w:color w:val="000000" w:themeColor="text1"/>
                <w:sz w:val="22"/>
                <w:szCs w:val="22"/>
                <w:lang w:val="sr-Cyrl-CS"/>
              </w:rPr>
              <w:t>прави</w:t>
            </w:r>
            <w:r w:rsidR="00376BA6" w:rsidRPr="00793022">
              <w:rPr>
                <w:bCs/>
                <w:color w:val="000000" w:themeColor="text1"/>
                <w:sz w:val="22"/>
                <w:szCs w:val="22"/>
                <w:lang w:val="sr-Cyrl-CS"/>
              </w:rPr>
              <w:t>л</w:t>
            </w:r>
            <w:r w:rsidR="00BF75C8" w:rsidRPr="00793022">
              <w:rPr>
                <w:bCs/>
                <w:color w:val="000000" w:themeColor="text1"/>
                <w:sz w:val="22"/>
                <w:szCs w:val="22"/>
                <w:lang w:val="sr-Cyrl-CS"/>
              </w:rPr>
              <w:t>ник</w:t>
            </w:r>
            <w:r w:rsidRPr="00793022">
              <w:rPr>
                <w:bCs/>
                <w:color w:val="000000" w:themeColor="text1"/>
                <w:sz w:val="22"/>
                <w:szCs w:val="22"/>
                <w:lang w:val="sr-Cyrl-CS"/>
              </w:rPr>
              <w:t xml:space="preserve"> ступа на снагу осмог дана од дана објављивања у „Службеном гласнику Републике Србије“.</w:t>
            </w:r>
          </w:p>
          <w:p w14:paraId="39763933" w14:textId="11BAA3CA" w:rsidR="00B60419" w:rsidRPr="00793022" w:rsidRDefault="00B60419" w:rsidP="00DB19B9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</w:tc>
      </w:tr>
      <w:tr w:rsidR="00793022" w:rsidRPr="00793022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793022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793022" w:rsidRPr="00793022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75C8B93" w14:textId="017E8B8C" w:rsidR="00CA1CE9" w:rsidRPr="00793022" w:rsidRDefault="00896E71" w:rsidP="00896E71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Latn-RS"/>
              </w:rPr>
            </w:pPr>
            <w:r w:rsidRPr="0079302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Latn-RS"/>
              </w:rPr>
              <w:t>1</w:t>
            </w:r>
          </w:p>
          <w:p w14:paraId="6EBC2251" w14:textId="77777777" w:rsidR="00896E71" w:rsidRPr="00793022" w:rsidRDefault="00896E71" w:rsidP="00896E71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Latn-RS"/>
              </w:rPr>
            </w:pPr>
          </w:p>
          <w:p w14:paraId="27B2A804" w14:textId="12BFCA79" w:rsidR="007D7A79" w:rsidRPr="00793022" w:rsidRDefault="00376BA6" w:rsidP="00896E71">
            <w:pPr>
              <w:spacing w:after="12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9302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CS"/>
              </w:rPr>
              <w:t xml:space="preserve">ПРЕГЛЕД ОДРЕДБИ </w:t>
            </w:r>
            <w:r w:rsidRPr="0079302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ЗАКОНА </w:t>
            </w:r>
            <w:r w:rsidRPr="00793022">
              <w:rPr>
                <w:rFonts w:ascii="Times New Roman" w:hAnsi="Times New Roman"/>
                <w:b/>
                <w:color w:val="000000" w:themeColor="text1"/>
                <w:sz w:val="22"/>
                <w:lang w:val="sr-Cyrl-RS"/>
              </w:rPr>
              <w:t>О ДИВЉАЧИ И ЛОВСТВУ</w:t>
            </w:r>
            <w:r w:rsidRPr="00793022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 </w:t>
            </w:r>
            <w:r w:rsidRPr="0079302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КОЈЕ СЕ МЕЊАЈУ И ДОПУЊУЈУ</w:t>
            </w:r>
          </w:p>
          <w:p w14:paraId="131B38AC" w14:textId="77777777" w:rsidR="0096011A" w:rsidRPr="00793022" w:rsidRDefault="0096011A" w:rsidP="00376BA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25D540BE" w14:textId="58175B6D" w:rsidR="00376BA6" w:rsidRPr="00793022" w:rsidRDefault="00376BA6" w:rsidP="00376BA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Члан 37.</w:t>
            </w:r>
          </w:p>
          <w:p w14:paraId="01218096" w14:textId="77777777" w:rsidR="00376BA6" w:rsidRPr="00793022" w:rsidRDefault="00376BA6" w:rsidP="00376BA6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7D4E9982" w14:textId="77777777" w:rsidR="00376BA6" w:rsidRPr="00793022" w:rsidRDefault="00376BA6" w:rsidP="00376BA6">
            <w:pPr>
              <w:jc w:val="left"/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4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Део ловишта се може ограђивати ако је власник земљишта дао сагласност </w:t>
            </w:r>
            <w:r w:rsidRPr="00793022"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4"/>
                <w:lang w:val="sr-Cyrl-RS"/>
              </w:rPr>
              <w:t>и ако је на програм газдовања за ограђени део ловишта прибављена сагласност у складу са овим законом и законом којим се уређује ветеринарство.</w:t>
            </w:r>
          </w:p>
          <w:p w14:paraId="4B641813" w14:textId="77777777" w:rsidR="00376BA6" w:rsidRPr="00793022" w:rsidRDefault="00376BA6" w:rsidP="00376BA6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6E583CE4" w14:textId="4164660B" w:rsidR="007D7A79" w:rsidRPr="00793022" w:rsidRDefault="00376BA6" w:rsidP="00376BA6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Површина ограђеног терена за обуку паса не може бити већа од 5 hа.</w:t>
            </w:r>
          </w:p>
          <w:p w14:paraId="43AB8F7C" w14:textId="27AC5992" w:rsidR="00376BA6" w:rsidRPr="00793022" w:rsidRDefault="00376BA6" w:rsidP="00376BA6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19F5017F" w14:textId="77777777" w:rsidR="00376BA6" w:rsidRPr="00793022" w:rsidRDefault="00376BA6" w:rsidP="00376BA6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6C685FD3" w14:textId="77777777" w:rsidR="00376BA6" w:rsidRPr="00793022" w:rsidRDefault="00376BA6" w:rsidP="00376BA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Члан 49.</w:t>
            </w:r>
          </w:p>
          <w:p w14:paraId="7B311C28" w14:textId="77777777" w:rsidR="00376BA6" w:rsidRPr="00793022" w:rsidRDefault="00376BA6" w:rsidP="00376BA6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26122A23" w14:textId="77777777" w:rsidR="00376BA6" w:rsidRPr="00793022" w:rsidRDefault="00376BA6" w:rsidP="00376BA6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Програм развоја ловног подручја, ловну основу, годишњи план, програм газдовања за ограђени део ловишта и програм насељавања дивљачи израђује правно лице регистровано за обављање послова планирања у ловству које има запослено лице са лиценцом за израду планских докумената.</w:t>
            </w:r>
          </w:p>
          <w:p w14:paraId="21E74115" w14:textId="77777777" w:rsidR="00376BA6" w:rsidRPr="00793022" w:rsidRDefault="00376BA6" w:rsidP="00376BA6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3FB8773B" w14:textId="31350BC0" w:rsidR="00376BA6" w:rsidRPr="00793022" w:rsidRDefault="00376BA6" w:rsidP="00376BA6">
            <w:pPr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4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4"/>
                <w:lang w:val="sr-Cyrl-RS"/>
              </w:rPr>
              <w:t>Ловна основа, програм газдовања за ограђени део ловишта и програм насељавања дивљачи доноси се по претходно прибављеној сагласности Министарства, а на територији аутономне покрајине надлежног покрајинског органа.</w:t>
            </w:r>
          </w:p>
          <w:p w14:paraId="5B1082F0" w14:textId="237C2840" w:rsidR="00376BA6" w:rsidRPr="00793022" w:rsidRDefault="00376BA6" w:rsidP="00376BA6">
            <w:pPr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4"/>
                <w:lang w:val="sr-Cyrl-RS"/>
              </w:rPr>
            </w:pPr>
          </w:p>
          <w:p w14:paraId="6A2F6962" w14:textId="2BC3B6B7" w:rsidR="00376BA6" w:rsidRPr="00793022" w:rsidRDefault="00243A69" w:rsidP="00376BA6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МИНИСТАРСТВО, А НА ТЕРИТОРИЈИ АУТОНОМНЕ ПОКРАЈИНЕ НАДЛЕЖНИ ПОКРАЈИНСКИ ОРГАН, ДАЈЕ САГЛАСНОСТ НА ЛОВНУ ОСНОВУ, ПРОГРАМ ГАЗДОВАЊА ЗА ОГРАЂЕНИ ДЕО ЛОВИШТА И ПРОГРАМ НАСЕЉАВАЊА ДИВЉАЧИ НАКОН ПРИБАВЉАЊА ОДЛУКЕ УПРАВЉАЧКИХ ОРГАНА КОРИСНИКА ЛОВИШТА.</w:t>
            </w:r>
          </w:p>
          <w:p w14:paraId="22C2D98B" w14:textId="77777777" w:rsidR="00376BA6" w:rsidRPr="00793022" w:rsidRDefault="00376BA6" w:rsidP="00376BA6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28206B6F" w14:textId="77777777" w:rsidR="00376BA6" w:rsidRPr="00793022" w:rsidRDefault="00376BA6" w:rsidP="00376BA6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Министарство расписује јавни конкурс за израду програма развоја ловног подручја, у року од 90 дана од дана установљења ловног подручја, односно најкасније шест месеци пре истека времена за које је донет претходни програм.</w:t>
            </w:r>
          </w:p>
          <w:p w14:paraId="7EC6552A" w14:textId="77777777" w:rsidR="00376BA6" w:rsidRPr="00793022" w:rsidRDefault="00376BA6" w:rsidP="00376BA6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4FBC0B08" w14:textId="68610FEF" w:rsidR="007D7A79" w:rsidRPr="00793022" w:rsidRDefault="00376BA6" w:rsidP="00376BA6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Министар ближе прописује садржину и начин израде програма развоја ловног подручја, ловне основе, годишњег плана, програма газдовања за ограђени део ловишта и програма насељавања дивљачи.</w:t>
            </w:r>
          </w:p>
          <w:p w14:paraId="6EAD3C15" w14:textId="7FD93F4C" w:rsidR="00376BA6" w:rsidRDefault="00376BA6" w:rsidP="00376BA6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4C5E484F" w14:textId="3653F882" w:rsidR="00AE5484" w:rsidRDefault="00AE5484" w:rsidP="00376BA6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4E7157EF" w14:textId="12439C24" w:rsidR="00AE5484" w:rsidRDefault="00AE5484" w:rsidP="00376BA6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46C9BC16" w14:textId="4F39CABE" w:rsidR="00AE5484" w:rsidRDefault="00AE5484" w:rsidP="00376BA6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7723C2A5" w14:textId="5AF30DFB" w:rsidR="00AE5484" w:rsidRDefault="00AE5484" w:rsidP="00376BA6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396C4BBF" w14:textId="77777777" w:rsidR="00AE5484" w:rsidRPr="00793022" w:rsidRDefault="00AE5484" w:rsidP="00376BA6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0D7F4028" w14:textId="770230BF" w:rsidR="0096011A" w:rsidRPr="00793022" w:rsidRDefault="00896E71" w:rsidP="00896E71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Latn-RS"/>
              </w:rPr>
            </w:pPr>
            <w:r w:rsidRPr="0079302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Latn-RS"/>
              </w:rPr>
              <w:t>2</w:t>
            </w:r>
          </w:p>
          <w:p w14:paraId="53F2E4F7" w14:textId="77777777" w:rsidR="004E74D5" w:rsidRPr="00793022" w:rsidRDefault="004E74D5" w:rsidP="00376BA6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23604E42" w14:textId="77777777" w:rsidR="007D7A79" w:rsidRPr="00793022" w:rsidRDefault="007D7A79" w:rsidP="00DB19B9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632EDBED" w14:textId="28D5D354" w:rsidR="00376BA6" w:rsidRPr="00793022" w:rsidRDefault="00376BA6" w:rsidP="00793022">
            <w:pPr>
              <w:spacing w:after="12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9302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CS"/>
              </w:rPr>
              <w:t xml:space="preserve">ПРЕГЛЕД ОДРЕДБИ </w:t>
            </w:r>
            <w:r w:rsidRPr="00793022">
              <w:rPr>
                <w:rFonts w:ascii="Times New Roman" w:hAnsi="Times New Roman"/>
                <w:b/>
                <w:color w:val="000000" w:themeColor="text1"/>
                <w:sz w:val="22"/>
                <w:lang w:val="sr-Cyrl-RS"/>
              </w:rPr>
              <w:t>ПРАВИЛНИКА О САДРЖИНИ И НАЧИНУ ПЛАНСКИХ ДОКУМЕНАТА У ЛОВСТВУ</w:t>
            </w:r>
            <w:r w:rsidRPr="0079302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КОЈИ СЕ ДОПУЊУЈУ</w:t>
            </w:r>
          </w:p>
          <w:p w14:paraId="2E9EECF2" w14:textId="3348808C" w:rsidR="00376BA6" w:rsidRPr="00793022" w:rsidRDefault="00243A69" w:rsidP="00376BA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ЧЛАН 34А.</w:t>
            </w:r>
          </w:p>
          <w:p w14:paraId="5600E589" w14:textId="7B728BB6" w:rsidR="00376BA6" w:rsidRPr="00793022" w:rsidRDefault="00376BA6" w:rsidP="00376BA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08C21F1F" w14:textId="150727E8" w:rsidR="004E74D5" w:rsidRPr="00793022" w:rsidRDefault="00243A69" w:rsidP="004E74D5">
            <w:pPr>
              <w:spacing w:line="480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НАКНАДЕ ЗА ИЗРАДУ ЛОВНЕ ОСНОВЕ И ЗА РЕВИЗИЈУ ЛОВНЕ ОСНОВЕ ОДРЕЂЕНЕ СУ ОВИМ ПРАВИЛНИКОМ И ТО У СЛЕДЕЋИМ ИЗНОСИМА:</w:t>
            </w:r>
          </w:p>
          <w:p w14:paraId="1A308C9B" w14:textId="6C270AE0" w:rsidR="004E74D5" w:rsidRPr="00793022" w:rsidRDefault="00243A69" w:rsidP="004E74D5">
            <w:pPr>
              <w:pStyle w:val="ListParagraph"/>
              <w:numPr>
                <w:ilvl w:val="0"/>
                <w:numId w:val="30"/>
              </w:numPr>
              <w:spacing w:line="480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НАКНАДА ЗА ИЗРАДУ ЛОВНЕ ОСНОВЕ ИСНОСИ 20.000,00 ДИНАРА</w:t>
            </w:r>
          </w:p>
          <w:p w14:paraId="286CCF5B" w14:textId="1782A7C1" w:rsidR="004E74D5" w:rsidRPr="00793022" w:rsidRDefault="00243A69" w:rsidP="004E74D5">
            <w:pPr>
              <w:pStyle w:val="ListParagraph"/>
              <w:numPr>
                <w:ilvl w:val="0"/>
                <w:numId w:val="30"/>
              </w:numPr>
              <w:spacing w:line="480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НАКНАДА ЗА РЕВИЗИЈУ ЛОВНЕ ОСНОВЕ ИЗНОСИ 15.000,00 ДИНАРА </w:t>
            </w:r>
          </w:p>
          <w:p w14:paraId="7466C83D" w14:textId="2C90DF73" w:rsidR="00376BA6" w:rsidRPr="00793022" w:rsidRDefault="00243A69" w:rsidP="004E74D5">
            <w:pPr>
              <w:spacing w:line="480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79302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НАКНАДЕ СЕ УПЛАЋУЈУ НА ПОСЕБАН РАЧУН УПРАВЕ ЗА ШУМЕ.</w:t>
            </w:r>
          </w:p>
          <w:p w14:paraId="1506ADFF" w14:textId="40A709C7" w:rsidR="00376BA6" w:rsidRPr="00793022" w:rsidRDefault="00376BA6" w:rsidP="00DB19B9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793022" w:rsidRPr="00793022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793022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793022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793022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2A48306" w14:textId="05C814E8" w:rsidR="006E0316" w:rsidRPr="00E83ACB" w:rsidRDefault="006E0316" w:rsidP="00E83ACB">
            <w:pPr>
              <w:shd w:val="clear" w:color="auto" w:fill="FFFFFF"/>
              <w:spacing w:after="160" w:line="259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6E0316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4.881.814,54 РСД. Усвајање и примена препорука ће донети привредним субјектима годишње директне уштеде од 739.506,47 РСД или 6.080,37 ЕУР. Ове уштеде износе 15,15% укупних директних трошкова привредних субјеката у поступку.  </w:t>
            </w:r>
          </w:p>
          <w:p w14:paraId="7C84BEE8" w14:textId="1981AE75" w:rsidR="00276288" w:rsidRPr="00877D2F" w:rsidRDefault="00276288" w:rsidP="00507EB3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877D2F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поступка.</w:t>
            </w:r>
          </w:p>
          <w:p w14:paraId="0562AE65" w14:textId="77777777" w:rsidR="00E83ACB" w:rsidRDefault="00E83ACB" w:rsidP="00E83ACB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5A3EB9A8" w14:textId="2BED027A" w:rsidR="00AE5484" w:rsidRDefault="00AE5484" w:rsidP="00AE5484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поступка, правној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сигурности привредних субјеката, поједностављењу поступка за привредне субјекте, смањењу издатака.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</w:t>
            </w:r>
            <w:r w:rsidR="00DB7690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  <w:p w14:paraId="33653CEC" w14:textId="77777777" w:rsidR="00AE5484" w:rsidRDefault="00AE5484" w:rsidP="00AE5484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31CCBA4" w14:textId="0DB73C77" w:rsidR="007D7A79" w:rsidRPr="00793022" w:rsidRDefault="007D7A79" w:rsidP="00DB19B9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793022" w:rsidRDefault="003E3C16" w:rsidP="003E3C16">
      <w:pPr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087A1C4" w14:textId="77777777" w:rsidR="00C24B57" w:rsidRPr="00793022" w:rsidRDefault="00C24B57" w:rsidP="003E3C16">
      <w:pPr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sectPr w:rsidR="00C24B57" w:rsidRPr="00793022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3F255" w14:textId="77777777" w:rsidR="00C44180" w:rsidRDefault="00C44180" w:rsidP="002A202F">
      <w:r>
        <w:separator/>
      </w:r>
    </w:p>
  </w:endnote>
  <w:endnote w:type="continuationSeparator" w:id="0">
    <w:p w14:paraId="342A8D7F" w14:textId="77777777" w:rsidR="00C44180" w:rsidRDefault="00C4418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2C132D2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79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EE09C" w14:textId="77777777" w:rsidR="00C44180" w:rsidRDefault="00C44180" w:rsidP="002A202F">
      <w:r>
        <w:separator/>
      </w:r>
    </w:p>
  </w:footnote>
  <w:footnote w:type="continuationSeparator" w:id="0">
    <w:p w14:paraId="34FFD31A" w14:textId="77777777" w:rsidR="00C44180" w:rsidRDefault="00C4418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D20C1"/>
    <w:multiLevelType w:val="hybridMultilevel"/>
    <w:tmpl w:val="9488A0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E6344"/>
    <w:multiLevelType w:val="hybridMultilevel"/>
    <w:tmpl w:val="71149124"/>
    <w:lvl w:ilvl="0" w:tplc="83D2A416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045E1A"/>
    <w:multiLevelType w:val="hybridMultilevel"/>
    <w:tmpl w:val="E3B4F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E072E9"/>
    <w:multiLevelType w:val="hybridMultilevel"/>
    <w:tmpl w:val="0D4434B4"/>
    <w:lvl w:ilvl="0" w:tplc="A24CEE7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211EA"/>
    <w:multiLevelType w:val="hybridMultilevel"/>
    <w:tmpl w:val="DC1EF762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56E58F6"/>
    <w:multiLevelType w:val="hybridMultilevel"/>
    <w:tmpl w:val="5CE07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5"/>
  </w:num>
  <w:num w:numId="4">
    <w:abstractNumId w:val="6"/>
  </w:num>
  <w:num w:numId="5">
    <w:abstractNumId w:val="2"/>
  </w:num>
  <w:num w:numId="6">
    <w:abstractNumId w:val="13"/>
  </w:num>
  <w:num w:numId="7">
    <w:abstractNumId w:val="29"/>
  </w:num>
  <w:num w:numId="8">
    <w:abstractNumId w:val="11"/>
  </w:num>
  <w:num w:numId="9">
    <w:abstractNumId w:val="26"/>
  </w:num>
  <w:num w:numId="10">
    <w:abstractNumId w:val="24"/>
  </w:num>
  <w:num w:numId="11">
    <w:abstractNumId w:val="22"/>
  </w:num>
  <w:num w:numId="12">
    <w:abstractNumId w:val="20"/>
  </w:num>
  <w:num w:numId="13">
    <w:abstractNumId w:val="17"/>
  </w:num>
  <w:num w:numId="14">
    <w:abstractNumId w:val="25"/>
  </w:num>
  <w:num w:numId="15">
    <w:abstractNumId w:val="19"/>
  </w:num>
  <w:num w:numId="16">
    <w:abstractNumId w:val="12"/>
  </w:num>
  <w:num w:numId="17">
    <w:abstractNumId w:val="10"/>
  </w:num>
  <w:num w:numId="18">
    <w:abstractNumId w:val="28"/>
  </w:num>
  <w:num w:numId="19">
    <w:abstractNumId w:val="7"/>
  </w:num>
  <w:num w:numId="20">
    <w:abstractNumId w:val="30"/>
  </w:num>
  <w:num w:numId="21">
    <w:abstractNumId w:val="8"/>
  </w:num>
  <w:num w:numId="22">
    <w:abstractNumId w:val="5"/>
  </w:num>
  <w:num w:numId="23">
    <w:abstractNumId w:val="18"/>
  </w:num>
  <w:num w:numId="24">
    <w:abstractNumId w:val="0"/>
  </w:num>
  <w:num w:numId="25">
    <w:abstractNumId w:val="27"/>
  </w:num>
  <w:num w:numId="26">
    <w:abstractNumId w:val="16"/>
  </w:num>
  <w:num w:numId="27">
    <w:abstractNumId w:val="1"/>
  </w:num>
  <w:num w:numId="28">
    <w:abstractNumId w:val="23"/>
  </w:num>
  <w:num w:numId="29">
    <w:abstractNumId w:val="4"/>
  </w:num>
  <w:num w:numId="30">
    <w:abstractNumId w:val="3"/>
  </w:num>
  <w:num w:numId="31">
    <w:abstractNumId w:val="21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190F"/>
    <w:rsid w:val="00036216"/>
    <w:rsid w:val="00036812"/>
    <w:rsid w:val="00044F35"/>
    <w:rsid w:val="00044F63"/>
    <w:rsid w:val="00050616"/>
    <w:rsid w:val="00061070"/>
    <w:rsid w:val="00083993"/>
    <w:rsid w:val="00092B84"/>
    <w:rsid w:val="0009542A"/>
    <w:rsid w:val="000A53F3"/>
    <w:rsid w:val="000A5CDC"/>
    <w:rsid w:val="000B54D7"/>
    <w:rsid w:val="000C5E4F"/>
    <w:rsid w:val="000D5029"/>
    <w:rsid w:val="000E2036"/>
    <w:rsid w:val="000F5E72"/>
    <w:rsid w:val="001041BA"/>
    <w:rsid w:val="001156BA"/>
    <w:rsid w:val="0015182D"/>
    <w:rsid w:val="00161847"/>
    <w:rsid w:val="00163516"/>
    <w:rsid w:val="00170CA7"/>
    <w:rsid w:val="001711C5"/>
    <w:rsid w:val="001A023F"/>
    <w:rsid w:val="001A3FAC"/>
    <w:rsid w:val="001A6472"/>
    <w:rsid w:val="001C5538"/>
    <w:rsid w:val="001D0EDE"/>
    <w:rsid w:val="001D20E2"/>
    <w:rsid w:val="001E38DE"/>
    <w:rsid w:val="001F65DB"/>
    <w:rsid w:val="001F7B31"/>
    <w:rsid w:val="0020601F"/>
    <w:rsid w:val="00212DA5"/>
    <w:rsid w:val="0021347C"/>
    <w:rsid w:val="00230183"/>
    <w:rsid w:val="002323AC"/>
    <w:rsid w:val="00243A69"/>
    <w:rsid w:val="00261404"/>
    <w:rsid w:val="002673B0"/>
    <w:rsid w:val="00275E2A"/>
    <w:rsid w:val="00276288"/>
    <w:rsid w:val="00296938"/>
    <w:rsid w:val="002A202F"/>
    <w:rsid w:val="002B19B4"/>
    <w:rsid w:val="002C3AB4"/>
    <w:rsid w:val="002F1BEC"/>
    <w:rsid w:val="002F4757"/>
    <w:rsid w:val="00322199"/>
    <w:rsid w:val="003223C7"/>
    <w:rsid w:val="003241AE"/>
    <w:rsid w:val="00326555"/>
    <w:rsid w:val="003410E0"/>
    <w:rsid w:val="00341A69"/>
    <w:rsid w:val="00344920"/>
    <w:rsid w:val="00350EAD"/>
    <w:rsid w:val="003651DB"/>
    <w:rsid w:val="003670A2"/>
    <w:rsid w:val="003715A0"/>
    <w:rsid w:val="0037171F"/>
    <w:rsid w:val="00376BA6"/>
    <w:rsid w:val="00376FD1"/>
    <w:rsid w:val="0039002C"/>
    <w:rsid w:val="003A274A"/>
    <w:rsid w:val="003B44DB"/>
    <w:rsid w:val="003B4BC9"/>
    <w:rsid w:val="003B6298"/>
    <w:rsid w:val="003E2EB1"/>
    <w:rsid w:val="003E3C16"/>
    <w:rsid w:val="0040275A"/>
    <w:rsid w:val="00407D96"/>
    <w:rsid w:val="00420965"/>
    <w:rsid w:val="00432495"/>
    <w:rsid w:val="0044368D"/>
    <w:rsid w:val="00444DA7"/>
    <w:rsid w:val="00446073"/>
    <w:rsid w:val="00457882"/>
    <w:rsid w:val="00463CC7"/>
    <w:rsid w:val="004809C4"/>
    <w:rsid w:val="0048433C"/>
    <w:rsid w:val="004847B1"/>
    <w:rsid w:val="0049212F"/>
    <w:rsid w:val="0049545B"/>
    <w:rsid w:val="0049765B"/>
    <w:rsid w:val="004B0261"/>
    <w:rsid w:val="004B0E2E"/>
    <w:rsid w:val="004C1E88"/>
    <w:rsid w:val="004D3BD0"/>
    <w:rsid w:val="004D45B1"/>
    <w:rsid w:val="004D68A7"/>
    <w:rsid w:val="004E29D1"/>
    <w:rsid w:val="004E74D5"/>
    <w:rsid w:val="00500566"/>
    <w:rsid w:val="005073A3"/>
    <w:rsid w:val="00507EB3"/>
    <w:rsid w:val="00523608"/>
    <w:rsid w:val="00525C0A"/>
    <w:rsid w:val="00535608"/>
    <w:rsid w:val="00556688"/>
    <w:rsid w:val="0056162B"/>
    <w:rsid w:val="0056707B"/>
    <w:rsid w:val="00576E41"/>
    <w:rsid w:val="00581A9D"/>
    <w:rsid w:val="005A2503"/>
    <w:rsid w:val="005A619A"/>
    <w:rsid w:val="005A7763"/>
    <w:rsid w:val="005B4EA8"/>
    <w:rsid w:val="005B4F04"/>
    <w:rsid w:val="005B7CB9"/>
    <w:rsid w:val="005D0023"/>
    <w:rsid w:val="005E21C4"/>
    <w:rsid w:val="005E40BA"/>
    <w:rsid w:val="005F0F44"/>
    <w:rsid w:val="005F4D59"/>
    <w:rsid w:val="0060001C"/>
    <w:rsid w:val="00600D31"/>
    <w:rsid w:val="0060786A"/>
    <w:rsid w:val="006237FE"/>
    <w:rsid w:val="00626559"/>
    <w:rsid w:val="00627AF7"/>
    <w:rsid w:val="00632540"/>
    <w:rsid w:val="00633F73"/>
    <w:rsid w:val="00645199"/>
    <w:rsid w:val="00645850"/>
    <w:rsid w:val="006524D6"/>
    <w:rsid w:val="00661ECF"/>
    <w:rsid w:val="006831E9"/>
    <w:rsid w:val="00692071"/>
    <w:rsid w:val="00694B28"/>
    <w:rsid w:val="006C5349"/>
    <w:rsid w:val="006C5F2A"/>
    <w:rsid w:val="006C662C"/>
    <w:rsid w:val="006E0316"/>
    <w:rsid w:val="006E0975"/>
    <w:rsid w:val="006F4A5C"/>
    <w:rsid w:val="00713E9E"/>
    <w:rsid w:val="00715F5C"/>
    <w:rsid w:val="007278C1"/>
    <w:rsid w:val="00733493"/>
    <w:rsid w:val="00737F1D"/>
    <w:rsid w:val="00782816"/>
    <w:rsid w:val="00785A46"/>
    <w:rsid w:val="007861E3"/>
    <w:rsid w:val="00793022"/>
    <w:rsid w:val="007940D6"/>
    <w:rsid w:val="007A37AC"/>
    <w:rsid w:val="007B1740"/>
    <w:rsid w:val="007C61B5"/>
    <w:rsid w:val="007C7987"/>
    <w:rsid w:val="007D3889"/>
    <w:rsid w:val="007D39E4"/>
    <w:rsid w:val="007D43A7"/>
    <w:rsid w:val="007D7A79"/>
    <w:rsid w:val="007E1695"/>
    <w:rsid w:val="007F204C"/>
    <w:rsid w:val="00804060"/>
    <w:rsid w:val="008166C9"/>
    <w:rsid w:val="00823416"/>
    <w:rsid w:val="00824E43"/>
    <w:rsid w:val="008325F2"/>
    <w:rsid w:val="00833D8C"/>
    <w:rsid w:val="00834C9A"/>
    <w:rsid w:val="0084708C"/>
    <w:rsid w:val="00850AD5"/>
    <w:rsid w:val="00852739"/>
    <w:rsid w:val="008629CC"/>
    <w:rsid w:val="008629FC"/>
    <w:rsid w:val="00865EBB"/>
    <w:rsid w:val="00877D2F"/>
    <w:rsid w:val="00886C36"/>
    <w:rsid w:val="00896E71"/>
    <w:rsid w:val="008A6AC8"/>
    <w:rsid w:val="008B775B"/>
    <w:rsid w:val="008C5591"/>
    <w:rsid w:val="008C7FA7"/>
    <w:rsid w:val="008D04A6"/>
    <w:rsid w:val="008D4C1A"/>
    <w:rsid w:val="008F0867"/>
    <w:rsid w:val="008F172F"/>
    <w:rsid w:val="008F2044"/>
    <w:rsid w:val="008F2BE1"/>
    <w:rsid w:val="008F4DD1"/>
    <w:rsid w:val="009056DB"/>
    <w:rsid w:val="009113D6"/>
    <w:rsid w:val="00947592"/>
    <w:rsid w:val="00950280"/>
    <w:rsid w:val="0096011A"/>
    <w:rsid w:val="00991A18"/>
    <w:rsid w:val="00994A16"/>
    <w:rsid w:val="009A30D3"/>
    <w:rsid w:val="009D03A7"/>
    <w:rsid w:val="009D4D91"/>
    <w:rsid w:val="009E0479"/>
    <w:rsid w:val="009E488A"/>
    <w:rsid w:val="00A0102E"/>
    <w:rsid w:val="00A12960"/>
    <w:rsid w:val="00A1570D"/>
    <w:rsid w:val="00A22386"/>
    <w:rsid w:val="00A25299"/>
    <w:rsid w:val="00A37623"/>
    <w:rsid w:val="00A56B75"/>
    <w:rsid w:val="00A57831"/>
    <w:rsid w:val="00A71C04"/>
    <w:rsid w:val="00A96B14"/>
    <w:rsid w:val="00AA0017"/>
    <w:rsid w:val="00AA41F5"/>
    <w:rsid w:val="00AA4BC5"/>
    <w:rsid w:val="00AB09B3"/>
    <w:rsid w:val="00AC02D1"/>
    <w:rsid w:val="00AC144E"/>
    <w:rsid w:val="00AE5484"/>
    <w:rsid w:val="00B06019"/>
    <w:rsid w:val="00B07409"/>
    <w:rsid w:val="00B1006E"/>
    <w:rsid w:val="00B13869"/>
    <w:rsid w:val="00B178FB"/>
    <w:rsid w:val="00B5252A"/>
    <w:rsid w:val="00B60419"/>
    <w:rsid w:val="00B63DB1"/>
    <w:rsid w:val="00B67138"/>
    <w:rsid w:val="00B6715C"/>
    <w:rsid w:val="00B7028F"/>
    <w:rsid w:val="00B81CFE"/>
    <w:rsid w:val="00B903AE"/>
    <w:rsid w:val="00B9157F"/>
    <w:rsid w:val="00B95225"/>
    <w:rsid w:val="00BA55D3"/>
    <w:rsid w:val="00BA6759"/>
    <w:rsid w:val="00BA7204"/>
    <w:rsid w:val="00BB1C60"/>
    <w:rsid w:val="00BB2C8C"/>
    <w:rsid w:val="00BC6826"/>
    <w:rsid w:val="00BD27D8"/>
    <w:rsid w:val="00BF75C8"/>
    <w:rsid w:val="00C0295C"/>
    <w:rsid w:val="00C03C06"/>
    <w:rsid w:val="00C07D76"/>
    <w:rsid w:val="00C121EC"/>
    <w:rsid w:val="00C12C65"/>
    <w:rsid w:val="00C24B57"/>
    <w:rsid w:val="00C319B6"/>
    <w:rsid w:val="00C44180"/>
    <w:rsid w:val="00C445E2"/>
    <w:rsid w:val="00C63E2C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CF39AA"/>
    <w:rsid w:val="00D1484A"/>
    <w:rsid w:val="00D27AA7"/>
    <w:rsid w:val="00D37EA5"/>
    <w:rsid w:val="00D67AF1"/>
    <w:rsid w:val="00D73628"/>
    <w:rsid w:val="00D73918"/>
    <w:rsid w:val="00D830C8"/>
    <w:rsid w:val="00D85459"/>
    <w:rsid w:val="00D967D7"/>
    <w:rsid w:val="00DA125D"/>
    <w:rsid w:val="00DA2854"/>
    <w:rsid w:val="00DB19B9"/>
    <w:rsid w:val="00DB7690"/>
    <w:rsid w:val="00DC4BC2"/>
    <w:rsid w:val="00DC6A76"/>
    <w:rsid w:val="00DD44E9"/>
    <w:rsid w:val="00DE057D"/>
    <w:rsid w:val="00DF32E3"/>
    <w:rsid w:val="00DF6C9D"/>
    <w:rsid w:val="00E0020F"/>
    <w:rsid w:val="00E118C7"/>
    <w:rsid w:val="00E1427B"/>
    <w:rsid w:val="00E14E0D"/>
    <w:rsid w:val="00E2143C"/>
    <w:rsid w:val="00E22B8B"/>
    <w:rsid w:val="00E305EA"/>
    <w:rsid w:val="00E30839"/>
    <w:rsid w:val="00E317D1"/>
    <w:rsid w:val="00E36D8A"/>
    <w:rsid w:val="00E40DF0"/>
    <w:rsid w:val="00E4267B"/>
    <w:rsid w:val="00E45290"/>
    <w:rsid w:val="00E47DAC"/>
    <w:rsid w:val="00E52E12"/>
    <w:rsid w:val="00E56786"/>
    <w:rsid w:val="00E63C8A"/>
    <w:rsid w:val="00E70BF6"/>
    <w:rsid w:val="00E83ACB"/>
    <w:rsid w:val="00EF20EE"/>
    <w:rsid w:val="00EF2BE8"/>
    <w:rsid w:val="00F0309E"/>
    <w:rsid w:val="00F11C98"/>
    <w:rsid w:val="00F12E47"/>
    <w:rsid w:val="00F13605"/>
    <w:rsid w:val="00F223B2"/>
    <w:rsid w:val="00F53241"/>
    <w:rsid w:val="00F63951"/>
    <w:rsid w:val="00F67790"/>
    <w:rsid w:val="00F73B25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1BD55275-35C1-4457-86C7-F10F5ABE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51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clan">
    <w:name w:val="clan"/>
    <w:basedOn w:val="Normal"/>
    <w:rsid w:val="00E3083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auto-style4">
    <w:name w:val="auto-style4"/>
    <w:basedOn w:val="Normal"/>
    <w:rsid w:val="00E36D8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auto-style5">
    <w:name w:val="auto-style5"/>
    <w:basedOn w:val="Normal"/>
    <w:rsid w:val="00E36D8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507EB3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0F4F9-D09D-4DA3-B626-C49F61353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2222</Words>
  <Characters>12669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6</cp:revision>
  <cp:lastPrinted>2018-09-05T12:48:00Z</cp:lastPrinted>
  <dcterms:created xsi:type="dcterms:W3CDTF">2019-06-04T17:42:00Z</dcterms:created>
  <dcterms:modified xsi:type="dcterms:W3CDTF">2019-07-12T15:12:00Z</dcterms:modified>
</cp:coreProperties>
</file>