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B9D8C" w14:textId="575A5EEB" w:rsidR="00092FB3" w:rsidRDefault="00092FB3" w:rsidP="00092FB3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>
        <w:rPr>
          <w:b/>
          <w:szCs w:val="22"/>
          <w:lang w:val="sr-Cyrl-RS"/>
        </w:rPr>
        <w:t>ПОЈЕДНОСТАВЉЕЊЕ ПОСТУПКА</w:t>
      </w:r>
      <w:r w:rsidR="00767B01">
        <w:rPr>
          <w:b/>
          <w:szCs w:val="22"/>
          <w:lang w:val="sr-Cyrl-RS"/>
        </w:rPr>
        <w:t xml:space="preserve"> ИЗДАВАЊА ВОДНЕ САГЛАСНОСТИ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87DED46" w:rsidR="000E2036" w:rsidRPr="00841AB3" w:rsidRDefault="00282207" w:rsidP="001107B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82207">
              <w:rPr>
                <w:sz w:val="22"/>
                <w:szCs w:val="22"/>
                <w:lang w:val="sr-Cyrl-RS"/>
              </w:rPr>
              <w:t>Водна сагласност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3BDEE1D" w:rsidR="000E2036" w:rsidRPr="00545CAA" w:rsidRDefault="00B75D4D" w:rsidP="00545CA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1</w:t>
            </w:r>
            <w:r w:rsidR="00282207">
              <w:rPr>
                <w:sz w:val="22"/>
                <w:szCs w:val="22"/>
                <w:lang w:val="sr-Cyrl-RS"/>
              </w:rPr>
              <w:t>6.13.0002</w:t>
            </w:r>
          </w:p>
        </w:tc>
      </w:tr>
      <w:tr w:rsidR="00850AD5" w:rsidRPr="00767B0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D8BD73C" w14:textId="77777777" w:rsidR="00092B84" w:rsidRDefault="00545CA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4DFD356A" w:rsidR="0039367C" w:rsidRPr="00841AB3" w:rsidRDefault="0039367C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45CAA">
              <w:rPr>
                <w:sz w:val="22"/>
                <w:szCs w:val="22"/>
                <w:lang w:val="sr-Cyrl-RS"/>
              </w:rPr>
              <w:t>ЈВП „Србијаводе“</w:t>
            </w:r>
          </w:p>
        </w:tc>
      </w:tr>
      <w:tr w:rsidR="00850AD5" w:rsidRPr="00767B0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3375A46" w14:textId="77777777" w:rsidR="001958C7" w:rsidRPr="00545CAA" w:rsidRDefault="001958C7" w:rsidP="001958C7">
            <w:pPr>
              <w:pStyle w:val="ListParagraph"/>
              <w:numPr>
                <w:ilvl w:val="0"/>
                <w:numId w:val="40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5C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водама </w:t>
            </w:r>
            <w:r w:rsidRPr="0066504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30/2010, 93/2012, 101/2016, 95/2018 и 95/2018 - др. закон)</w:t>
            </w:r>
          </w:p>
          <w:p w14:paraId="1D8F0380" w14:textId="77777777" w:rsidR="001958C7" w:rsidRPr="00F56F52" w:rsidRDefault="001958C7" w:rsidP="001958C7">
            <w:pPr>
              <w:pStyle w:val="ListParagraph"/>
              <w:numPr>
                <w:ilvl w:val="0"/>
                <w:numId w:val="40"/>
              </w:numPr>
              <w:spacing w:before="120" w:after="120"/>
              <w:ind w:left="191" w:hanging="191"/>
              <w:rPr>
                <w:rFonts w:ascii="Times New Roman" w:hAnsi="Times New Roman"/>
                <w:lang w:val="sr-Cyrl-RS"/>
              </w:rPr>
            </w:pPr>
            <w:r w:rsidRPr="0028220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планирању и изградњи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65041">
              <w:rPr>
                <w:rFonts w:ascii="Times New Roman" w:hAnsi="Times New Roman"/>
                <w:sz w:val="22"/>
                <w:szCs w:val="22"/>
                <w:lang w:val="sr-Latn-RS"/>
              </w:rPr>
              <w:t>("Сл. гласник РС", бр. 72/2009, 81/2009 - испр., 64/2010 - одлука УС, 24/2011, 121/2012, 42/2013 - одлука УС, 50/2013 - одлука УС, 98/2013 - одлука УС, 132/2014, 145/2014 и 83/2018)</w:t>
            </w:r>
          </w:p>
          <w:p w14:paraId="128617B3" w14:textId="77777777" w:rsidR="001958C7" w:rsidRPr="00F56F52" w:rsidRDefault="001958C7" w:rsidP="001958C7">
            <w:pPr>
              <w:pStyle w:val="ListParagraph"/>
              <w:numPr>
                <w:ilvl w:val="0"/>
                <w:numId w:val="40"/>
              </w:numPr>
              <w:spacing w:before="120" w:after="120"/>
              <w:ind w:left="191" w:hanging="191"/>
              <w:rPr>
                <w:rFonts w:ascii="Times New Roman" w:hAnsi="Times New Roman"/>
                <w:lang w:val="sr-Cyrl-RS"/>
              </w:rPr>
            </w:pPr>
            <w:r w:rsidRPr="00545C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Pr="0066504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72/2017 и 44/2018 - др. закон)</w:t>
            </w:r>
          </w:p>
          <w:p w14:paraId="2CCB5DCC" w14:textId="3D47EB78" w:rsidR="00282207" w:rsidRPr="001958C7" w:rsidRDefault="001958C7" w:rsidP="001958C7">
            <w:pPr>
              <w:pStyle w:val="ListParagraph"/>
              <w:numPr>
                <w:ilvl w:val="0"/>
                <w:numId w:val="40"/>
              </w:numPr>
              <w:spacing w:before="120" w:after="120"/>
              <w:ind w:left="191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58C7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начину одређивања стварних трошкова ЈВП „Србијаводе“ у поступку вршења јавних овлашћења</w:t>
            </w:r>
            <w:r w:rsidRPr="001958C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("Сл. гласник РС", бр. 29/2005)</w:t>
            </w:r>
          </w:p>
        </w:tc>
      </w:tr>
      <w:tr w:rsidR="00B27A00" w:rsidRPr="00767B01" w14:paraId="78730318" w14:textId="77777777" w:rsidTr="00066503">
        <w:tc>
          <w:tcPr>
            <w:tcW w:w="2689" w:type="dxa"/>
            <w:shd w:val="clear" w:color="auto" w:fill="DBE5F1" w:themeFill="accent1" w:themeFillTint="33"/>
            <w:vAlign w:val="center"/>
          </w:tcPr>
          <w:p w14:paraId="59908A1C" w14:textId="77777777" w:rsidR="00B27A00" w:rsidRPr="00DB19B9" w:rsidRDefault="00B27A00" w:rsidP="000665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препорук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</w:p>
        </w:tc>
        <w:tc>
          <w:tcPr>
            <w:tcW w:w="6371" w:type="dxa"/>
            <w:vAlign w:val="center"/>
          </w:tcPr>
          <w:p w14:paraId="190F3BBA" w14:textId="2DD4AE9B" w:rsidR="00B27A00" w:rsidRPr="001958C7" w:rsidRDefault="001958C7" w:rsidP="001958C7">
            <w:pPr>
              <w:pStyle w:val="ListParagraph"/>
              <w:numPr>
                <w:ilvl w:val="0"/>
                <w:numId w:val="41"/>
              </w:numPr>
              <w:spacing w:before="120" w:after="120"/>
              <w:ind w:left="281" w:hanging="27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1958C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("Сл. гласник РС", бр. 72/2017 и 44/2018 - др. закон)</w:t>
            </w:r>
          </w:p>
        </w:tc>
      </w:tr>
      <w:tr w:rsidR="00850AD5" w:rsidRPr="00AC264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F97D015" w14:textId="77777777" w:rsidR="00BD7206" w:rsidRDefault="00BD7206" w:rsidP="00BD7206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Измене Правилника - четврти квартал 2020. године </w:t>
            </w:r>
          </w:p>
          <w:p w14:paraId="19A48B50" w14:textId="5296EB18" w:rsidR="00804060" w:rsidRPr="00DB19B9" w:rsidRDefault="00BD7206" w:rsidP="00BD7206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Остале препоруке - четврти</w:t>
            </w:r>
            <w:r w:rsidRPr="00704BBD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1D2528B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67B01" w14:paraId="4635A4BE" w14:textId="77777777" w:rsidTr="00CA1CE9">
        <w:tc>
          <w:tcPr>
            <w:tcW w:w="9060" w:type="dxa"/>
            <w:gridSpan w:val="2"/>
          </w:tcPr>
          <w:p w14:paraId="0FF3D3D5" w14:textId="494D22B8" w:rsidR="0047171D" w:rsidRDefault="001D4569" w:rsidP="00D8350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се подноси на обрасцу који је објављен прописом, уз навођења неопходне документације али без ознаке надлежног </w:t>
            </w:r>
            <w:r w:rsidR="001E0B9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органа који спроводи поступак</w:t>
            </w:r>
            <w:r w:rsidR="00D83508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што може довести до немогућности ефикасног спровођења поступка, услед недостатка информа</w:t>
            </w:r>
            <w:r w:rsidR="00D8350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ција потребних надлежном орган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и учесталих неуредних захтева, обзиром да се поступак спроводи на више нив</w:t>
            </w:r>
            <w:r w:rsidR="00F2261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o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а.</w:t>
            </w:r>
          </w:p>
          <w:p w14:paraId="4BCB02C2" w14:textId="4B92A906" w:rsidR="0047171D" w:rsidRPr="00063312" w:rsidRDefault="00063312" w:rsidP="00D8350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постоји јавно доступан регистар/евиденција о издатим актима.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34"/>
              <w:gridCol w:w="1831"/>
              <w:gridCol w:w="1637"/>
            </w:tblGrid>
            <w:tr w:rsidR="00C70F1B" w:rsidRPr="00767B01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700AB6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3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83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2261B" w:rsidRPr="00DB19B9" w14:paraId="23C8C1E7" w14:textId="77777777" w:rsidTr="00C305E2">
              <w:trPr>
                <w:trHeight w:val="244"/>
              </w:trPr>
              <w:tc>
                <w:tcPr>
                  <w:tcW w:w="8834" w:type="dxa"/>
                  <w:gridSpan w:val="4"/>
                </w:tcPr>
                <w:p w14:paraId="518CDB60" w14:textId="56925BBA" w:rsidR="00F2261B" w:rsidRPr="00DB19B9" w:rsidRDefault="00F2261B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</w:tr>
            <w:tr w:rsidR="00700AB6" w:rsidRPr="00DB19B9" w14:paraId="74D6D12F" w14:textId="77777777" w:rsidTr="00700AB6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7B33FBE1" w14:textId="77777777" w:rsidR="00700AB6" w:rsidRPr="00DB19B9" w:rsidRDefault="00700AB6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форма документа</w:t>
                  </w:r>
                </w:p>
              </w:tc>
              <w:tc>
                <w:tcPr>
                  <w:tcW w:w="1734" w:type="dxa"/>
                </w:tcPr>
                <w:p w14:paraId="1452E991" w14:textId="77777777" w:rsidR="00700AB6" w:rsidRPr="00DB19B9" w:rsidRDefault="00700AB6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1" w:type="dxa"/>
                </w:tcPr>
                <w:p w14:paraId="4BD718D8" w14:textId="77777777" w:rsidR="00700AB6" w:rsidRPr="00DB19B9" w:rsidRDefault="00700AB6" w:rsidP="0084238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5E10704" w14:textId="77777777" w:rsidR="00700AB6" w:rsidRPr="00DB19B9" w:rsidRDefault="00700AB6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2261B" w:rsidRPr="00DB19B9" w14:paraId="4A189C5E" w14:textId="77777777" w:rsidTr="00285A6A">
              <w:trPr>
                <w:trHeight w:val="244"/>
              </w:trPr>
              <w:tc>
                <w:tcPr>
                  <w:tcW w:w="8834" w:type="dxa"/>
                  <w:gridSpan w:val="4"/>
                </w:tcPr>
                <w:p w14:paraId="44F6C60C" w14:textId="6185B293" w:rsidR="00F2261B" w:rsidRPr="00DB19B9" w:rsidRDefault="00F2261B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</w:tr>
            <w:tr w:rsidR="00F2261B" w:rsidRPr="00DB19B9" w14:paraId="54E8B4AE" w14:textId="77777777" w:rsidTr="00700AB6">
              <w:trPr>
                <w:trHeight w:val="244"/>
              </w:trPr>
              <w:tc>
                <w:tcPr>
                  <w:tcW w:w="3632" w:type="dxa"/>
                  <w:tcBorders>
                    <w:bottom w:val="nil"/>
                  </w:tcBorders>
                </w:tcPr>
                <w:p w14:paraId="67C36E18" w14:textId="34BDA57A" w:rsidR="00F2261B" w:rsidRPr="00DB19B9" w:rsidRDefault="001958C7" w:rsidP="00063312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</w:t>
                  </w:r>
                  <w:r w:rsidR="00F2261B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 захтева</w:t>
                  </w:r>
                </w:p>
              </w:tc>
              <w:tc>
                <w:tcPr>
                  <w:tcW w:w="1734" w:type="dxa"/>
                  <w:tcBorders>
                    <w:bottom w:val="nil"/>
                  </w:tcBorders>
                </w:tcPr>
                <w:p w14:paraId="4F636AE1" w14:textId="26809360" w:rsidR="00F2261B" w:rsidRPr="00DB19B9" w:rsidRDefault="00F2261B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831" w:type="dxa"/>
                  <w:tcBorders>
                    <w:bottom w:val="nil"/>
                  </w:tcBorders>
                </w:tcPr>
                <w:p w14:paraId="3408239D" w14:textId="67B504A8" w:rsidR="00F2261B" w:rsidRPr="00DB19B9" w:rsidRDefault="00F2261B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tcBorders>
                    <w:bottom w:val="nil"/>
                  </w:tcBorders>
                </w:tcPr>
                <w:p w14:paraId="374B0AC3" w14:textId="2DA28465" w:rsidR="00F2261B" w:rsidRPr="00DB19B9" w:rsidRDefault="00F2261B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47171D" w:rsidRPr="00DB19B9" w14:paraId="1631407B" w14:textId="77777777" w:rsidTr="00700AB6">
              <w:trPr>
                <w:trHeight w:val="244"/>
              </w:trPr>
              <w:tc>
                <w:tcPr>
                  <w:tcW w:w="3632" w:type="dxa"/>
                  <w:tcBorders>
                    <w:bottom w:val="nil"/>
                  </w:tcBorders>
                </w:tcPr>
                <w:p w14:paraId="596D3D82" w14:textId="371F4D8E" w:rsidR="0047171D" w:rsidRPr="00063312" w:rsidRDefault="001958C7" w:rsidP="001958C7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06331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734" w:type="dxa"/>
                  <w:tcBorders>
                    <w:bottom w:val="nil"/>
                  </w:tcBorders>
                </w:tcPr>
                <w:p w14:paraId="4EDD9239" w14:textId="77777777" w:rsidR="0047171D" w:rsidRDefault="0047171D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831" w:type="dxa"/>
                  <w:tcBorders>
                    <w:bottom w:val="nil"/>
                  </w:tcBorders>
                </w:tcPr>
                <w:p w14:paraId="253F6110" w14:textId="181245C8" w:rsidR="0047171D" w:rsidRPr="00DB19B9" w:rsidRDefault="0047171D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tcBorders>
                    <w:bottom w:val="nil"/>
                  </w:tcBorders>
                </w:tcPr>
                <w:p w14:paraId="0B7B59D0" w14:textId="77777777" w:rsidR="0047171D" w:rsidRDefault="0047171D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7171D" w:rsidRPr="00DB19B9" w14:paraId="3A27B1FE" w14:textId="77777777" w:rsidTr="005B0AFE">
              <w:trPr>
                <w:trHeight w:val="244"/>
              </w:trPr>
              <w:tc>
                <w:tcPr>
                  <w:tcW w:w="3632" w:type="dxa"/>
                </w:tcPr>
                <w:p w14:paraId="4902340F" w14:textId="2D7FAC29" w:rsidR="0047171D" w:rsidRPr="00F2261B" w:rsidRDefault="0047171D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171D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Транспарентност административног поступка</w:t>
                  </w:r>
                </w:p>
              </w:tc>
              <w:tc>
                <w:tcPr>
                  <w:tcW w:w="5202" w:type="dxa"/>
                  <w:gridSpan w:val="3"/>
                </w:tcPr>
                <w:p w14:paraId="43309743" w14:textId="77777777" w:rsidR="0047171D" w:rsidRPr="00DB19B9" w:rsidRDefault="0047171D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7171D" w:rsidRPr="00DB19B9" w14:paraId="640858D6" w14:textId="77777777" w:rsidTr="00700AB6">
              <w:trPr>
                <w:trHeight w:val="244"/>
              </w:trPr>
              <w:tc>
                <w:tcPr>
                  <w:tcW w:w="3632" w:type="dxa"/>
                </w:tcPr>
                <w:p w14:paraId="3B8DFDFE" w14:textId="77777777" w:rsidR="001958C7" w:rsidRPr="001958C7" w:rsidRDefault="001958C7" w:rsidP="001958C7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1958C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јавно доступног регистра</w:t>
                  </w:r>
                </w:p>
                <w:p w14:paraId="3D83BB22" w14:textId="1551952B" w:rsidR="0047171D" w:rsidRPr="00F2261B" w:rsidRDefault="0047171D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34" w:type="dxa"/>
                </w:tcPr>
                <w:p w14:paraId="01AED86E" w14:textId="77777777" w:rsidR="0047171D" w:rsidRPr="00DB19B9" w:rsidRDefault="0047171D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831" w:type="dxa"/>
                </w:tcPr>
                <w:p w14:paraId="2BB1959B" w14:textId="03681D7F" w:rsidR="0047171D" w:rsidRDefault="0047171D" w:rsidP="00F226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56C52424" w14:textId="77777777" w:rsidR="0047171D" w:rsidRPr="00DB19B9" w:rsidRDefault="0047171D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4FF289DB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767B0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6355E23" w14:textId="77777777" w:rsidR="00700AB6" w:rsidRDefault="00700AB6" w:rsidP="00700AB6">
            <w:pPr>
              <w:pStyle w:val="m-5464519572054304247gmail-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color w:val="222222"/>
                <w:sz w:val="22"/>
                <w:szCs w:val="22"/>
                <w:u w:val="single"/>
                <w:lang w:val="sr-Cyrl-RS"/>
              </w:rPr>
            </w:pPr>
            <w:r>
              <w:rPr>
                <w:b/>
                <w:sz w:val="22"/>
                <w:szCs w:val="22"/>
                <w:u w:val="single"/>
                <w:lang w:val="sr-Cyrl-RS"/>
              </w:rPr>
              <w:t xml:space="preserve">Промена форма документа </w:t>
            </w:r>
            <w:r>
              <w:rPr>
                <w:b/>
                <w:color w:val="222222"/>
                <w:sz w:val="22"/>
                <w:szCs w:val="22"/>
                <w:u w:val="single"/>
                <w:lang w:val="sr-Cyrl-RS"/>
              </w:rPr>
              <w:t>- Доказ о уплати накнаде</w:t>
            </w:r>
          </w:p>
          <w:p w14:paraId="48690F59" w14:textId="7DED7F9D" w:rsidR="00700AB6" w:rsidRDefault="00700AB6" w:rsidP="00700AB6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– доказа о уплати накнаде, у копију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</w:t>
            </w:r>
            <w:r w:rsidR="00C7381A">
              <w:rPr>
                <w:color w:val="000000" w:themeColor="text1"/>
                <w:sz w:val="22"/>
                <w:szCs w:val="22"/>
                <w:lang w:val="sr-Cyrl-RS"/>
              </w:rPr>
              <w:t xml:space="preserve"> накнаде</w:t>
            </w:r>
            <w:r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626CE260" w14:textId="744EE93F" w:rsidR="00700AB6" w:rsidRPr="00700AB6" w:rsidRDefault="00700AB6" w:rsidP="00700AB6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311FB69" w14:textId="575581AE" w:rsidR="00D17771" w:rsidRPr="00140D69" w:rsidRDefault="00B644EE" w:rsidP="00B5484F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Унапређење</w:t>
            </w:r>
            <w:r w:rsidR="00D17771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обрасца захтева</w:t>
            </w:r>
          </w:p>
          <w:p w14:paraId="52909269" w14:textId="4042FEEE" w:rsidR="00140D69" w:rsidRPr="00FA3862" w:rsidRDefault="00F2261B" w:rsidP="00FA3862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A386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Захтев у оквиру овог поступка се подноси на обрасцу, који је објављен прописом. Како би се обезбедила транспарентности и пуно информисање подносиоца захтева о свим елементима административног поступка</w:t>
            </w:r>
            <w:r w:rsidR="00351A4F" w:rsidRPr="00FA386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  <w:r w:rsidR="00151BEA" w:rsidRPr="00FA386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</w:t>
            </w:r>
            <w:r w:rsidRPr="00FA386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редлаже се унапређење обрасца, који ће садржати следеће:</w:t>
            </w:r>
            <w:r w:rsidR="00151BEA" w:rsidRPr="00FA386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5324A7B" w14:textId="77777777" w:rsidR="00C949B6" w:rsidRPr="00695774" w:rsidRDefault="00C949B6" w:rsidP="00C949B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56028F4" w14:textId="77777777" w:rsidR="00C949B6" w:rsidRPr="00695774" w:rsidRDefault="00C949B6" w:rsidP="00C949B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695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50FCB11" w14:textId="77777777" w:rsidR="00C949B6" w:rsidRPr="00695774" w:rsidRDefault="00C949B6" w:rsidP="00C949B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9EE2E61" w14:textId="77777777" w:rsidR="00C949B6" w:rsidRPr="00695774" w:rsidRDefault="00C949B6" w:rsidP="00C949B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695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1762BF6" w14:textId="77777777" w:rsidR="00C949B6" w:rsidRPr="00695774" w:rsidRDefault="00C949B6" w:rsidP="00C949B6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69577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D814559" w14:textId="77777777" w:rsidR="00C949B6" w:rsidRPr="00695774" w:rsidRDefault="00C949B6" w:rsidP="00C949B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34E3E05" w14:textId="77777777" w:rsidR="00C949B6" w:rsidRPr="00695774" w:rsidRDefault="00C949B6" w:rsidP="00C949B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BAE4C17" w14:textId="5AE55568" w:rsidR="00C949B6" w:rsidRPr="00695774" w:rsidRDefault="00C949B6" w:rsidP="00C949B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1237" w:hanging="33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8A9D504" w14:textId="77777777" w:rsidR="00C949B6" w:rsidRPr="00695774" w:rsidRDefault="00C949B6" w:rsidP="00C949B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65DB8F1" w14:textId="77777777" w:rsidR="00C949B6" w:rsidRPr="00695774" w:rsidRDefault="00C949B6" w:rsidP="00C949B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9577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48CE220" w14:textId="77777777" w:rsidR="00C949B6" w:rsidRPr="00695774" w:rsidRDefault="00C949B6" w:rsidP="00C949B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BCBA0BF" w14:textId="77777777" w:rsidR="00C949B6" w:rsidRPr="00695774" w:rsidRDefault="00C949B6" w:rsidP="00C949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DE27EED" w14:textId="77777777" w:rsidR="00C949B6" w:rsidRPr="00695774" w:rsidRDefault="00C949B6" w:rsidP="00C949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52C2523" w14:textId="77777777" w:rsidR="00C949B6" w:rsidRPr="00695774" w:rsidRDefault="00C949B6" w:rsidP="00C949B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9997DC9" w14:textId="77777777" w:rsidR="00C949B6" w:rsidRPr="00695774" w:rsidRDefault="00C949B6" w:rsidP="00C949B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07B9291" w14:textId="77777777" w:rsidR="00C949B6" w:rsidRPr="00695774" w:rsidRDefault="00C949B6" w:rsidP="00C949B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FB2729B" w14:textId="77777777" w:rsidR="00C949B6" w:rsidRPr="00695774" w:rsidRDefault="00C949B6" w:rsidP="00C949B6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Место за потпис подносиоца захтева.</w:t>
            </w:r>
          </w:p>
          <w:p w14:paraId="2BE38B69" w14:textId="77777777" w:rsidR="00C949B6" w:rsidRPr="00695774" w:rsidRDefault="00C949B6" w:rsidP="00C949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3681296" w14:textId="77777777" w:rsidR="00C949B6" w:rsidRPr="00695774" w:rsidRDefault="00C949B6" w:rsidP="00C949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9DDD5B" w14:textId="77777777" w:rsidR="00C949B6" w:rsidRPr="00695774" w:rsidRDefault="00C949B6" w:rsidP="00C949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541D63B" w14:textId="77777777" w:rsidR="00C949B6" w:rsidRPr="00695774" w:rsidRDefault="00C949B6" w:rsidP="00C949B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C47E08" w14:textId="77777777" w:rsidR="00C949B6" w:rsidRPr="00695774" w:rsidRDefault="00C949B6" w:rsidP="00C949B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223E8A1" w14:textId="77777777" w:rsidR="00C949B6" w:rsidRPr="00695774" w:rsidRDefault="00C949B6" w:rsidP="00C949B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6A0155F" w14:textId="77777777" w:rsidR="00C949B6" w:rsidRPr="00695774" w:rsidRDefault="00C949B6" w:rsidP="00C949B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660AFC9" w14:textId="77777777" w:rsidR="00C949B6" w:rsidRPr="00695774" w:rsidRDefault="00C949B6" w:rsidP="00C949B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6448D6F" w14:textId="77777777" w:rsidR="00C949B6" w:rsidRPr="00695774" w:rsidRDefault="00C949B6" w:rsidP="00C949B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EF2A5E0" w14:textId="77777777" w:rsidR="00C949B6" w:rsidRPr="00695774" w:rsidRDefault="00C949B6" w:rsidP="00C949B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F4F7937" w14:textId="390FB95A" w:rsidR="00C949B6" w:rsidRPr="00695774" w:rsidRDefault="00C949B6" w:rsidP="00C949B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577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E4B2266" w14:textId="2F598BB3" w:rsidR="00D015D5" w:rsidRDefault="001E0B97" w:rsidP="00700AB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695774">
              <w:rPr>
                <w:b/>
                <w:sz w:val="22"/>
                <w:szCs w:val="22"/>
                <w:lang w:val="sr-Cyrl-RS"/>
              </w:rPr>
              <w:t xml:space="preserve">За примену ове препоруке, потребна </w:t>
            </w:r>
            <w:r w:rsidRPr="001E0B97">
              <w:rPr>
                <w:b/>
                <w:sz w:val="22"/>
                <w:szCs w:val="22"/>
                <w:lang w:val="sr-Cyrl-RS"/>
              </w:rPr>
              <w:t>је измена 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дозволе.</w:t>
            </w:r>
          </w:p>
          <w:p w14:paraId="7C4FC682" w14:textId="77777777" w:rsidR="00351A4F" w:rsidRPr="00700AB6" w:rsidRDefault="00351A4F" w:rsidP="00700AB6">
            <w:pPr>
              <w:pStyle w:val="odluka-zakon"/>
              <w:shd w:val="clear" w:color="auto" w:fill="FFFFFF"/>
              <w:jc w:val="both"/>
              <w:rPr>
                <w:b/>
                <w:color w:val="00B050"/>
                <w:sz w:val="22"/>
                <w:szCs w:val="22"/>
                <w:lang w:val="sr-Cyrl-RS"/>
              </w:rPr>
            </w:pPr>
          </w:p>
          <w:p w14:paraId="3CDFCAE8" w14:textId="77777777" w:rsidR="0047171D" w:rsidRPr="006B76D0" w:rsidRDefault="0047171D" w:rsidP="0047171D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Latn-RS"/>
              </w:rPr>
            </w:pPr>
            <w:r w:rsidRPr="006B76D0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07808BC" w14:textId="77777777" w:rsidR="0047171D" w:rsidRPr="006B76D0" w:rsidRDefault="0047171D" w:rsidP="0047171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B76D0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  увођење е-управе.</w:t>
            </w:r>
          </w:p>
          <w:p w14:paraId="47F40810" w14:textId="77777777" w:rsidR="0047171D" w:rsidRPr="006B76D0" w:rsidRDefault="0047171D" w:rsidP="0047171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B76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6B76D0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6B76D0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6B76D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6B76D0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77E619B6" w14:textId="77777777" w:rsidR="0047171D" w:rsidRPr="006B76D0" w:rsidRDefault="0047171D" w:rsidP="0047171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1755B65" w14:textId="77777777" w:rsidR="0047171D" w:rsidRPr="006B76D0" w:rsidRDefault="0047171D" w:rsidP="0047171D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B76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 Министарства здравља. Захтев подносиоца мора бити потписан квалификованим електронским потписом. </w:t>
            </w:r>
          </w:p>
          <w:p w14:paraId="1E400A55" w14:textId="77777777" w:rsidR="0047171D" w:rsidRPr="006B76D0" w:rsidRDefault="0047171D" w:rsidP="0047171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B76D0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9D93426" w14:textId="77777777" w:rsidR="0047171D" w:rsidRDefault="0047171D" w:rsidP="0047171D">
            <w:pPr>
              <w:pStyle w:val="gmail-odluka-zakon"/>
              <w:jc w:val="both"/>
              <w:rPr>
                <w:b/>
                <w:sz w:val="22"/>
                <w:szCs w:val="22"/>
                <w:lang w:val="sr-Cyrl-RS"/>
              </w:rPr>
            </w:pPr>
            <w:r w:rsidRPr="006B76D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029A7E5" w14:textId="77777777" w:rsidR="0047171D" w:rsidRPr="004735A4" w:rsidRDefault="0047171D" w:rsidP="0047171D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4735A4">
              <w:rPr>
                <w:b/>
                <w:sz w:val="22"/>
                <w:szCs w:val="22"/>
                <w:u w:val="single"/>
                <w:lang w:val="sr-Cyrl-RS"/>
              </w:rPr>
              <w:t>Увођење јавно доступног регистра</w:t>
            </w:r>
          </w:p>
          <w:p w14:paraId="48504533" w14:textId="5403A4B9" w:rsidR="0047171D" w:rsidRPr="00700AB6" w:rsidRDefault="0047171D" w:rsidP="0047171D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обрасцу е пописа је наведено да надлежни орган води регистар издатих аката који није јавно доступан. </w:t>
            </w: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да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успостави и води евиденцију решења/података 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водин</w:t>
            </w:r>
            <w:r w:rsidR="00714915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14915">
              <w:rPr>
                <w:rFonts w:ascii="Times New Roman" w:hAnsi="Times New Roman"/>
                <w:sz w:val="22"/>
                <w:szCs w:val="22"/>
                <w:lang w:val="sr-Cyrl-RS"/>
              </w:rPr>
              <w:t>сагласности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63312" w:rsidRPr="00063312">
              <w:rPr>
                <w:rFonts w:ascii="Times New Roman" w:hAnsi="Times New Roman"/>
                <w:sz w:val="22"/>
                <w:szCs w:val="22"/>
                <w:lang w:val="sr-Cyrl-RS"/>
              </w:rPr>
              <w:t>у отвореном, машински читљивом облику (база података).</w:t>
            </w:r>
            <w:r w:rsidR="0006331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>Истовремено, ова препорука ће омогућити  примену члана 10. Закона о елекронском управи ("Службени гласник" РС, број 27/2018, којим се уводи обавеза органима да успостављају и воде регистре и евиденције у електронском облику</w:t>
            </w:r>
            <w:r w:rsidRPr="004735A4"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  <w:t>.</w:t>
            </w:r>
            <w:r w:rsidR="00700AB6" w:rsidRPr="00700AB6">
              <w:rPr>
                <w:rFonts w:ascii="Times New Roman" w:eastAsia="Times New Roman" w:hAnsi="Times New Roman"/>
                <w:b/>
                <w:color w:val="00B050"/>
                <w:sz w:val="24"/>
                <w:szCs w:val="24"/>
                <w:lang w:val="sr-Cyrl-RS"/>
              </w:rPr>
              <w:t xml:space="preserve"> </w:t>
            </w:r>
            <w:r w:rsidR="00700AB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</w:t>
            </w:r>
            <w:r w:rsidR="00700AB6" w:rsidRPr="00700AB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ади заштите приватности података могуће је само </w:t>
            </w:r>
            <w:r w:rsidR="00700AB6" w:rsidRPr="00700AB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lastRenderedPageBreak/>
              <w:t>приказати одређене податке из регистра</w:t>
            </w:r>
            <w:r w:rsidR="00151BE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издатих аката уз сагласност РДВ</w:t>
            </w:r>
            <w:r w:rsidR="00700AB6" w:rsidRPr="00700AB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с обзиром да издата водна акта може ставити ван снаге уколико сматра да у њима постоје одређене неправилности</w:t>
            </w:r>
            <w:r w:rsidR="00700AB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4A7B88C6" w14:textId="77777777" w:rsidR="0047171D" w:rsidRPr="004735A4" w:rsidRDefault="0047171D" w:rsidP="0047171D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30DEAAEF" w14:textId="4959325B" w:rsidR="0047171D" w:rsidRPr="0047171D" w:rsidRDefault="0047171D" w:rsidP="0047171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Успостављена електронска евиденција података треба да буде доступна на званичној веб презентацији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надлежног органа </w:t>
            </w:r>
            <w:r w:rsidRPr="004735A4">
              <w:rPr>
                <w:rFonts w:ascii="Times New Roman" w:hAnsi="Times New Roman"/>
                <w:sz w:val="22"/>
                <w:szCs w:val="22"/>
                <w:lang w:val="sr-Cyrl-RS"/>
              </w:rPr>
              <w:t>и на порталу отворених података</w:t>
            </w:r>
            <w:r w:rsidRPr="004735A4">
              <w:rPr>
                <w:rFonts w:cs="Calibri"/>
                <w:sz w:val="22"/>
                <w:szCs w:val="22"/>
                <w:lang w:val="sr-Cyrl-RS"/>
              </w:rPr>
              <w:t xml:space="preserve"> </w:t>
            </w:r>
            <w:hyperlink r:id="rId8" w:history="1">
              <w:r w:rsidRPr="004735A4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https://data.gov.rs/sr/discover/</w:t>
              </w:r>
            </w:hyperlink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 </w:t>
            </w:r>
          </w:p>
          <w:p w14:paraId="3EAB4AF8" w14:textId="0252496B" w:rsidR="00F25E28" w:rsidRPr="00700AB6" w:rsidRDefault="0047171D" w:rsidP="00700AB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B5484F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b/>
                <w:sz w:val="22"/>
                <w:szCs w:val="22"/>
                <w:lang w:val="sr-Cyrl-RS"/>
              </w:rPr>
              <w:t>.</w:t>
            </w:r>
            <w:r w:rsidR="00700AB6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A1CE9" w:rsidRPr="00767B0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223C3BF8" w:rsidR="00CA1CE9" w:rsidRPr="00DB19B9" w:rsidRDefault="00CA1CE9" w:rsidP="002479B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67B0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A5B420C" w:rsidR="00CA1CE9" w:rsidRPr="00F63122" w:rsidRDefault="00F63122" w:rsidP="00F63122">
            <w:pPr>
              <w:pStyle w:val="odluka-zakon"/>
              <w:shd w:val="clear" w:color="auto" w:fill="FFFFFF"/>
              <w:jc w:val="both"/>
              <w:rPr>
                <w:color w:val="00B050"/>
                <w:sz w:val="22"/>
                <w:szCs w:val="22"/>
                <w:lang w:val="sr-Cyrl-RS"/>
              </w:rPr>
            </w:pPr>
            <w:r w:rsidRPr="00F63122">
              <w:rPr>
                <w:sz w:val="22"/>
                <w:szCs w:val="22"/>
                <w:lang w:val="sr-Cyrl-RS"/>
              </w:rPr>
              <w:t>За примену препоруке 3.2. Унапређење обрасца захтева, потребна је измена 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дозволе.</w:t>
            </w:r>
          </w:p>
        </w:tc>
      </w:tr>
      <w:tr w:rsidR="00CA1CE9" w:rsidRPr="00767B0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0D61B56B" w:rsidR="00CA1CE9" w:rsidRPr="00DB19B9" w:rsidRDefault="00CA1CE9" w:rsidP="002479B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67B0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51D4F52" w:rsidR="00CA1CE9" w:rsidRPr="00F63122" w:rsidRDefault="00F63122" w:rsidP="00700AB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F63122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препоруке 3.2. Унапређење обрасца захтева, потребна је измена 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2479B4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67B0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8126551" w14:textId="77777777" w:rsidR="0039367C" w:rsidRPr="0039367C" w:rsidRDefault="0039367C" w:rsidP="0039367C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74C5C112" w14:textId="05F70658" w:rsidR="0039367C" w:rsidRPr="0039367C" w:rsidRDefault="0039367C" w:rsidP="00700AB6">
            <w:pPr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936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</w:t>
            </w:r>
            <w:r w:rsidRPr="0039367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936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побољшању пословног амбијента и поједностављењу поступка за привредне субјекте.</w:t>
            </w:r>
          </w:p>
          <w:p w14:paraId="331CCBA4" w14:textId="77777777" w:rsidR="00CA1CE9" w:rsidRPr="00DB19B9" w:rsidRDefault="00CA1CE9" w:rsidP="002479B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ECEE5" w14:textId="77777777" w:rsidR="001063B6" w:rsidRDefault="001063B6" w:rsidP="002A202F">
      <w:r>
        <w:separator/>
      </w:r>
    </w:p>
  </w:endnote>
  <w:endnote w:type="continuationSeparator" w:id="0">
    <w:p w14:paraId="034BED98" w14:textId="77777777" w:rsidR="001063B6" w:rsidRDefault="001063B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079A46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A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A39D2" w14:textId="77777777" w:rsidR="001063B6" w:rsidRDefault="001063B6" w:rsidP="002A202F">
      <w:r>
        <w:separator/>
      </w:r>
    </w:p>
  </w:footnote>
  <w:footnote w:type="continuationSeparator" w:id="0">
    <w:p w14:paraId="12029A9F" w14:textId="77777777" w:rsidR="001063B6" w:rsidRDefault="001063B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95B"/>
    <w:multiLevelType w:val="hybridMultilevel"/>
    <w:tmpl w:val="678E217C"/>
    <w:lvl w:ilvl="0" w:tplc="11008C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630DC"/>
    <w:multiLevelType w:val="hybridMultilevel"/>
    <w:tmpl w:val="16422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51F3"/>
    <w:multiLevelType w:val="hybridMultilevel"/>
    <w:tmpl w:val="DF708A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1391121"/>
    <w:multiLevelType w:val="hybridMultilevel"/>
    <w:tmpl w:val="45BC8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122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B63D8"/>
    <w:multiLevelType w:val="multilevel"/>
    <w:tmpl w:val="33FA6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  <w:u w:val="single"/>
      </w:rPr>
    </w:lvl>
  </w:abstractNum>
  <w:abstractNum w:abstractNumId="15" w15:restartNumberingAfterBreak="0">
    <w:nsid w:val="428E771C"/>
    <w:multiLevelType w:val="hybridMultilevel"/>
    <w:tmpl w:val="B74C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A109D9"/>
    <w:multiLevelType w:val="hybridMultilevel"/>
    <w:tmpl w:val="00EA8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00C2104"/>
    <w:multiLevelType w:val="multilevel"/>
    <w:tmpl w:val="AD2A94CC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A2079"/>
    <w:multiLevelType w:val="hybridMultilevel"/>
    <w:tmpl w:val="8446F18E"/>
    <w:lvl w:ilvl="0" w:tplc="AB766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069D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B0E"/>
    <w:multiLevelType w:val="hybridMultilevel"/>
    <w:tmpl w:val="F35C9EFC"/>
    <w:lvl w:ilvl="0" w:tplc="F64AF6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96E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4"/>
  </w:num>
  <w:num w:numId="4">
    <w:abstractNumId w:val="7"/>
  </w:num>
  <w:num w:numId="5">
    <w:abstractNumId w:val="5"/>
  </w:num>
  <w:num w:numId="6">
    <w:abstractNumId w:val="21"/>
  </w:num>
  <w:num w:numId="7">
    <w:abstractNumId w:val="38"/>
  </w:num>
  <w:num w:numId="8">
    <w:abstractNumId w:val="16"/>
  </w:num>
  <w:num w:numId="9">
    <w:abstractNumId w:val="36"/>
  </w:num>
  <w:num w:numId="10">
    <w:abstractNumId w:val="33"/>
  </w:num>
  <w:num w:numId="11">
    <w:abstractNumId w:val="32"/>
  </w:num>
  <w:num w:numId="12">
    <w:abstractNumId w:val="31"/>
  </w:num>
  <w:num w:numId="13">
    <w:abstractNumId w:val="28"/>
  </w:num>
  <w:num w:numId="14">
    <w:abstractNumId w:val="34"/>
  </w:num>
  <w:num w:numId="15">
    <w:abstractNumId w:val="30"/>
  </w:num>
  <w:num w:numId="16">
    <w:abstractNumId w:val="18"/>
  </w:num>
  <w:num w:numId="17">
    <w:abstractNumId w:val="13"/>
  </w:num>
  <w:num w:numId="18">
    <w:abstractNumId w:val="37"/>
  </w:num>
  <w:num w:numId="19">
    <w:abstractNumId w:val="8"/>
  </w:num>
  <w:num w:numId="20">
    <w:abstractNumId w:val="39"/>
  </w:num>
  <w:num w:numId="21">
    <w:abstractNumId w:val="9"/>
  </w:num>
  <w:num w:numId="22">
    <w:abstractNumId w:val="6"/>
  </w:num>
  <w:num w:numId="23">
    <w:abstractNumId w:val="29"/>
  </w:num>
  <w:num w:numId="24">
    <w:abstractNumId w:val="3"/>
  </w:num>
  <w:num w:numId="25">
    <w:abstractNumId w:val="20"/>
  </w:num>
  <w:num w:numId="26">
    <w:abstractNumId w:val="35"/>
  </w:num>
  <w:num w:numId="27">
    <w:abstractNumId w:val="26"/>
  </w:num>
  <w:num w:numId="28">
    <w:abstractNumId w:val="4"/>
  </w:num>
  <w:num w:numId="29">
    <w:abstractNumId w:val="2"/>
  </w:num>
  <w:num w:numId="30">
    <w:abstractNumId w:val="0"/>
  </w:num>
  <w:num w:numId="31">
    <w:abstractNumId w:val="17"/>
  </w:num>
  <w:num w:numId="32">
    <w:abstractNumId w:val="19"/>
  </w:num>
  <w:num w:numId="33">
    <w:abstractNumId w:val="14"/>
  </w:num>
  <w:num w:numId="34">
    <w:abstractNumId w:val="15"/>
  </w:num>
  <w:num w:numId="35">
    <w:abstractNumId w:val="10"/>
  </w:num>
  <w:num w:numId="36">
    <w:abstractNumId w:val="25"/>
  </w:num>
  <w:num w:numId="37">
    <w:abstractNumId w:val="23"/>
  </w:num>
  <w:num w:numId="38">
    <w:abstractNumId w:val="12"/>
  </w:num>
  <w:num w:numId="39">
    <w:abstractNumId w:val="27"/>
  </w:num>
  <w:num w:numId="40">
    <w:abstractNumId w:val="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71F"/>
    <w:rsid w:val="000050B3"/>
    <w:rsid w:val="0001015A"/>
    <w:rsid w:val="000122E4"/>
    <w:rsid w:val="0001445B"/>
    <w:rsid w:val="00023EF9"/>
    <w:rsid w:val="00026C2F"/>
    <w:rsid w:val="00027945"/>
    <w:rsid w:val="00036812"/>
    <w:rsid w:val="00036F06"/>
    <w:rsid w:val="00044F35"/>
    <w:rsid w:val="00044F63"/>
    <w:rsid w:val="00050616"/>
    <w:rsid w:val="00052028"/>
    <w:rsid w:val="00061070"/>
    <w:rsid w:val="00063312"/>
    <w:rsid w:val="000821B3"/>
    <w:rsid w:val="00083993"/>
    <w:rsid w:val="00092B84"/>
    <w:rsid w:val="00092FB3"/>
    <w:rsid w:val="0009542A"/>
    <w:rsid w:val="000A53F3"/>
    <w:rsid w:val="000A5CDC"/>
    <w:rsid w:val="000B54D7"/>
    <w:rsid w:val="000B6F78"/>
    <w:rsid w:val="000D5029"/>
    <w:rsid w:val="000D6A21"/>
    <w:rsid w:val="000E2036"/>
    <w:rsid w:val="000F57EA"/>
    <w:rsid w:val="000F5E72"/>
    <w:rsid w:val="001063B6"/>
    <w:rsid w:val="001107B4"/>
    <w:rsid w:val="001156BA"/>
    <w:rsid w:val="00131EC8"/>
    <w:rsid w:val="00140D69"/>
    <w:rsid w:val="00141366"/>
    <w:rsid w:val="00146268"/>
    <w:rsid w:val="0015182D"/>
    <w:rsid w:val="00151BEA"/>
    <w:rsid w:val="00161847"/>
    <w:rsid w:val="00170CA7"/>
    <w:rsid w:val="001711C5"/>
    <w:rsid w:val="001958C7"/>
    <w:rsid w:val="001A023F"/>
    <w:rsid w:val="001A3FAC"/>
    <w:rsid w:val="001A6472"/>
    <w:rsid w:val="001C5538"/>
    <w:rsid w:val="001D0EDE"/>
    <w:rsid w:val="001D20E2"/>
    <w:rsid w:val="001D4569"/>
    <w:rsid w:val="001E0B97"/>
    <w:rsid w:val="001E38DE"/>
    <w:rsid w:val="001F7B31"/>
    <w:rsid w:val="0020601F"/>
    <w:rsid w:val="00212DA5"/>
    <w:rsid w:val="0021347C"/>
    <w:rsid w:val="0022427B"/>
    <w:rsid w:val="002323AC"/>
    <w:rsid w:val="002359C8"/>
    <w:rsid w:val="002479B4"/>
    <w:rsid w:val="00261404"/>
    <w:rsid w:val="002673B0"/>
    <w:rsid w:val="00275E2A"/>
    <w:rsid w:val="00282207"/>
    <w:rsid w:val="00296938"/>
    <w:rsid w:val="002A10A9"/>
    <w:rsid w:val="002A202F"/>
    <w:rsid w:val="002B19B4"/>
    <w:rsid w:val="002E4E1D"/>
    <w:rsid w:val="002F1BEC"/>
    <w:rsid w:val="002F36A9"/>
    <w:rsid w:val="002F4757"/>
    <w:rsid w:val="002F6BFD"/>
    <w:rsid w:val="00305F25"/>
    <w:rsid w:val="00312AAD"/>
    <w:rsid w:val="00322199"/>
    <w:rsid w:val="003223C7"/>
    <w:rsid w:val="00326555"/>
    <w:rsid w:val="003410E0"/>
    <w:rsid w:val="00350EAD"/>
    <w:rsid w:val="00351A4F"/>
    <w:rsid w:val="003651DB"/>
    <w:rsid w:val="0036691A"/>
    <w:rsid w:val="00366F6E"/>
    <w:rsid w:val="003715A0"/>
    <w:rsid w:val="0037171F"/>
    <w:rsid w:val="00376FD1"/>
    <w:rsid w:val="003845C7"/>
    <w:rsid w:val="0039002C"/>
    <w:rsid w:val="0039015B"/>
    <w:rsid w:val="0039367C"/>
    <w:rsid w:val="003B44DB"/>
    <w:rsid w:val="003B4BC9"/>
    <w:rsid w:val="003B6298"/>
    <w:rsid w:val="003E1AAD"/>
    <w:rsid w:val="003E2EB1"/>
    <w:rsid w:val="003E3C16"/>
    <w:rsid w:val="00407D96"/>
    <w:rsid w:val="00432495"/>
    <w:rsid w:val="00433A2F"/>
    <w:rsid w:val="004419A2"/>
    <w:rsid w:val="00444DA7"/>
    <w:rsid w:val="00457882"/>
    <w:rsid w:val="00463CC7"/>
    <w:rsid w:val="0047171D"/>
    <w:rsid w:val="004809C4"/>
    <w:rsid w:val="0048433C"/>
    <w:rsid w:val="004847B1"/>
    <w:rsid w:val="00494730"/>
    <w:rsid w:val="0049545B"/>
    <w:rsid w:val="004A5CFB"/>
    <w:rsid w:val="004D3BD0"/>
    <w:rsid w:val="004D45B1"/>
    <w:rsid w:val="004D68A7"/>
    <w:rsid w:val="004E000D"/>
    <w:rsid w:val="004E29D1"/>
    <w:rsid w:val="004F058D"/>
    <w:rsid w:val="00500566"/>
    <w:rsid w:val="005073A3"/>
    <w:rsid w:val="00523608"/>
    <w:rsid w:val="005256FE"/>
    <w:rsid w:val="00525C0A"/>
    <w:rsid w:val="00535608"/>
    <w:rsid w:val="00543E5E"/>
    <w:rsid w:val="00545CAA"/>
    <w:rsid w:val="005562CD"/>
    <w:rsid w:val="00556688"/>
    <w:rsid w:val="0056162B"/>
    <w:rsid w:val="0056707B"/>
    <w:rsid w:val="00581068"/>
    <w:rsid w:val="00581A9D"/>
    <w:rsid w:val="005A2503"/>
    <w:rsid w:val="005A5DD4"/>
    <w:rsid w:val="005B4F04"/>
    <w:rsid w:val="005B7CB9"/>
    <w:rsid w:val="005D0023"/>
    <w:rsid w:val="005E21C4"/>
    <w:rsid w:val="005E28A8"/>
    <w:rsid w:val="005F4D59"/>
    <w:rsid w:val="005F5BF8"/>
    <w:rsid w:val="0060001C"/>
    <w:rsid w:val="00600376"/>
    <w:rsid w:val="00600D31"/>
    <w:rsid w:val="00604784"/>
    <w:rsid w:val="0060786A"/>
    <w:rsid w:val="006237FE"/>
    <w:rsid w:val="006279C3"/>
    <w:rsid w:val="00627AF7"/>
    <w:rsid w:val="00632540"/>
    <w:rsid w:val="00633F73"/>
    <w:rsid w:val="00645199"/>
    <w:rsid w:val="00645850"/>
    <w:rsid w:val="00661ECF"/>
    <w:rsid w:val="006758B3"/>
    <w:rsid w:val="006802A8"/>
    <w:rsid w:val="00692071"/>
    <w:rsid w:val="00692087"/>
    <w:rsid w:val="00694B28"/>
    <w:rsid w:val="00695774"/>
    <w:rsid w:val="006A712A"/>
    <w:rsid w:val="006C3932"/>
    <w:rsid w:val="006C5349"/>
    <w:rsid w:val="006C5F2A"/>
    <w:rsid w:val="006C662C"/>
    <w:rsid w:val="006F4A5C"/>
    <w:rsid w:val="00700AB6"/>
    <w:rsid w:val="00712C2A"/>
    <w:rsid w:val="00714915"/>
    <w:rsid w:val="00715F5C"/>
    <w:rsid w:val="007278C1"/>
    <w:rsid w:val="00733493"/>
    <w:rsid w:val="00737F1D"/>
    <w:rsid w:val="00755883"/>
    <w:rsid w:val="00767B01"/>
    <w:rsid w:val="00776046"/>
    <w:rsid w:val="00782816"/>
    <w:rsid w:val="00785A46"/>
    <w:rsid w:val="007861E3"/>
    <w:rsid w:val="007940D6"/>
    <w:rsid w:val="0079602C"/>
    <w:rsid w:val="007A3665"/>
    <w:rsid w:val="007A5269"/>
    <w:rsid w:val="007B05BB"/>
    <w:rsid w:val="007B1740"/>
    <w:rsid w:val="007C3457"/>
    <w:rsid w:val="007C37E9"/>
    <w:rsid w:val="007C61B5"/>
    <w:rsid w:val="007C7D2D"/>
    <w:rsid w:val="007D05FA"/>
    <w:rsid w:val="007D3889"/>
    <w:rsid w:val="007D39E4"/>
    <w:rsid w:val="007D43A7"/>
    <w:rsid w:val="007E1695"/>
    <w:rsid w:val="007F204C"/>
    <w:rsid w:val="007F6D03"/>
    <w:rsid w:val="00804060"/>
    <w:rsid w:val="00804870"/>
    <w:rsid w:val="008166C9"/>
    <w:rsid w:val="00824E43"/>
    <w:rsid w:val="00833D8C"/>
    <w:rsid w:val="00834C9A"/>
    <w:rsid w:val="00835FF5"/>
    <w:rsid w:val="00841AB3"/>
    <w:rsid w:val="0084708C"/>
    <w:rsid w:val="00850AD5"/>
    <w:rsid w:val="00852739"/>
    <w:rsid w:val="008629CC"/>
    <w:rsid w:val="00865EBB"/>
    <w:rsid w:val="0088583C"/>
    <w:rsid w:val="00886C36"/>
    <w:rsid w:val="008A6AC8"/>
    <w:rsid w:val="008B33D6"/>
    <w:rsid w:val="008C5591"/>
    <w:rsid w:val="008D04A6"/>
    <w:rsid w:val="008D44D4"/>
    <w:rsid w:val="008D4C1A"/>
    <w:rsid w:val="008F0867"/>
    <w:rsid w:val="008F0AF9"/>
    <w:rsid w:val="008F172F"/>
    <w:rsid w:val="008F2044"/>
    <w:rsid w:val="008F2BE1"/>
    <w:rsid w:val="008F4DD1"/>
    <w:rsid w:val="009056DB"/>
    <w:rsid w:val="0094548D"/>
    <w:rsid w:val="00947592"/>
    <w:rsid w:val="00950280"/>
    <w:rsid w:val="00967350"/>
    <w:rsid w:val="00991A18"/>
    <w:rsid w:val="00994A16"/>
    <w:rsid w:val="009A30D3"/>
    <w:rsid w:val="009A456D"/>
    <w:rsid w:val="009C3507"/>
    <w:rsid w:val="009C45BE"/>
    <w:rsid w:val="009C6F87"/>
    <w:rsid w:val="009D03A7"/>
    <w:rsid w:val="009E0479"/>
    <w:rsid w:val="009E42DE"/>
    <w:rsid w:val="00A0102E"/>
    <w:rsid w:val="00A04220"/>
    <w:rsid w:val="00A12960"/>
    <w:rsid w:val="00A14487"/>
    <w:rsid w:val="00A1570D"/>
    <w:rsid w:val="00A22386"/>
    <w:rsid w:val="00A40D1C"/>
    <w:rsid w:val="00A56B75"/>
    <w:rsid w:val="00A71C04"/>
    <w:rsid w:val="00A85A38"/>
    <w:rsid w:val="00AA0017"/>
    <w:rsid w:val="00AA4BC5"/>
    <w:rsid w:val="00AB09B3"/>
    <w:rsid w:val="00AB1270"/>
    <w:rsid w:val="00AB5955"/>
    <w:rsid w:val="00AC02D1"/>
    <w:rsid w:val="00AC2642"/>
    <w:rsid w:val="00AE24C6"/>
    <w:rsid w:val="00B06019"/>
    <w:rsid w:val="00B07409"/>
    <w:rsid w:val="00B1006E"/>
    <w:rsid w:val="00B178FB"/>
    <w:rsid w:val="00B27A00"/>
    <w:rsid w:val="00B334A2"/>
    <w:rsid w:val="00B36963"/>
    <w:rsid w:val="00B41FC8"/>
    <w:rsid w:val="00B5252A"/>
    <w:rsid w:val="00B5484F"/>
    <w:rsid w:val="00B63DB1"/>
    <w:rsid w:val="00B644EE"/>
    <w:rsid w:val="00B67138"/>
    <w:rsid w:val="00B6715C"/>
    <w:rsid w:val="00B75D4D"/>
    <w:rsid w:val="00B81CFE"/>
    <w:rsid w:val="00B903AE"/>
    <w:rsid w:val="00B9157F"/>
    <w:rsid w:val="00B95225"/>
    <w:rsid w:val="00BA55D3"/>
    <w:rsid w:val="00BA6149"/>
    <w:rsid w:val="00BA6759"/>
    <w:rsid w:val="00BA7204"/>
    <w:rsid w:val="00BB2C8C"/>
    <w:rsid w:val="00BB3B34"/>
    <w:rsid w:val="00BC6826"/>
    <w:rsid w:val="00BD2DAF"/>
    <w:rsid w:val="00BD7206"/>
    <w:rsid w:val="00C0295C"/>
    <w:rsid w:val="00C03C06"/>
    <w:rsid w:val="00C121EC"/>
    <w:rsid w:val="00C12BCD"/>
    <w:rsid w:val="00C12C65"/>
    <w:rsid w:val="00C21B36"/>
    <w:rsid w:val="00C33D7C"/>
    <w:rsid w:val="00C42F0D"/>
    <w:rsid w:val="00C445E2"/>
    <w:rsid w:val="00C52E54"/>
    <w:rsid w:val="00C70F1B"/>
    <w:rsid w:val="00C7129D"/>
    <w:rsid w:val="00C7381A"/>
    <w:rsid w:val="00C748D1"/>
    <w:rsid w:val="00C91014"/>
    <w:rsid w:val="00C94310"/>
    <w:rsid w:val="00C949B6"/>
    <w:rsid w:val="00CA1CE9"/>
    <w:rsid w:val="00CB0D7F"/>
    <w:rsid w:val="00CB1A4E"/>
    <w:rsid w:val="00CC29F6"/>
    <w:rsid w:val="00CD2287"/>
    <w:rsid w:val="00CD5BBB"/>
    <w:rsid w:val="00CE0685"/>
    <w:rsid w:val="00CE71E8"/>
    <w:rsid w:val="00D015D5"/>
    <w:rsid w:val="00D17771"/>
    <w:rsid w:val="00D37EA5"/>
    <w:rsid w:val="00D73628"/>
    <w:rsid w:val="00D73918"/>
    <w:rsid w:val="00D83508"/>
    <w:rsid w:val="00D967D7"/>
    <w:rsid w:val="00DA125D"/>
    <w:rsid w:val="00DB19B9"/>
    <w:rsid w:val="00DC4BC2"/>
    <w:rsid w:val="00DC512E"/>
    <w:rsid w:val="00DE057D"/>
    <w:rsid w:val="00E0020F"/>
    <w:rsid w:val="00E02793"/>
    <w:rsid w:val="00E044F7"/>
    <w:rsid w:val="00E11479"/>
    <w:rsid w:val="00E118C7"/>
    <w:rsid w:val="00E1427B"/>
    <w:rsid w:val="00E14E0D"/>
    <w:rsid w:val="00E2143C"/>
    <w:rsid w:val="00E22B8B"/>
    <w:rsid w:val="00E317D1"/>
    <w:rsid w:val="00E40DF0"/>
    <w:rsid w:val="00E41ACB"/>
    <w:rsid w:val="00E4267B"/>
    <w:rsid w:val="00E43AFF"/>
    <w:rsid w:val="00E47DAC"/>
    <w:rsid w:val="00E63C8A"/>
    <w:rsid w:val="00E70BF6"/>
    <w:rsid w:val="00E7372D"/>
    <w:rsid w:val="00E80506"/>
    <w:rsid w:val="00EA0922"/>
    <w:rsid w:val="00EE5C6F"/>
    <w:rsid w:val="00F034EA"/>
    <w:rsid w:val="00F11C98"/>
    <w:rsid w:val="00F12E47"/>
    <w:rsid w:val="00F223B2"/>
    <w:rsid w:val="00F2261B"/>
    <w:rsid w:val="00F25E28"/>
    <w:rsid w:val="00F53241"/>
    <w:rsid w:val="00F54880"/>
    <w:rsid w:val="00F63122"/>
    <w:rsid w:val="00F67790"/>
    <w:rsid w:val="00F9512A"/>
    <w:rsid w:val="00FA3862"/>
    <w:rsid w:val="00FB1A1B"/>
    <w:rsid w:val="00FB645B"/>
    <w:rsid w:val="00FC09D6"/>
    <w:rsid w:val="00FC34EC"/>
    <w:rsid w:val="00FC3F69"/>
    <w:rsid w:val="00FC5312"/>
    <w:rsid w:val="00FD3964"/>
    <w:rsid w:val="00FD573E"/>
    <w:rsid w:val="00FE7F3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1105305-67BD-4ABD-ADAD-466259CC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F57E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5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5B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05BB"/>
    <w:rPr>
      <w:vertAlign w:val="superscript"/>
    </w:rPr>
  </w:style>
  <w:style w:type="paragraph" w:customStyle="1" w:styleId="gmail-odluka-zakon">
    <w:name w:val="gmail-odluka-zakon"/>
    <w:basedOn w:val="Normal"/>
    <w:uiPriority w:val="99"/>
    <w:semiHidden/>
    <w:rsid w:val="0047171D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  <w:style w:type="paragraph" w:customStyle="1" w:styleId="m-5464519572054304247gmail-odluka-zakon">
    <w:name w:val="m_-5464519572054304247gmail-odluka-zakon"/>
    <w:basedOn w:val="Normal"/>
    <w:uiPriority w:val="99"/>
    <w:rsid w:val="00700AB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A386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37E69-19CA-4AA7-8F30-A7810D08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8</cp:revision>
  <cp:lastPrinted>2018-09-05T12:48:00Z</cp:lastPrinted>
  <dcterms:created xsi:type="dcterms:W3CDTF">2019-04-06T11:24:00Z</dcterms:created>
  <dcterms:modified xsi:type="dcterms:W3CDTF">2019-07-12T15:18:00Z</dcterms:modified>
</cp:coreProperties>
</file>