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125322A4" w:rsidR="00B1006E" w:rsidRDefault="003F6200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  ПОСТУПКА</w:t>
      </w:r>
      <w:r w:rsidRPr="003F6200">
        <w:t xml:space="preserve"> </w:t>
      </w:r>
      <w:r w:rsidRPr="003F6200">
        <w:rPr>
          <w:b/>
          <w:sz w:val="22"/>
          <w:szCs w:val="22"/>
          <w:lang w:val="sr-Cyrl-RS"/>
        </w:rPr>
        <w:t>УНОС</w:t>
      </w:r>
      <w:r>
        <w:rPr>
          <w:b/>
          <w:sz w:val="22"/>
          <w:szCs w:val="22"/>
          <w:lang w:val="sr-Cyrl-RS"/>
        </w:rPr>
        <w:t>А</w:t>
      </w:r>
      <w:r w:rsidRPr="003F6200">
        <w:rPr>
          <w:b/>
          <w:sz w:val="22"/>
          <w:szCs w:val="22"/>
          <w:lang w:val="sr-Cyrl-RS"/>
        </w:rPr>
        <w:t xml:space="preserve"> У ЕВИДЕНЦИЈУ И ДЕПОНОВАЊЕ АУТОРСКИХ ДЕЛА И/ИЛИ ПРЕДМЕТА СРОДНИХ ПРАВА</w:t>
      </w:r>
    </w:p>
    <w:p w14:paraId="21D6216D" w14:textId="77777777" w:rsidR="003F6200" w:rsidRPr="00DB19B9" w:rsidRDefault="003F6200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62C7D07" w:rsidR="000E2036" w:rsidRPr="00175634" w:rsidRDefault="00B35E77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B35E77">
              <w:rPr>
                <w:bCs/>
                <w:sz w:val="22"/>
                <w:szCs w:val="22"/>
                <w:lang w:val="sr-Cyrl-RS"/>
              </w:rPr>
              <w:t>Унос у евиденцију и депоновање ауторских дела и/или предмета сродних права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458E08D" w:rsidR="000E2036" w:rsidRPr="00175634" w:rsidRDefault="00175634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175634">
              <w:rPr>
                <w:bCs/>
                <w:sz w:val="22"/>
                <w:szCs w:val="22"/>
                <w:lang w:val="sr-Cyrl-RS"/>
              </w:rPr>
              <w:t>20.00.00</w:t>
            </w:r>
            <w:r w:rsidR="00B35E77">
              <w:rPr>
                <w:bCs/>
                <w:sz w:val="22"/>
                <w:szCs w:val="22"/>
                <w:lang w:val="sr-Cyrl-RS"/>
              </w:rPr>
              <w:t>32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827171A" w14:textId="3DE5A1FD" w:rsidR="00175634" w:rsidRDefault="0017563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797993C6" w:rsidR="00092B84" w:rsidRPr="00DB19B9" w:rsidRDefault="0017563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75634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D1939B2" w14:textId="53750A8A" w:rsidR="001807E4" w:rsidRDefault="00B35E77" w:rsidP="00B35E77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35E7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ауторском и сродним правима</w:t>
            </w:r>
            <w:r w:rsidR="00175634"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</w:t>
            </w:r>
            <w:r w:rsidR="001807E4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="00175634"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</w:t>
            </w:r>
            <w:r w:rsidR="00CE3B7F" w:rsidRPr="00CE3B7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CE3B7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175634"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>бр.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35E77">
              <w:rPr>
                <w:rFonts w:ascii="Times New Roman" w:hAnsi="Times New Roman"/>
                <w:sz w:val="22"/>
                <w:szCs w:val="22"/>
                <w:lang w:val="sr-Cyrl-RS"/>
              </w:rPr>
              <w:t>104/09, 99/11, 119/12, 29/16-УС, 66/19</w:t>
            </w:r>
            <w:r w:rsidR="00175634"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6A754624" w:rsidR="00D3770E" w:rsidRPr="00B35E77" w:rsidRDefault="00D3770E" w:rsidP="00B35E77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3770E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условима које треба да испуњавају примерци ауторских дела и предмета сродних права који се депонују, уношењу у евиденцију и депоновању ауторских дела и предмета сродних права и садржају евиденције депонованих ауторских дела и предмета сродних права, код надлежног органа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>(„Сл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</w:t>
            </w:r>
            <w:r w:rsidR="00CE3B7F" w:rsidRPr="00CE3B7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CE3B7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>бр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Pr="00D377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45/10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3901DF5" w:rsidR="00D73918" w:rsidRPr="003F6200" w:rsidRDefault="001807E4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1807E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7F61E7E" w:rsidR="00804060" w:rsidRPr="00DB19B9" w:rsidRDefault="00F8131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81318">
              <w:rPr>
                <w:sz w:val="22"/>
                <w:szCs w:val="22"/>
                <w:lang w:val="sr-Cyrl-RS"/>
              </w:rPr>
              <w:t xml:space="preserve">Четврти </w:t>
            </w:r>
            <w:r w:rsidR="001807E4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55D1FA65" w:rsidR="0009542A" w:rsidRPr="00DB19B9" w:rsidRDefault="00013371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се спроводи ефикасно, али постоји додатни простор за оптимизацију поступка, електронским издавањем акта подносиоцу захтева. Такође, на обрасцу захтева и даље постоји место за печата, иако привредна друштва и предузетници нису у обавези да користе печат. 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780F5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70"/>
              <w:gridCol w:w="1826"/>
              <w:gridCol w:w="1739"/>
              <w:gridCol w:w="1699"/>
            </w:tblGrid>
            <w:tr w:rsidR="00C70F1B" w:rsidRPr="00780F51" w14:paraId="30C2F8E8" w14:textId="77777777" w:rsidTr="004D14E1">
              <w:trPr>
                <w:trHeight w:val="749"/>
              </w:trPr>
              <w:tc>
                <w:tcPr>
                  <w:tcW w:w="357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9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4D14E1">
              <w:trPr>
                <w:trHeight w:val="260"/>
              </w:trPr>
              <w:tc>
                <w:tcPr>
                  <w:tcW w:w="3570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26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39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99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D14E1" w:rsidRPr="002C0BE8" w14:paraId="0A230311" w14:textId="77777777" w:rsidTr="004D14E1">
              <w:tblPrEx>
                <w:jc w:val="center"/>
              </w:tblPrEx>
              <w:trPr>
                <w:trHeight w:val="489"/>
                <w:jc w:val="center"/>
              </w:trPr>
              <w:tc>
                <w:tcPr>
                  <w:tcW w:w="3570" w:type="dxa"/>
                  <w:vAlign w:val="center"/>
                </w:tcPr>
                <w:p w14:paraId="7E879AFF" w14:textId="45705E68" w:rsidR="004D14E1" w:rsidRPr="006E38D4" w:rsidRDefault="00725E9F" w:rsidP="00834336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en-GB"/>
                    </w:rPr>
                  </w:pPr>
                  <w:bookmarkStart w:id="1" w:name="_Hlk22813349"/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  <w:p w14:paraId="335236A0" w14:textId="77777777" w:rsidR="004D14E1" w:rsidRPr="006E38D4" w:rsidRDefault="004D14E1" w:rsidP="00834336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26" w:type="dxa"/>
                  <w:vAlign w:val="center"/>
                </w:tcPr>
                <w:p w14:paraId="74067A0E" w14:textId="6810A65E" w:rsidR="004D14E1" w:rsidRPr="002C0BE8" w:rsidRDefault="004D14E1" w:rsidP="00834336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39" w:type="dxa"/>
                  <w:vAlign w:val="center"/>
                </w:tcPr>
                <w:p w14:paraId="37855470" w14:textId="61CB5B0F" w:rsidR="004D14E1" w:rsidRPr="002C0BE8" w:rsidRDefault="00725E9F" w:rsidP="00725E9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2C0BE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99" w:type="dxa"/>
                  <w:vAlign w:val="center"/>
                </w:tcPr>
                <w:p w14:paraId="11050F27" w14:textId="48470827" w:rsidR="004D14E1" w:rsidRPr="002C0BE8" w:rsidRDefault="004D14E1" w:rsidP="00834336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  <w:bookmarkEnd w:id="1"/>
            <w:tr w:rsidR="000975F3" w:rsidRPr="002C0BE8" w14:paraId="576F341C" w14:textId="77777777" w:rsidTr="004241C0">
              <w:tblPrEx>
                <w:jc w:val="center"/>
              </w:tblPrEx>
              <w:trPr>
                <w:trHeight w:val="489"/>
                <w:jc w:val="center"/>
              </w:trPr>
              <w:tc>
                <w:tcPr>
                  <w:tcW w:w="3570" w:type="dxa"/>
                  <w:vAlign w:val="center"/>
                </w:tcPr>
                <w:p w14:paraId="27E8AD7D" w14:textId="0270FF95" w:rsidR="000975F3" w:rsidRPr="000975F3" w:rsidRDefault="000975F3" w:rsidP="004241C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  <w:lang w:val="sr-Cyrl-RS"/>
                    </w:rPr>
                  </w:pPr>
                  <w:r w:rsidRPr="000975F3"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  <w:lang w:val="sr-Cyrl-RS"/>
                    </w:rPr>
                    <w:t>Издавање акта електронским путем</w:t>
                  </w:r>
                </w:p>
                <w:p w14:paraId="24545347" w14:textId="77777777" w:rsidR="000975F3" w:rsidRPr="006E38D4" w:rsidRDefault="000975F3" w:rsidP="004241C0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26" w:type="dxa"/>
                  <w:vAlign w:val="center"/>
                </w:tcPr>
                <w:p w14:paraId="520B8D7A" w14:textId="77777777" w:rsidR="000975F3" w:rsidRPr="002C0BE8" w:rsidRDefault="000975F3" w:rsidP="004241C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39" w:type="dxa"/>
                  <w:vAlign w:val="center"/>
                </w:tcPr>
                <w:p w14:paraId="203F747D" w14:textId="77777777" w:rsidR="000975F3" w:rsidRPr="002C0BE8" w:rsidRDefault="000975F3" w:rsidP="004241C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2C0BE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99" w:type="dxa"/>
                  <w:vAlign w:val="center"/>
                </w:tcPr>
                <w:p w14:paraId="3D6499DB" w14:textId="77777777" w:rsidR="000975F3" w:rsidRPr="002C0BE8" w:rsidRDefault="000975F3" w:rsidP="004241C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6E28D8C5" w14:textId="4D099458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1F32885" w14:textId="64430EFE" w:rsidR="000A22A8" w:rsidRPr="000A22A8" w:rsidRDefault="000A22A8" w:rsidP="000A22A8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</w:pPr>
          </w:p>
          <w:p w14:paraId="09C9E15F" w14:textId="61C3799D" w:rsidR="000A22A8" w:rsidRDefault="00725E9F" w:rsidP="000A22A8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725E9F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Престанак употребе печата на обрасцу захтева</w:t>
            </w:r>
          </w:p>
          <w:p w14:paraId="073393F0" w14:textId="4A226A89" w:rsidR="00A04A97" w:rsidRPr="00635760" w:rsidRDefault="00A04A97" w:rsidP="00A04A97">
            <w:pPr>
              <w:pStyle w:val="NormalWeb"/>
              <w:jc w:val="both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Захтев се подноси на обрасцу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који је п</w:t>
            </w:r>
            <w:r w:rsidRPr="00A04A97">
              <w:rPr>
                <w:bCs/>
                <w:color w:val="000000" w:themeColor="text1"/>
                <w:sz w:val="22"/>
                <w:szCs w:val="22"/>
                <w:lang w:val="sr-Cyrl-RS"/>
              </w:rPr>
              <w:t>рипремљен од стране организационе јединице, на основу елемената дефинисаних прописом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. На обрасцу захтева и даље постоји место печата. 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lastRenderedPageBreak/>
              <w:t xml:space="preserve">Члановима 10. и 12. </w:t>
            </w:r>
            <w:r w:rsidRPr="00A04A97">
              <w:rPr>
                <w:bCs/>
                <w:color w:val="000000" w:themeColor="text1"/>
                <w:sz w:val="22"/>
                <w:szCs w:val="22"/>
                <w:lang w:val="sr-Cyrl-RS"/>
              </w:rPr>
              <w:t>Уредб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>е</w:t>
            </w:r>
            <w:r w:rsidRPr="00A04A97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о условима које треба да испуњавају примерци ауторских дела и предмета сродних права који се депонују, уношењу у евиденцију и депоновању ауторских дела и предмета сродних права и садржају евиденције депонованих ауторских дела и предмета сродних права, код надлежног органа („Службени гласник РС</w:t>
            </w:r>
            <w:r w:rsidR="003A6838" w:rsidRPr="003A6838">
              <w:rPr>
                <w:rFonts w:eastAsia="Calibri"/>
                <w:sz w:val="22"/>
                <w:szCs w:val="22"/>
                <w:lang w:val="sr-Latn-RS"/>
              </w:rPr>
              <w:t>”</w:t>
            </w:r>
            <w:r w:rsidRPr="00A04A97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број 45/10)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прописан је печат као један од елемената </w:t>
            </w:r>
            <w:r w:rsidR="003D66D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обрасца захтева 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>али само уколико га има</w:t>
            </w:r>
            <w:r w:rsidR="005953C5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носилац сродног права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</w:p>
          <w:p w14:paraId="60BF02C0" w14:textId="1C5C9E69" w:rsidR="00A04A97" w:rsidRPr="00635760" w:rsidRDefault="00A04A97" w:rsidP="00A04A97">
            <w:pPr>
              <w:pStyle w:val="NormalWeb"/>
              <w:jc w:val="both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Чланом 25. Закона о привредним друштвима („Службени гласник РС</w:t>
            </w:r>
            <w:r w:rsidR="003A6838" w:rsidRPr="003A6838">
              <w:rPr>
                <w:rFonts w:eastAsia="Calibri"/>
                <w:sz w:val="22"/>
                <w:szCs w:val="22"/>
                <w:lang w:val="sr-Latn-RS"/>
              </w:rPr>
              <w:t>”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, бр.</w:t>
            </w:r>
            <w:r w:rsidRPr="00635760">
              <w:rPr>
                <w:sz w:val="22"/>
                <w:szCs w:val="22"/>
              </w:rPr>
              <w:t xml:space="preserve"> 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36/11, 99/11, 83/14-др. закон, 5/15, 44/18, 95/18) је прописано да друштво (подразумева привредна друштва и предузетнике) није у обавези да у пословању користи печат. Потребно је </w:t>
            </w:r>
            <w:r w:rsidR="00874BB4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у обрасцу захтева </w:t>
            </w:r>
            <w:r w:rsidR="00440E26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нагласити да </w:t>
            </w:r>
            <w:r w:rsidR="00B400C1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се печатирање односи само на </w:t>
            </w:r>
            <w:r w:rsidR="007558C1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привредна друштва и предузетнике који користе печат, </w:t>
            </w:r>
            <w:r w:rsidR="00874BB4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као и на </w:t>
            </w:r>
            <w:r w:rsidR="007558C1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друга правна лица која могу бити подносиоци захте</w:t>
            </w:r>
            <w:r w:rsidR="00E00EBB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ва. Због тога треба оставити 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предвиђено место за печат </w:t>
            </w:r>
            <w:r w:rsidR="00C452F0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уз </w:t>
            </w:r>
            <w:r w:rsidR="008C6232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прецизирање </w:t>
            </w:r>
            <w:r w:rsidR="009C183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ко има обавезу печатирања </w:t>
            </w:r>
            <w:r w:rsidR="00C452F0">
              <w:rPr>
                <w:bCs/>
                <w:color w:val="000000" w:themeColor="text1"/>
                <w:sz w:val="22"/>
                <w:szCs w:val="22"/>
                <w:lang w:val="sr-Cyrl-RS"/>
              </w:rPr>
              <w:t>ажурирање</w:t>
            </w:r>
            <w:r w:rsidR="009C183E">
              <w:rPr>
                <w:bCs/>
                <w:color w:val="000000" w:themeColor="text1"/>
                <w:sz w:val="22"/>
                <w:szCs w:val="22"/>
                <w:lang w:val="sr-Cyrl-RS"/>
              </w:rPr>
              <w:t>м</w:t>
            </w:r>
            <w:r w:rsidR="00C452F0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обра</w:t>
            </w:r>
            <w:r w:rsidR="008C6232">
              <w:rPr>
                <w:bCs/>
                <w:color w:val="000000" w:themeColor="text1"/>
                <w:sz w:val="22"/>
                <w:szCs w:val="22"/>
                <w:lang w:val="sr-Cyrl-RS"/>
              </w:rPr>
              <w:t>с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ц</w:t>
            </w:r>
            <w:r w:rsidR="008C6232">
              <w:rPr>
                <w:bCs/>
                <w:color w:val="000000" w:themeColor="text1"/>
                <w:sz w:val="22"/>
                <w:szCs w:val="22"/>
                <w:lang w:val="sr-Cyrl-RS"/>
              </w:rPr>
              <w:t>а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захтева </w:t>
            </w:r>
            <w:r w:rsidR="008C6232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који је 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објављен на интернет страници.</w:t>
            </w:r>
          </w:p>
          <w:p w14:paraId="0963C473" w14:textId="62C31ED5" w:rsidR="00CA1CE9" w:rsidRDefault="00A04A97" w:rsidP="00A04A97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>
              <w:rPr>
                <w:b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7820CC57" w14:textId="240AACFE" w:rsidR="000975F3" w:rsidRDefault="000975F3" w:rsidP="000975F3">
            <w:pPr>
              <w:pStyle w:val="ListParagraph"/>
              <w:keepNext/>
              <w:keepLines/>
              <w:numPr>
                <w:ilvl w:val="1"/>
                <w:numId w:val="23"/>
              </w:numPr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bookmarkStart w:id="2" w:name="_Toc19636062"/>
            <w:r w:rsidRPr="000975F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Издавања акта електронским путем</w:t>
            </w:r>
            <w:bookmarkEnd w:id="2"/>
          </w:p>
          <w:p w14:paraId="3E7D2847" w14:textId="77777777" w:rsidR="000975F3" w:rsidRPr="000975F3" w:rsidRDefault="000975F3" w:rsidP="000975F3">
            <w:pPr>
              <w:pStyle w:val="ListParagraph"/>
              <w:keepNext/>
              <w:keepLines/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76D94865" w14:textId="6E473C1F" w:rsidR="000975F3" w:rsidRPr="000975F3" w:rsidRDefault="000975F3" w:rsidP="000975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75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достављање акта подносиоцу захтева поштом или лично, у просторијама надлежног органа. Још увек </w:t>
            </w:r>
            <w:r w:rsidR="000133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није </w:t>
            </w:r>
            <w:r w:rsidRPr="000975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успостављена електронска управа, нити поједини сегменти електронске комуникације. </w:t>
            </w:r>
          </w:p>
          <w:p w14:paraId="08BB4C65" w14:textId="77777777" w:rsidR="000975F3" w:rsidRPr="000975F3" w:rsidRDefault="000975F3" w:rsidP="000975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46E825B" w14:textId="13F1B47C" w:rsidR="000975F3" w:rsidRPr="000975F3" w:rsidRDefault="000975F3" w:rsidP="000975F3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0975F3">
              <w:rPr>
                <w:rFonts w:ascii="Times New Roman" w:hAnsi="Times New Roman"/>
                <w:sz w:val="22"/>
                <w:szCs w:val="22"/>
                <w:lang w:val="sr-Cyrl-RS"/>
              </w:rPr>
              <w:t>Члан 40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0975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електронској управи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</w:t>
            </w:r>
            <w:r w:rsidR="003A6838" w:rsidRPr="003A6838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број </w:t>
            </w:r>
            <w:r w:rsidRPr="000975F3">
              <w:rPr>
                <w:rFonts w:ascii="Times New Roman" w:hAnsi="Times New Roman"/>
                <w:sz w:val="22"/>
                <w:szCs w:val="22"/>
                <w:lang w:val="sr-Cyrl-RS"/>
              </w:rPr>
              <w:t>27/18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 </w:t>
            </w:r>
            <w:r w:rsidRPr="000975F3">
              <w:rPr>
                <w:rFonts w:ascii="Times New Roman" w:hAnsi="Times New Roman"/>
                <w:sz w:val="22"/>
                <w:szCs w:val="22"/>
                <w:lang w:val="sr-Cyrl-RS"/>
              </w:rPr>
              <w:t>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</w:t>
            </w:r>
            <w:r w:rsidRPr="000975F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6E8B915B" w14:textId="77777777" w:rsidR="000975F3" w:rsidRPr="000975F3" w:rsidRDefault="000975F3" w:rsidP="000975F3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  <w:p w14:paraId="7B544804" w14:textId="6C5FA5F1" w:rsidR="000975F3" w:rsidRPr="00F040E0" w:rsidRDefault="000975F3" w:rsidP="000975F3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0975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0975F3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0975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електронско издавање акта - </w:t>
            </w:r>
            <w:r w:rsidRPr="000975F3">
              <w:rPr>
                <w:rFonts w:ascii="Times New Roman" w:hAnsi="Times New Roman"/>
                <w:sz w:val="22"/>
                <w:szCs w:val="22"/>
                <w:lang w:val="sr-Cyrl-RS"/>
              </w:rPr>
              <w:t>Потврд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0975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уношењу у евиденцију и депоновању ауторских дела и предмета сродних права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подносиоцу захтева.</w:t>
            </w:r>
          </w:p>
          <w:p w14:paraId="6B5BBA4F" w14:textId="77777777" w:rsidR="000975F3" w:rsidRPr="000975F3" w:rsidRDefault="000975F3" w:rsidP="000975F3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1A021C7" w14:textId="77777777" w:rsidR="000975F3" w:rsidRDefault="000975F3" w:rsidP="000975F3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0975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0975F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0975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EAB4AF8" w14:textId="489B5661" w:rsidR="00F040E0" w:rsidRPr="000975F3" w:rsidRDefault="00F040E0" w:rsidP="000975F3">
            <w:pPr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DCAA9A0" w:rsidR="00CA1CE9" w:rsidRPr="000A22A8" w:rsidRDefault="00946748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</w:t>
            </w:r>
            <w:r w:rsidR="000A22A8" w:rsidRPr="000A22A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потребна измена прописа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704E6B0" w:rsidR="00CA1CE9" w:rsidRPr="00DB19B9" w:rsidRDefault="00946748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</w:t>
            </w:r>
            <w:r w:rsidR="000A22A8" w:rsidRPr="000A22A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потребна измена прописа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203BAC4F" w:rsidR="00CA1CE9" w:rsidRPr="00515905" w:rsidRDefault="00515905" w:rsidP="0075123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1590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CB628" w14:textId="77777777" w:rsidR="00FC2DB1" w:rsidRDefault="00FC2DB1" w:rsidP="002A202F">
      <w:r>
        <w:separator/>
      </w:r>
    </w:p>
  </w:endnote>
  <w:endnote w:type="continuationSeparator" w:id="0">
    <w:p w14:paraId="13EF60DD" w14:textId="77777777" w:rsidR="00FC2DB1" w:rsidRDefault="00FC2DB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C1B2ADD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3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E30DB" w14:textId="77777777" w:rsidR="00FC2DB1" w:rsidRDefault="00FC2DB1" w:rsidP="002A202F">
      <w:r>
        <w:separator/>
      </w:r>
    </w:p>
  </w:footnote>
  <w:footnote w:type="continuationSeparator" w:id="0">
    <w:p w14:paraId="6646A757" w14:textId="77777777" w:rsidR="00FC2DB1" w:rsidRDefault="00FC2DB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53502"/>
    <w:multiLevelType w:val="hybridMultilevel"/>
    <w:tmpl w:val="B66E4FB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multilevel"/>
    <w:tmpl w:val="407A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2"/>
  </w:num>
  <w:num w:numId="8">
    <w:abstractNumId w:val="9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10"/>
  </w:num>
  <w:num w:numId="17">
    <w:abstractNumId w:val="8"/>
  </w:num>
  <w:num w:numId="18">
    <w:abstractNumId w:val="21"/>
  </w:num>
  <w:num w:numId="19">
    <w:abstractNumId w:val="4"/>
  </w:num>
  <w:num w:numId="20">
    <w:abstractNumId w:val="23"/>
  </w:num>
  <w:num w:numId="21">
    <w:abstractNumId w:val="6"/>
  </w:num>
  <w:num w:numId="22">
    <w:abstractNumId w:val="2"/>
  </w:num>
  <w:num w:numId="23">
    <w:abstractNumId w:val="14"/>
  </w:num>
  <w:num w:numId="24">
    <w:abstractNumId w:val="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35FF"/>
    <w:rsid w:val="000050B3"/>
    <w:rsid w:val="00013371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3805"/>
    <w:rsid w:val="0009542A"/>
    <w:rsid w:val="000975F3"/>
    <w:rsid w:val="000A22A8"/>
    <w:rsid w:val="000A53F3"/>
    <w:rsid w:val="000A5CDC"/>
    <w:rsid w:val="000B54D7"/>
    <w:rsid w:val="000D3CD5"/>
    <w:rsid w:val="000D5029"/>
    <w:rsid w:val="000E2036"/>
    <w:rsid w:val="000F40CB"/>
    <w:rsid w:val="000F5E72"/>
    <w:rsid w:val="001156BA"/>
    <w:rsid w:val="0015182D"/>
    <w:rsid w:val="0016177F"/>
    <w:rsid w:val="00161847"/>
    <w:rsid w:val="00170CA7"/>
    <w:rsid w:val="001711C5"/>
    <w:rsid w:val="00171CCC"/>
    <w:rsid w:val="00175634"/>
    <w:rsid w:val="001807E4"/>
    <w:rsid w:val="001A023F"/>
    <w:rsid w:val="001A3FAC"/>
    <w:rsid w:val="001A6472"/>
    <w:rsid w:val="001C0C56"/>
    <w:rsid w:val="001C5538"/>
    <w:rsid w:val="001D0EDE"/>
    <w:rsid w:val="001D1AF5"/>
    <w:rsid w:val="001D20E2"/>
    <w:rsid w:val="001E38DE"/>
    <w:rsid w:val="001F7B31"/>
    <w:rsid w:val="0020601F"/>
    <w:rsid w:val="00212DA5"/>
    <w:rsid w:val="0021347C"/>
    <w:rsid w:val="002323AC"/>
    <w:rsid w:val="00243D51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1C1F"/>
    <w:rsid w:val="0039002C"/>
    <w:rsid w:val="003A6838"/>
    <w:rsid w:val="003B0FFC"/>
    <w:rsid w:val="003B44DB"/>
    <w:rsid w:val="003B4BC9"/>
    <w:rsid w:val="003B6298"/>
    <w:rsid w:val="003C3834"/>
    <w:rsid w:val="003D66DE"/>
    <w:rsid w:val="003E2EB1"/>
    <w:rsid w:val="003E3C16"/>
    <w:rsid w:val="003F6200"/>
    <w:rsid w:val="00407D96"/>
    <w:rsid w:val="00432495"/>
    <w:rsid w:val="00440E26"/>
    <w:rsid w:val="00444DA7"/>
    <w:rsid w:val="00457882"/>
    <w:rsid w:val="00463CC7"/>
    <w:rsid w:val="004809C4"/>
    <w:rsid w:val="0048433C"/>
    <w:rsid w:val="004847B1"/>
    <w:rsid w:val="0049545B"/>
    <w:rsid w:val="004D14E1"/>
    <w:rsid w:val="004D3BD0"/>
    <w:rsid w:val="004D45B1"/>
    <w:rsid w:val="004D68A7"/>
    <w:rsid w:val="004E29D1"/>
    <w:rsid w:val="004F3590"/>
    <w:rsid w:val="00500566"/>
    <w:rsid w:val="005073A3"/>
    <w:rsid w:val="00515905"/>
    <w:rsid w:val="00523608"/>
    <w:rsid w:val="00525C0A"/>
    <w:rsid w:val="00535608"/>
    <w:rsid w:val="0053581C"/>
    <w:rsid w:val="00556688"/>
    <w:rsid w:val="0056162B"/>
    <w:rsid w:val="0056707B"/>
    <w:rsid w:val="00581A9D"/>
    <w:rsid w:val="005953C5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061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A0EA3"/>
    <w:rsid w:val="006C5349"/>
    <w:rsid w:val="006C5F2A"/>
    <w:rsid w:val="006C662C"/>
    <w:rsid w:val="006F4A5C"/>
    <w:rsid w:val="00715F5C"/>
    <w:rsid w:val="00725E9F"/>
    <w:rsid w:val="007278C1"/>
    <w:rsid w:val="00733493"/>
    <w:rsid w:val="00737F1D"/>
    <w:rsid w:val="00751233"/>
    <w:rsid w:val="007558C1"/>
    <w:rsid w:val="00780F51"/>
    <w:rsid w:val="00782816"/>
    <w:rsid w:val="00785A46"/>
    <w:rsid w:val="007861E3"/>
    <w:rsid w:val="00793907"/>
    <w:rsid w:val="007940D6"/>
    <w:rsid w:val="007B1740"/>
    <w:rsid w:val="007C61B5"/>
    <w:rsid w:val="007D3889"/>
    <w:rsid w:val="007D39E4"/>
    <w:rsid w:val="007D43A7"/>
    <w:rsid w:val="007E1695"/>
    <w:rsid w:val="007F204C"/>
    <w:rsid w:val="007F5922"/>
    <w:rsid w:val="00804060"/>
    <w:rsid w:val="00807F59"/>
    <w:rsid w:val="008166C9"/>
    <w:rsid w:val="00824E43"/>
    <w:rsid w:val="0082596E"/>
    <w:rsid w:val="00833D8C"/>
    <w:rsid w:val="008341CA"/>
    <w:rsid w:val="00834C9A"/>
    <w:rsid w:val="0084708C"/>
    <w:rsid w:val="00850AD5"/>
    <w:rsid w:val="00852739"/>
    <w:rsid w:val="008629CC"/>
    <w:rsid w:val="00865EBB"/>
    <w:rsid w:val="008660CF"/>
    <w:rsid w:val="00874BB4"/>
    <w:rsid w:val="00881169"/>
    <w:rsid w:val="00886C36"/>
    <w:rsid w:val="008A6AC8"/>
    <w:rsid w:val="008C5591"/>
    <w:rsid w:val="008C6232"/>
    <w:rsid w:val="008D04A6"/>
    <w:rsid w:val="008D4C1A"/>
    <w:rsid w:val="008F0867"/>
    <w:rsid w:val="008F172F"/>
    <w:rsid w:val="008F2044"/>
    <w:rsid w:val="008F2BE1"/>
    <w:rsid w:val="008F4DD1"/>
    <w:rsid w:val="009056DB"/>
    <w:rsid w:val="00913EAF"/>
    <w:rsid w:val="00914F22"/>
    <w:rsid w:val="00946748"/>
    <w:rsid w:val="00947592"/>
    <w:rsid w:val="00950280"/>
    <w:rsid w:val="00991A18"/>
    <w:rsid w:val="00994A16"/>
    <w:rsid w:val="009A30D3"/>
    <w:rsid w:val="009B11CC"/>
    <w:rsid w:val="009C183E"/>
    <w:rsid w:val="009D03A7"/>
    <w:rsid w:val="009E0479"/>
    <w:rsid w:val="00A0102E"/>
    <w:rsid w:val="00A04A97"/>
    <w:rsid w:val="00A12960"/>
    <w:rsid w:val="00A1570D"/>
    <w:rsid w:val="00A22386"/>
    <w:rsid w:val="00A56B75"/>
    <w:rsid w:val="00A5769C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35E77"/>
    <w:rsid w:val="00B400C1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C0295C"/>
    <w:rsid w:val="00C03C06"/>
    <w:rsid w:val="00C121EC"/>
    <w:rsid w:val="00C12C65"/>
    <w:rsid w:val="00C445E2"/>
    <w:rsid w:val="00C452F0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3B7F"/>
    <w:rsid w:val="00D002D1"/>
    <w:rsid w:val="00D0727E"/>
    <w:rsid w:val="00D3770E"/>
    <w:rsid w:val="00D37EA5"/>
    <w:rsid w:val="00D73628"/>
    <w:rsid w:val="00D73918"/>
    <w:rsid w:val="00D967D7"/>
    <w:rsid w:val="00DA125D"/>
    <w:rsid w:val="00DB19B9"/>
    <w:rsid w:val="00DC4BC2"/>
    <w:rsid w:val="00DE057D"/>
    <w:rsid w:val="00E0020F"/>
    <w:rsid w:val="00E00EBB"/>
    <w:rsid w:val="00E0414D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EB606A"/>
    <w:rsid w:val="00F040E0"/>
    <w:rsid w:val="00F11C98"/>
    <w:rsid w:val="00F12E47"/>
    <w:rsid w:val="00F223B2"/>
    <w:rsid w:val="00F53241"/>
    <w:rsid w:val="00F67790"/>
    <w:rsid w:val="00F81318"/>
    <w:rsid w:val="00FB1A1B"/>
    <w:rsid w:val="00FB645B"/>
    <w:rsid w:val="00FC09D6"/>
    <w:rsid w:val="00FC2DB1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90EE7-C6B5-4FDD-846F-3AEC4B89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38</cp:revision>
  <cp:lastPrinted>2018-09-05T12:48:00Z</cp:lastPrinted>
  <dcterms:created xsi:type="dcterms:W3CDTF">2019-10-24T09:50:00Z</dcterms:created>
  <dcterms:modified xsi:type="dcterms:W3CDTF">2020-05-18T09:39:00Z</dcterms:modified>
</cp:coreProperties>
</file>