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60FE36AD" w:rsidR="00C1331B" w:rsidRPr="00E90E84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E90E84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97496C" w:rsidRPr="00E271E5">
        <w:rPr>
          <w:b/>
          <w:sz w:val="22"/>
          <w:szCs w:val="22"/>
          <w:lang w:val="sr-Cyrl-RS"/>
        </w:rPr>
        <w:t>УТВРЂИВАЊ</w:t>
      </w:r>
      <w:r w:rsidR="0097496C">
        <w:rPr>
          <w:b/>
          <w:sz w:val="22"/>
          <w:szCs w:val="22"/>
          <w:lang w:val="sr-Cyrl-RS"/>
        </w:rPr>
        <w:t>А</w:t>
      </w:r>
      <w:r w:rsidR="0097496C" w:rsidRPr="00E271E5">
        <w:rPr>
          <w:b/>
          <w:sz w:val="22"/>
          <w:szCs w:val="22"/>
          <w:lang w:val="sr-Cyrl-RS"/>
        </w:rPr>
        <w:t xml:space="preserve"> </w:t>
      </w:r>
      <w:r w:rsidR="00E271E5" w:rsidRPr="00E271E5">
        <w:rPr>
          <w:b/>
          <w:sz w:val="22"/>
          <w:szCs w:val="22"/>
          <w:lang w:val="sr-Cyrl-RS"/>
        </w:rPr>
        <w:t>ИСПУЊЕНОСТИ УСЛОВА ЗА КОРИШЋЕЊЕ ИЗВОРА НЕЈОНИЗУЈУЋЕГ ЗРАЧЕЊА ОД ПОСЕБНОГ ИНТЕРЕСА</w:t>
      </w:r>
    </w:p>
    <w:p w14:paraId="6E77BA59" w14:textId="77777777" w:rsidR="00C1331B" w:rsidRPr="00E90E8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E90E84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E90E8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90E8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342B428E" w:rsidR="000E2036" w:rsidRPr="00E90E84" w:rsidRDefault="00E271E5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E271E5">
              <w:rPr>
                <w:sz w:val="22"/>
                <w:szCs w:val="22"/>
                <w:lang w:val="sr-Cyrl-RS"/>
              </w:rPr>
              <w:t>Утврђивање испуњености услова за коришћење извора нејонизујућег зрачења од посебног интереса</w:t>
            </w:r>
          </w:p>
        </w:tc>
      </w:tr>
      <w:tr w:rsidR="00850AD5" w:rsidRPr="00E90E84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E90E8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2234ADFB" w:rsidR="000E2036" w:rsidRPr="00E90E84" w:rsidRDefault="00AE20D3" w:rsidP="002A0ED9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E90E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E90E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E271E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07</w:t>
            </w:r>
          </w:p>
        </w:tc>
      </w:tr>
      <w:tr w:rsidR="00850AD5" w:rsidRPr="00E90E84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E90E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E90E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14AB3ACE" w14:textId="77777777" w:rsidR="005C01B7" w:rsidRPr="00E90E84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E90E84">
              <w:rPr>
                <w:sz w:val="22"/>
                <w:szCs w:val="22"/>
                <w:lang w:val="sr-Cyrl-RS"/>
              </w:rPr>
              <w:t>Покрајин</w:t>
            </w:r>
            <w:r w:rsidR="00BD6D29" w:rsidRPr="00E90E84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79F1ACEE" w:rsidR="00092A79" w:rsidRPr="00E90E84" w:rsidRDefault="00D462E1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E90E84">
              <w:rPr>
                <w:sz w:val="22"/>
                <w:szCs w:val="22"/>
                <w:lang w:val="sr-Cyrl-RS"/>
              </w:rPr>
              <w:t>Министарство</w:t>
            </w:r>
            <w:r w:rsidR="00092A79" w:rsidRPr="00E90E84">
              <w:rPr>
                <w:sz w:val="22"/>
                <w:szCs w:val="22"/>
                <w:lang w:val="sr-Cyrl-RS"/>
              </w:rPr>
              <w:t xml:space="preserve"> заштите животне средине</w:t>
            </w:r>
          </w:p>
        </w:tc>
      </w:tr>
      <w:tr w:rsidR="00850AD5" w:rsidRPr="00E90E84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E90E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E90E8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E90E8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66D22A33" w:rsidR="00BD6D29" w:rsidRPr="00E90E84" w:rsidRDefault="00DC7B31" w:rsidP="00DC7B31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/>
              <w:jc w:val="both"/>
              <w:rPr>
                <w:sz w:val="22"/>
                <w:szCs w:val="22"/>
                <w:lang w:val="sr-Cyrl-RS"/>
              </w:rPr>
            </w:pPr>
            <w:r w:rsidRPr="00DC7B31">
              <w:rPr>
                <w:sz w:val="22"/>
                <w:szCs w:val="22"/>
                <w:lang w:val="sr-Cyrl-RS"/>
              </w:rPr>
              <w:t>Закон о з</w:t>
            </w:r>
            <w:r>
              <w:rPr>
                <w:sz w:val="22"/>
                <w:szCs w:val="22"/>
                <w:lang w:val="sr-Cyrl-RS"/>
              </w:rPr>
              <w:t xml:space="preserve">аштити од нејонизујућих зрачења („Сл. гласник РС“, број </w:t>
            </w:r>
            <w:r w:rsidRPr="00DC7B31">
              <w:rPr>
                <w:sz w:val="22"/>
                <w:szCs w:val="22"/>
                <w:lang w:val="sr-Cyrl-RS"/>
              </w:rPr>
              <w:t>3</w:t>
            </w:r>
            <w:r>
              <w:rPr>
                <w:sz w:val="22"/>
                <w:szCs w:val="22"/>
                <w:lang w:val="sr-Cyrl-RS"/>
              </w:rPr>
              <w:t xml:space="preserve">6/09) </w:t>
            </w:r>
          </w:p>
        </w:tc>
      </w:tr>
      <w:tr w:rsidR="00850AD5" w:rsidRPr="00E90E84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E90E8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E90E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E90E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E90E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E90E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E90E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E90E84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E90E84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E90E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E90E8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29D458F8" w:rsidR="00092A79" w:rsidRPr="00E90E84" w:rsidRDefault="00DC6A9C" w:rsidP="00C768F5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DC6A9C">
              <w:rPr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E90E84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E90E8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E90E84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2566391A" w:rsidR="00092A79" w:rsidRPr="00DC21EE" w:rsidRDefault="00AE20D3" w:rsidP="008D5656">
            <w:pPr>
              <w:spacing w:before="120" w:after="120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C21E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Захтев </w:t>
            </w:r>
            <w:r w:rsidR="00DC7B31" w:rsidRPr="00DC21E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за </w:t>
            </w:r>
            <w:r w:rsidR="008D565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</w:t>
            </w:r>
            <w:r w:rsidR="008D5656" w:rsidRPr="008D565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тврђивање испуњености услова за коришћење извора нејонизујућег зрачења од посебног интереса</w:t>
            </w:r>
            <w:r w:rsidR="008D5656" w:rsidRPr="008D5656" w:rsidDel="008D565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DC21E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се подноси лично на писарници или се доставља поштом. Иако је поступак јасно дефинисан прописом додатни простора за оптимизацију</w:t>
            </w:r>
            <w:r w:rsidR="004733B1" w:rsidRPr="00DC21E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DC21E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постоји</w:t>
            </w:r>
            <w:r w:rsidR="004733B1" w:rsidRPr="00DC21E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јер н</w:t>
            </w:r>
            <w:r w:rsidR="005C01B7" w:rsidRPr="00DC21EE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  <w:r w:rsidR="00586139" w:rsidRPr="00E90E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75E2A" w:rsidRPr="00E90E84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E90E8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E90E84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1BBA961A" w:rsidR="00BD6D29" w:rsidRPr="002A0ED9" w:rsidRDefault="002A0ED9" w:rsidP="00092A79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П</w:t>
            </w:r>
            <w:r w:rsidR="005C01B7"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отребно </w:t>
            </w:r>
            <w:r w:rsidR="004733B1"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</w:t>
            </w:r>
            <w:r w:rsidR="005C01B7"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>омогућити подношење захтева и издавање акта електронским путем</w:t>
            </w:r>
          </w:p>
        </w:tc>
      </w:tr>
      <w:tr w:rsidR="00CA1CE9" w:rsidRPr="00E90E84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E90E8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E90E84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E90E8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E90E8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E90E8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D35FF1D" w14:textId="3FA0E258" w:rsidR="00586139" w:rsidRPr="00E90E84" w:rsidRDefault="00586139" w:rsidP="002A0ED9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</w:p>
          <w:p w14:paraId="173B7320" w14:textId="23925609" w:rsidR="00E42526" w:rsidRPr="00E90E84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Pr="00E90E84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E90E8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E90E8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E90E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E90E8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E90E8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90E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E90E8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E90E8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E90E84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E90E8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90E84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0929A0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2C15BCEF" w:rsidR="00EF5FD1" w:rsidRPr="000929A0" w:rsidRDefault="000929A0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0929A0">
              <w:rPr>
                <w:rFonts w:ascii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</w:tc>
      </w:tr>
      <w:tr w:rsidR="00CA1CE9" w:rsidRPr="000929A0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0929A0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929A0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CA1CE9" w:rsidRPr="000929A0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58FDF9CF" w:rsidR="00EF5FD1" w:rsidRPr="000929A0" w:rsidRDefault="000929A0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0929A0">
              <w:rPr>
                <w:rFonts w:ascii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</w:tc>
      </w:tr>
      <w:tr w:rsidR="00CA1CE9" w:rsidRPr="000929A0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0929A0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929A0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0929A0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150E97A" w14:textId="77777777" w:rsidR="000929A0" w:rsidRPr="000929A0" w:rsidRDefault="000929A0" w:rsidP="000929A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5B897DCD" w14:textId="77777777" w:rsidR="00EF5FD1" w:rsidRDefault="000929A0" w:rsidP="000929A0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0929A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5F1FA1A7" w:rsidR="003C580A" w:rsidRPr="000929A0" w:rsidRDefault="003C580A" w:rsidP="000929A0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E90E8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E90E8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92F81" w14:textId="77777777" w:rsidR="003121F7" w:rsidRDefault="003121F7" w:rsidP="002A202F">
      <w:r>
        <w:separator/>
      </w:r>
    </w:p>
  </w:endnote>
  <w:endnote w:type="continuationSeparator" w:id="0">
    <w:p w14:paraId="0E5A43DB" w14:textId="77777777" w:rsidR="003121F7" w:rsidRDefault="003121F7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49876E58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5B8AB" w14:textId="77777777" w:rsidR="003121F7" w:rsidRDefault="003121F7" w:rsidP="002A202F">
      <w:r>
        <w:separator/>
      </w:r>
    </w:p>
  </w:footnote>
  <w:footnote w:type="continuationSeparator" w:id="0">
    <w:p w14:paraId="61F0AA01" w14:textId="77777777" w:rsidR="003121F7" w:rsidRDefault="003121F7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151B"/>
    <w:multiLevelType w:val="hybridMultilevel"/>
    <w:tmpl w:val="0880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10"/>
  </w:num>
  <w:num w:numId="5">
    <w:abstractNumId w:val="5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2"/>
  </w:num>
  <w:num w:numId="20">
    <w:abstractNumId w:val="39"/>
  </w:num>
  <w:num w:numId="21">
    <w:abstractNumId w:val="14"/>
  </w:num>
  <w:num w:numId="22">
    <w:abstractNumId w:val="9"/>
  </w:num>
  <w:num w:numId="23">
    <w:abstractNumId w:val="28"/>
  </w:num>
  <w:num w:numId="24">
    <w:abstractNumId w:val="3"/>
  </w:num>
  <w:num w:numId="25">
    <w:abstractNumId w:val="11"/>
  </w:num>
  <w:num w:numId="26">
    <w:abstractNumId w:val="7"/>
  </w:num>
  <w:num w:numId="27">
    <w:abstractNumId w:val="23"/>
  </w:num>
  <w:num w:numId="28">
    <w:abstractNumId w:val="28"/>
  </w:num>
  <w:num w:numId="29">
    <w:abstractNumId w:val="26"/>
  </w:num>
  <w:num w:numId="30">
    <w:abstractNumId w:val="4"/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8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6"/>
  </w:num>
  <w:num w:numId="44">
    <w:abstractNumId w:val="2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9A0"/>
    <w:rsid w:val="00092A79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44689"/>
    <w:rsid w:val="0015182D"/>
    <w:rsid w:val="0015315E"/>
    <w:rsid w:val="00161847"/>
    <w:rsid w:val="00164595"/>
    <w:rsid w:val="00166590"/>
    <w:rsid w:val="00170CA7"/>
    <w:rsid w:val="001711C5"/>
    <w:rsid w:val="00171666"/>
    <w:rsid w:val="00185D5B"/>
    <w:rsid w:val="001A023F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152C1"/>
    <w:rsid w:val="002323AC"/>
    <w:rsid w:val="00236737"/>
    <w:rsid w:val="0024232E"/>
    <w:rsid w:val="00251CC3"/>
    <w:rsid w:val="002603B5"/>
    <w:rsid w:val="00261404"/>
    <w:rsid w:val="002673B0"/>
    <w:rsid w:val="00270968"/>
    <w:rsid w:val="00275E2A"/>
    <w:rsid w:val="00291E3D"/>
    <w:rsid w:val="00296938"/>
    <w:rsid w:val="002A0ED9"/>
    <w:rsid w:val="002A202F"/>
    <w:rsid w:val="002A6CC7"/>
    <w:rsid w:val="002B19B4"/>
    <w:rsid w:val="002F1BEC"/>
    <w:rsid w:val="002F4757"/>
    <w:rsid w:val="002F7BFF"/>
    <w:rsid w:val="003121F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C580A"/>
    <w:rsid w:val="003E2EB1"/>
    <w:rsid w:val="003E3C16"/>
    <w:rsid w:val="003F41C0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36CF"/>
    <w:rsid w:val="0048433C"/>
    <w:rsid w:val="004847B1"/>
    <w:rsid w:val="0049545B"/>
    <w:rsid w:val="00496ADF"/>
    <w:rsid w:val="004A4CD9"/>
    <w:rsid w:val="004B1BE8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21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A4F0A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76D43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E7C06"/>
    <w:rsid w:val="007F204C"/>
    <w:rsid w:val="00804060"/>
    <w:rsid w:val="00804CA5"/>
    <w:rsid w:val="008166C9"/>
    <w:rsid w:val="00824E43"/>
    <w:rsid w:val="0082514E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92646"/>
    <w:rsid w:val="008A1B8B"/>
    <w:rsid w:val="008A6AC8"/>
    <w:rsid w:val="008C5591"/>
    <w:rsid w:val="008C5F73"/>
    <w:rsid w:val="008D04A6"/>
    <w:rsid w:val="008D4C1A"/>
    <w:rsid w:val="008D5656"/>
    <w:rsid w:val="008F0867"/>
    <w:rsid w:val="008F172F"/>
    <w:rsid w:val="008F2044"/>
    <w:rsid w:val="008F2BE1"/>
    <w:rsid w:val="008F4DD1"/>
    <w:rsid w:val="009056DB"/>
    <w:rsid w:val="00920FCD"/>
    <w:rsid w:val="00924141"/>
    <w:rsid w:val="00934907"/>
    <w:rsid w:val="00947592"/>
    <w:rsid w:val="00950280"/>
    <w:rsid w:val="00952F2F"/>
    <w:rsid w:val="00962621"/>
    <w:rsid w:val="0097496C"/>
    <w:rsid w:val="00991A18"/>
    <w:rsid w:val="00994A16"/>
    <w:rsid w:val="009A2A7E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AE1480"/>
    <w:rsid w:val="00AE20D3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1F3B"/>
    <w:rsid w:val="00B77414"/>
    <w:rsid w:val="00B81CB0"/>
    <w:rsid w:val="00B81CFE"/>
    <w:rsid w:val="00B85A99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44E6"/>
    <w:rsid w:val="00C70F1B"/>
    <w:rsid w:val="00C7129D"/>
    <w:rsid w:val="00C748D1"/>
    <w:rsid w:val="00C766F3"/>
    <w:rsid w:val="00C768F5"/>
    <w:rsid w:val="00C91014"/>
    <w:rsid w:val="00C9199A"/>
    <w:rsid w:val="00C93F66"/>
    <w:rsid w:val="00C943B5"/>
    <w:rsid w:val="00CA1CE9"/>
    <w:rsid w:val="00CB1A4E"/>
    <w:rsid w:val="00CC29F6"/>
    <w:rsid w:val="00CD2287"/>
    <w:rsid w:val="00CD5BBB"/>
    <w:rsid w:val="00CE0685"/>
    <w:rsid w:val="00CE4175"/>
    <w:rsid w:val="00CF60D7"/>
    <w:rsid w:val="00D37EA5"/>
    <w:rsid w:val="00D462E1"/>
    <w:rsid w:val="00D73628"/>
    <w:rsid w:val="00D73918"/>
    <w:rsid w:val="00D967D7"/>
    <w:rsid w:val="00DA125D"/>
    <w:rsid w:val="00DB19B9"/>
    <w:rsid w:val="00DC21EE"/>
    <w:rsid w:val="00DC4BC2"/>
    <w:rsid w:val="00DC6A9C"/>
    <w:rsid w:val="00DC7B31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271E5"/>
    <w:rsid w:val="00E317D1"/>
    <w:rsid w:val="00E40DF0"/>
    <w:rsid w:val="00E42526"/>
    <w:rsid w:val="00E4267B"/>
    <w:rsid w:val="00E47DAC"/>
    <w:rsid w:val="00E63C8A"/>
    <w:rsid w:val="00E70BF6"/>
    <w:rsid w:val="00E84764"/>
    <w:rsid w:val="00E90E84"/>
    <w:rsid w:val="00EA02F0"/>
    <w:rsid w:val="00EA4ED1"/>
    <w:rsid w:val="00ED12C4"/>
    <w:rsid w:val="00ED1BCC"/>
    <w:rsid w:val="00ED456E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F5716E6A-4CFB-4293-AC52-C5BE2E9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auto-style2">
    <w:name w:val="auto-style2"/>
    <w:basedOn w:val="Normal"/>
    <w:rsid w:val="001665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F863-619C-4922-A9C7-93FF8927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2019-11-08T12:29:00Z</dcterms:created>
  <dcterms:modified xsi:type="dcterms:W3CDTF">2020-02-06T13:25:00Z</dcterms:modified>
</cp:coreProperties>
</file>