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64304FDC" w:rsidR="00C1331B" w:rsidRPr="00B85764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8576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6509C5" w:rsidRPr="002C0627">
        <w:rPr>
          <w:b/>
          <w:sz w:val="22"/>
          <w:szCs w:val="22"/>
          <w:lang w:val="sr-Cyrl-RS"/>
        </w:rPr>
        <w:t>ПРОДУЖЕЊ</w:t>
      </w:r>
      <w:r w:rsidR="006509C5">
        <w:rPr>
          <w:b/>
          <w:sz w:val="22"/>
          <w:szCs w:val="22"/>
          <w:lang w:val="sr-Cyrl-RS"/>
        </w:rPr>
        <w:t>А</w:t>
      </w:r>
      <w:r w:rsidR="006509C5" w:rsidRPr="002C0627">
        <w:rPr>
          <w:b/>
          <w:sz w:val="22"/>
          <w:szCs w:val="22"/>
          <w:lang w:val="sr-Cyrl-RS"/>
        </w:rPr>
        <w:t xml:space="preserve"> </w:t>
      </w:r>
      <w:r w:rsidR="002C0627" w:rsidRPr="002C0627">
        <w:rPr>
          <w:b/>
          <w:sz w:val="22"/>
          <w:szCs w:val="22"/>
          <w:lang w:val="sr-Cyrl-RS"/>
        </w:rPr>
        <w:t>ВАЖНОСТИ ИНТЕГРИСАНЕ ДОЗВОЛЕ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8576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8576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F896FB6" w:rsidR="000E2036" w:rsidRPr="00B85764" w:rsidRDefault="002C0627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2C0627">
              <w:rPr>
                <w:sz w:val="22"/>
                <w:szCs w:val="22"/>
                <w:lang w:val="sr-Cyrl-RS"/>
              </w:rPr>
              <w:t>Продужење важности интегрисане дозволе</w:t>
            </w:r>
          </w:p>
        </w:tc>
      </w:tr>
      <w:tr w:rsidR="00850AD5" w:rsidRPr="00B8576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8576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1380A5BD" w:rsidR="000E2036" w:rsidRPr="00B85764" w:rsidRDefault="00AE20D3" w:rsidP="00C943B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CE63BE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="002C062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6</w:t>
            </w:r>
          </w:p>
        </w:tc>
      </w:tr>
      <w:tr w:rsidR="00850AD5" w:rsidRPr="00B8576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4AB3ACE" w14:textId="77777777" w:rsidR="005C01B7" w:rsidRPr="00B85764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Покрајин</w:t>
            </w:r>
            <w:r w:rsidR="00BD6D29" w:rsidRPr="00B85764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0B68D686" w:rsidR="00092A79" w:rsidRPr="00B85764" w:rsidRDefault="004A2EE8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Министарство</w:t>
            </w:r>
            <w:r w:rsidR="00092A79" w:rsidRPr="00B85764">
              <w:rPr>
                <w:sz w:val="22"/>
                <w:szCs w:val="22"/>
                <w:lang w:val="sr-Cyrl-RS"/>
              </w:rPr>
              <w:t xml:space="preserve"> заштите животне средине</w:t>
            </w:r>
          </w:p>
        </w:tc>
      </w:tr>
      <w:tr w:rsidR="00850AD5" w:rsidRPr="00B8576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8576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8576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7AD9F2D0" w14:textId="26EF13A8" w:rsidR="00BD6D29" w:rsidRPr="00B85764" w:rsidRDefault="00CE63BE" w:rsidP="00CE63BE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 w:hanging="27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Закон о интегрисаном спречавању и контроли загађивања животне средине („Сл. гласник РС“, бр. 135/04, 25/15)</w:t>
            </w:r>
          </w:p>
          <w:p w14:paraId="52D5C160" w14:textId="01468972" w:rsidR="006955A8" w:rsidRPr="00B85764" w:rsidRDefault="006955A8" w:rsidP="006955A8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 w:hanging="27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 xml:space="preserve">Уредба о врстама активности и постројења за које се издаје  интегрисана дозвола („Сл. гласник РС“, број  84/05) </w:t>
            </w:r>
          </w:p>
          <w:p w14:paraId="2CCB5DCC" w14:textId="1881A097" w:rsidR="00CE63BE" w:rsidRPr="00B85764" w:rsidRDefault="00CE63BE" w:rsidP="00CE63BE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 w:hanging="27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Правилник о садржини, изгледу и начину попуњавања захтева за издавање интегрисане дозволе („Сл. гласник РС“, бр. 30/06, 32/16, 4418)</w:t>
            </w:r>
          </w:p>
        </w:tc>
      </w:tr>
      <w:tr w:rsidR="00850AD5" w:rsidRPr="00B8576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B8576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B85764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B8576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B8576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12E0263D" w:rsidR="00092A79" w:rsidRPr="00B85764" w:rsidRDefault="0040638E" w:rsidP="00C768F5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40638E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B8576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B8576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C749CBD" w:rsidR="00092A79" w:rsidRPr="00B85764" w:rsidRDefault="00092A79" w:rsidP="00CE765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</w:t>
            </w:r>
            <w:r w:rsidR="002C0627">
              <w:rPr>
                <w:rFonts w:ascii="Times New Roman" w:hAnsi="Times New Roman"/>
                <w:sz w:val="22"/>
                <w:szCs w:val="22"/>
                <w:lang w:val="sr-Cyrl-RS"/>
              </w:rPr>
              <w:t>п</w:t>
            </w:r>
            <w:r w:rsidR="002C0627" w:rsidRPr="002C0627">
              <w:rPr>
                <w:rFonts w:ascii="Times New Roman" w:hAnsi="Times New Roman"/>
                <w:sz w:val="22"/>
                <w:szCs w:val="22"/>
                <w:lang w:val="sr-Cyrl-RS"/>
              </w:rPr>
              <w:t>родужење важности интегрисане дозволе</w:t>
            </w:r>
            <w:r w:rsidR="002C062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се подноси лично на писарници или се доставља поштом. Иако је поступак јасно дефинисан прописом додатни простор за оптимизацију постоји јер није омогућено подношење захтева и издавање акта надлежног органа електронским путем, као 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 размена података по службеној дужности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B8576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B8576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41789CB" w:rsidR="00BD6D29" w:rsidRPr="00B85764" w:rsidRDefault="00092A79" w:rsidP="006955A8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</w:t>
            </w:r>
            <w:r w:rsidR="00CE63BE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као 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прибављат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одређе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не податке по службеној дужности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902A0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Такође је потребно укинути печатирање захтева и омогућити достављање доказа о уплати таксе у копији.</w:t>
            </w:r>
          </w:p>
        </w:tc>
      </w:tr>
      <w:tr w:rsidR="00CA1CE9" w:rsidRPr="00B8576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B8576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B8576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418F5D56" w14:textId="1026CECE" w:rsidR="00C768F5" w:rsidRPr="00B85764" w:rsidRDefault="00CE63BE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bookmarkStart w:id="1" w:name="_Toc19636061"/>
            <w:r w:rsidRPr="00B85764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 w:eastAsia="sr-Latn-ME"/>
              </w:rPr>
              <w:t>3.1</w:t>
            </w:r>
            <w:r w:rsidRPr="00B85764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E606DA" w:rsidRPr="00B85764">
              <w:rPr>
                <w:b/>
                <w:color w:val="000000"/>
                <w:sz w:val="22"/>
                <w:szCs w:val="22"/>
                <w:lang w:val="sr-Cyrl-RS"/>
              </w:rPr>
              <w:t xml:space="preserve">Прибављање података по службеној дужности </w:t>
            </w:r>
          </w:p>
          <w:p w14:paraId="7E171F10" w14:textId="77777777" w:rsidR="00E606DA" w:rsidRPr="00B85764" w:rsidRDefault="00E606DA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0376CC18" w14:textId="6D01A28B" w:rsidR="00166590" w:rsidRPr="00B85764" w:rsidRDefault="00E606DA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B85764">
              <w:rPr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B85764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580FB0E2" w14:textId="77777777" w:rsidR="00E606DA" w:rsidRPr="00B85764" w:rsidRDefault="00E606DA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0D35FF1D" w14:textId="1C96B87E" w:rsidR="00586139" w:rsidRPr="00B85764" w:rsidRDefault="00166590" w:rsidP="00E606D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rFonts w:eastAsia="Calibri"/>
                <w:b/>
                <w:sz w:val="22"/>
                <w:szCs w:val="22"/>
                <w:lang w:val="sr-Cyrl-RS"/>
              </w:rPr>
              <w:lastRenderedPageBreak/>
              <w:t>Документ</w:t>
            </w:r>
            <w:r w:rsidRPr="00B85764">
              <w:rPr>
                <w:rFonts w:eastAsia="Calibri"/>
                <w:sz w:val="22"/>
                <w:szCs w:val="22"/>
                <w:lang w:val="sr-Cyrl-RS"/>
              </w:rPr>
              <w:t xml:space="preserve">: </w:t>
            </w:r>
            <w:r w:rsidR="00E606DA" w:rsidRPr="00B85764">
              <w:rPr>
                <w:rFonts w:eastAsia="Calibri"/>
                <w:sz w:val="22"/>
                <w:szCs w:val="22"/>
                <w:lang w:val="sr-Cyrl-RS"/>
              </w:rPr>
              <w:t>Водна дозвола</w:t>
            </w:r>
          </w:p>
          <w:p w14:paraId="7C0A12A5" w14:textId="60FC2821" w:rsidR="00E606DA" w:rsidRPr="00B85764" w:rsidRDefault="00E606DA" w:rsidP="00B85764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  <w:r w:rsidRPr="00B85764">
              <w:rPr>
                <w:bCs/>
                <w:sz w:val="22"/>
                <w:szCs w:val="22"/>
                <w:lang w:val="sr-Cyrl-RS"/>
              </w:rPr>
              <w:t>Орган од кога је потребно прибавити податке: Покрајински секретаријат за пољопривреду, водопривреду и шумарство</w:t>
            </w:r>
          </w:p>
          <w:p w14:paraId="66BA971A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</w:p>
          <w:p w14:paraId="7AA3684C" w14:textId="77777777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69E528F5" w14:textId="77777777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76127AE" w14:textId="77777777" w:rsidR="00B85764" w:rsidRPr="00B85764" w:rsidRDefault="00B85764" w:rsidP="00B85764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 </w:t>
            </w:r>
          </w:p>
          <w:p w14:paraId="053C0E8A" w14:textId="77777777" w:rsidR="00B85764" w:rsidRPr="00B85764" w:rsidRDefault="00B85764" w:rsidP="00B85764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C066CD1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4D897FF7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2EFF121B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A665474" w14:textId="77777777" w:rsidR="00B85764" w:rsidRPr="00B85764" w:rsidRDefault="00B85764" w:rsidP="00B85764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било електронским путем.</w:t>
            </w:r>
            <w:r w:rsidRPr="00B85764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Уколико одређена службена евиденција није доступна преко сервисне магистрале органа, најбрже и најбезбедније орган може прибавити податке из такве евиденције коришћењем тзв. сервиса 15 еЗУП-а (платформа за кореспонденцију између органа), како би се избегла коресподенција и прибављање података преко мејла, који је значајно мање безбедно средство од наведеног сервиса, али до приступања наведеном сервису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орган може да прибави тражене податке и путем мејла.</w:t>
            </w:r>
          </w:p>
          <w:p w14:paraId="12C293ED" w14:textId="77777777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DB19DE6" w14:textId="4CD2C4BD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 решења и датум издавања водне дозволе.</w:t>
            </w:r>
          </w:p>
          <w:p w14:paraId="3203603D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18025AA6" w14:textId="62800442" w:rsidR="00B85764" w:rsidRPr="00902A0E" w:rsidRDefault="00B85764" w:rsidP="00B85764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</w:t>
            </w:r>
            <w:r w:rsidR="00902A0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, није потребна измена прописа</w:t>
            </w:r>
            <w:r w:rsidR="00902A0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Latn-RS" w:eastAsia="sr-Latn-ME"/>
              </w:rPr>
              <w:t xml:space="preserve">, </w:t>
            </w:r>
            <w:r w:rsidR="00902A0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али је потребна измена обрасца захтева, тако што ће се нагласити која се документа прибављају по службеној дужности и увести сагласност странке за прибављање истих. </w:t>
            </w:r>
          </w:p>
          <w:p w14:paraId="1F43AC7F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</w:p>
          <w:p w14:paraId="3C4E74CD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  <w:lang w:val="sr-Cyrl-RS"/>
              </w:rPr>
            </w:pPr>
          </w:p>
          <w:p w14:paraId="4A362B1E" w14:textId="1470933D" w:rsidR="00E606DA" w:rsidRPr="00B85764" w:rsidRDefault="00B85764" w:rsidP="00B85764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 xml:space="preserve">Документ: </w:t>
            </w:r>
            <w:r w:rsidR="00E606DA" w:rsidRPr="00B85764">
              <w:rPr>
                <w:sz w:val="22"/>
                <w:szCs w:val="22"/>
                <w:lang w:val="sr-Cyrl-RS"/>
              </w:rPr>
              <w:t>Извод из АПР</w:t>
            </w:r>
          </w:p>
          <w:p w14:paraId="311F4191" w14:textId="45BEF88C" w:rsidR="00E606DA" w:rsidRPr="00B85764" w:rsidRDefault="00E606DA" w:rsidP="00E606DA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  <w:r w:rsidRPr="00B85764">
              <w:rPr>
                <w:bCs/>
                <w:sz w:val="22"/>
                <w:szCs w:val="22"/>
                <w:lang w:val="sr-Cyrl-RS"/>
              </w:rPr>
              <w:t>Орган од кога је потребно прибавити податке: Агенција за привредне регистре</w:t>
            </w:r>
          </w:p>
          <w:p w14:paraId="0F70B844" w14:textId="77777777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259C59E" w14:textId="6B21A9A5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увидом на сајт Агенције за привредне регистре.</w:t>
            </w:r>
          </w:p>
          <w:p w14:paraId="78FF3216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5EA44861" w14:textId="05DE02F0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МБ подносиоца захтева </w:t>
            </w:r>
          </w:p>
          <w:p w14:paraId="0AA8DABD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0ADC30F2" w14:textId="77777777" w:rsidR="00B85764" w:rsidRPr="00B85764" w:rsidRDefault="00B85764" w:rsidP="00B85764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није потребна измена прописа. </w:t>
            </w:r>
          </w:p>
          <w:p w14:paraId="3123675D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</w:p>
          <w:p w14:paraId="03A65FD7" w14:textId="42DBC6F9" w:rsidR="00902A0E" w:rsidRPr="003F3DED" w:rsidRDefault="00902A0E" w:rsidP="00902A0E">
            <w:pPr>
              <w:pStyle w:val="NormalWeb"/>
              <w:spacing w:before="0" w:beforeAutospacing="0" w:after="0" w:afterAutospacing="0"/>
              <w:ind w:left="337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3.2 </w:t>
            </w:r>
            <w:r>
              <w:rPr>
                <w:b/>
                <w:sz w:val="22"/>
                <w:szCs w:val="22"/>
                <w:lang w:val="sr-Cyrl-RS"/>
              </w:rPr>
              <w:t>Документација</w:t>
            </w:r>
          </w:p>
          <w:p w14:paraId="20B763CB" w14:textId="77777777" w:rsidR="00902A0E" w:rsidRPr="003F3DED" w:rsidRDefault="00902A0E" w:rsidP="00902A0E">
            <w:pPr>
              <w:pStyle w:val="NormalWeb"/>
              <w:spacing w:before="0" w:beforeAutospacing="0" w:after="0" w:afterAutospacing="0"/>
              <w:ind w:left="337"/>
              <w:rPr>
                <w:b/>
                <w:sz w:val="22"/>
                <w:szCs w:val="22"/>
                <w:lang w:val="sr-Latn-RS"/>
              </w:rPr>
            </w:pPr>
          </w:p>
          <w:p w14:paraId="367C2E6D" w14:textId="77777777" w:rsidR="00902A0E" w:rsidRPr="006C27A8" w:rsidRDefault="00902A0E" w:rsidP="00902A0E">
            <w:pPr>
              <w:rPr>
                <w:rFonts w:ascii="Times New Roman" w:hAnsi="Times New Roman"/>
                <w:b/>
                <w:i/>
                <w:iCs/>
                <w:color w:val="000000" w:themeColor="text1"/>
                <w:lang w:val="sr-Cyrl-RS"/>
              </w:rPr>
            </w:pPr>
            <w:r w:rsidRPr="006C27A8">
              <w:rPr>
                <w:rFonts w:ascii="Times New Roman" w:hAnsi="Times New Roman"/>
                <w:b/>
                <w:i/>
                <w:iCs/>
                <w:color w:val="000000" w:themeColor="text1"/>
                <w:lang w:val="sr-Cyrl-RS"/>
              </w:rPr>
              <w:t>Промена форме документа</w:t>
            </w:r>
          </w:p>
          <w:p w14:paraId="550DD09B" w14:textId="77777777" w:rsidR="00902A0E" w:rsidRPr="006C27A8" w:rsidRDefault="00902A0E" w:rsidP="00902A0E">
            <w:pPr>
              <w:rPr>
                <w:rFonts w:ascii="Times New Roman" w:hAnsi="Times New Roman"/>
                <w:b/>
                <w:u w:val="single"/>
                <w:lang w:val="sr-Cyrl-RS"/>
              </w:rPr>
            </w:pPr>
          </w:p>
          <w:p w14:paraId="0E08AF51" w14:textId="77777777" w:rsidR="00902A0E" w:rsidRPr="006C27A8" w:rsidRDefault="00902A0E" w:rsidP="00902A0E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7A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Документ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: Доказ о уплати таксе</w:t>
            </w:r>
          </w:p>
          <w:p w14:paraId="7E3A6434" w14:textId="77777777" w:rsidR="00902A0E" w:rsidRPr="006C27A8" w:rsidRDefault="00902A0E" w:rsidP="00902A0E">
            <w:pPr>
              <w:pStyle w:val="gmail-odluka-zakon"/>
              <w:spacing w:before="0" w:beforeAutospacing="0" w:after="0" w:afterAutospacing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231E6C" w14:textId="77777777" w:rsidR="00902A0E" w:rsidRPr="006C27A8" w:rsidRDefault="00902A0E" w:rsidP="00902A0E">
            <w:pPr>
              <w:rPr>
                <w:rFonts w:ascii="Times New Roman" w:hAnsi="Times New Roman"/>
                <w:lang w:val="sr-Cyrl-RS"/>
              </w:rPr>
            </w:pPr>
            <w:r w:rsidRPr="006C27A8">
              <w:rPr>
                <w:rFonts w:ascii="Times New Roman" w:hAnsi="Times New Roman"/>
                <w:lang w:val="sr-Cyrl-RS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</w:t>
            </w:r>
            <w:r w:rsidRPr="006C27A8">
              <w:rPr>
                <w:rFonts w:ascii="Times New Roman" w:hAnsi="Times New Roman"/>
                <w:lang w:val="sr-Latn-RS"/>
              </w:rPr>
              <w:t>бр. 434-01-7/07-04 од 25.05.2009. године</w:t>
            </w:r>
            <w:r w:rsidRPr="006C27A8">
              <w:rPr>
                <w:rFonts w:ascii="Times New Roman" w:hAnsi="Times New Roman"/>
                <w:lang w:val="sr-Cyrl-RS"/>
              </w:rPr>
              <w:t xml:space="preserve">, у коме се наводи да је извод са пословног рачуна странке, без печата банке, валидан доказ о уплати таксе. </w:t>
            </w:r>
          </w:p>
          <w:p w14:paraId="5B52CE8E" w14:textId="77777777" w:rsidR="00902A0E" w:rsidRPr="006C27A8" w:rsidRDefault="00902A0E" w:rsidP="00902A0E">
            <w:pPr>
              <w:rPr>
                <w:rFonts w:ascii="Times New Roman" w:hAnsi="Times New Roman"/>
                <w:lang w:val="sr-Cyrl-RS"/>
              </w:rPr>
            </w:pPr>
          </w:p>
          <w:p w14:paraId="12CAF5B4" w14:textId="77777777" w:rsidR="00902A0E" w:rsidRDefault="00902A0E" w:rsidP="00902A0E">
            <w:pPr>
              <w:rPr>
                <w:rFonts w:ascii="Times New Roman" w:hAnsi="Times New Roman"/>
                <w:b/>
                <w:bCs/>
                <w:lang w:val="sr-Latn-RS"/>
              </w:rPr>
            </w:pPr>
            <w:r w:rsidRPr="006C27A8">
              <w:rPr>
                <w:rFonts w:ascii="Times New Roman" w:hAnsi="Times New Roman"/>
                <w:b/>
                <w:bCs/>
                <w:lang w:val="sr-Cyrl-RS"/>
              </w:rPr>
              <w:t xml:space="preserve">За примену </w:t>
            </w:r>
            <w:r w:rsidRPr="006C27A8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sr-Cyrl-RS" w:eastAsia="sr-Latn-ME"/>
              </w:rPr>
              <w:t xml:space="preserve">ове препоруке, 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 xml:space="preserve">није потребна измена прописа. </w:t>
            </w:r>
          </w:p>
          <w:p w14:paraId="0800B2A1" w14:textId="77777777" w:rsidR="00902A0E" w:rsidRDefault="00902A0E" w:rsidP="00902A0E">
            <w:pPr>
              <w:rPr>
                <w:rFonts w:ascii="Times New Roman" w:hAnsi="Times New Roman"/>
                <w:b/>
                <w:bCs/>
                <w:lang w:val="sr-Latn-RS"/>
              </w:rPr>
            </w:pPr>
          </w:p>
          <w:p w14:paraId="08DA3E68" w14:textId="08B155A7" w:rsidR="00902A0E" w:rsidRPr="008B76A0" w:rsidRDefault="00902A0E" w:rsidP="00902A0E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  <w:t xml:space="preserve">3.3 </w:t>
            </w:r>
            <w:r w:rsidRPr="008B76A0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Престанак употребе печата на појединим документима</w:t>
            </w:r>
          </w:p>
          <w:p w14:paraId="3798CECF" w14:textId="77777777" w:rsidR="00902A0E" w:rsidRPr="008B76A0" w:rsidRDefault="00902A0E" w:rsidP="00902A0E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C42A96C" w14:textId="77777777" w:rsidR="00902A0E" w:rsidRPr="008B76A0" w:rsidRDefault="00902A0E" w:rsidP="00902A0E">
            <w:pPr>
              <w:pStyle w:val="ListParagraph"/>
              <w:spacing w:before="120" w:line="276" w:lineRule="auto"/>
              <w:ind w:left="29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B76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Чланом 25. Закона о привредним друштвима је прописано да друштво није у обавези да у пословању користи печат. Наведеним чланом изричито је прописано да се посебним прописом не може друштву увести обавеза употребе печата у пословним и другим документима друштва. Како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 брасцу захтева стоји да исти мора бити печатиран</w:t>
            </w:r>
            <w:r w:rsidRPr="008B76A0">
              <w:rPr>
                <w:rFonts w:ascii="Times New Roman" w:hAnsi="Times New Roman"/>
                <w:sz w:val="22"/>
                <w:szCs w:val="22"/>
                <w:lang w:val="ru-RU"/>
              </w:rPr>
              <w:t>, потребно је укинути ову обавезу подносиоца захтева.</w:t>
            </w:r>
          </w:p>
          <w:p w14:paraId="246A865A" w14:textId="77777777" w:rsidR="00902A0E" w:rsidRPr="008B76A0" w:rsidRDefault="00902A0E" w:rsidP="00902A0E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5B0F6C0" w14:textId="77777777" w:rsidR="00902A0E" w:rsidRPr="008B76A0" w:rsidRDefault="00902A0E" w:rsidP="00902A0E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76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 примену ове препоруке, није неопходна измена прописа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али јепотребан измена обрасца захтева</w:t>
            </w:r>
          </w:p>
          <w:p w14:paraId="1DD17DF7" w14:textId="77777777" w:rsidR="00902A0E" w:rsidRPr="00902A0E" w:rsidRDefault="00902A0E" w:rsidP="00902A0E">
            <w:pPr>
              <w:rPr>
                <w:rFonts w:ascii="Times New Roman" w:hAnsi="Times New Roman"/>
                <w:b/>
                <w:bCs/>
                <w:lang w:val="sr-Latn-RS"/>
              </w:rPr>
            </w:pPr>
          </w:p>
          <w:p w14:paraId="4E78C84C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</w:p>
          <w:p w14:paraId="173B7320" w14:textId="77D61DFD" w:rsidR="00E42526" w:rsidRPr="00B85764" w:rsidRDefault="00CE63BE" w:rsidP="00CE63BE">
            <w:pPr>
              <w:pStyle w:val="NormalWeb"/>
              <w:spacing w:before="0" w:beforeAutospacing="0" w:after="0" w:afterAutospacing="0"/>
              <w:ind w:left="36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3.</w:t>
            </w:r>
            <w:r w:rsidR="00902A0E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4</w:t>
            </w:r>
            <w:r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 xml:space="preserve"> </w:t>
            </w:r>
            <w:r w:rsidR="00E42526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="00E42526" w:rsidRPr="00B8576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B8576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B8576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B8576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B8576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B8576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9F7A2E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71BFE6F8" w:rsidR="00EF5FD1" w:rsidRPr="009F7A2E" w:rsidRDefault="001740E6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F7A2E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9F7A2E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9F7A2E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F7A2E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9F7A2E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200F215D" w:rsidR="00EF5FD1" w:rsidRPr="009F7A2E" w:rsidRDefault="001740E6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F7A2E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9F7A2E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9F7A2E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F7A2E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9F7A2E" w14:paraId="72BD2239" w14:textId="77777777" w:rsidTr="001740E6">
        <w:trPr>
          <w:trHeight w:val="768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748066F9" w:rsidR="00EF5FD1" w:rsidRPr="009F7A2E" w:rsidRDefault="001740E6" w:rsidP="001740E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F7A2E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</w:tc>
      </w:tr>
    </w:tbl>
    <w:p w14:paraId="5CE5710A" w14:textId="1C5B3A41" w:rsidR="003E3C16" w:rsidRPr="00B85764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73204621" w14:textId="77777777" w:rsidR="00FF7FE3" w:rsidRPr="00B85764" w:rsidRDefault="00FF7FE3">
      <w:pPr>
        <w:rPr>
          <w:rFonts w:ascii="Times New Roman" w:eastAsia="Times New Roman" w:hAnsi="Times New Roman"/>
          <w:lang w:val="sr-Cyrl-RS"/>
        </w:rPr>
      </w:pPr>
    </w:p>
    <w:sectPr w:rsidR="00FF7FE3" w:rsidRPr="00B8576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D45B" w14:textId="77777777" w:rsidR="00A81585" w:rsidRDefault="00A81585" w:rsidP="002A202F">
      <w:r>
        <w:separator/>
      </w:r>
    </w:p>
  </w:endnote>
  <w:endnote w:type="continuationSeparator" w:id="0">
    <w:p w14:paraId="779A9EB1" w14:textId="77777777" w:rsidR="00A81585" w:rsidRDefault="00A81585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EC1CC9E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A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05CAB" w14:textId="77777777" w:rsidR="00A81585" w:rsidRDefault="00A81585" w:rsidP="002A202F">
      <w:r>
        <w:separator/>
      </w:r>
    </w:p>
  </w:footnote>
  <w:footnote w:type="continuationSeparator" w:id="0">
    <w:p w14:paraId="4D71190E" w14:textId="77777777" w:rsidR="00A81585" w:rsidRDefault="00A81585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ADD"/>
    <w:multiLevelType w:val="multilevel"/>
    <w:tmpl w:val="C36822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151B"/>
    <w:multiLevelType w:val="hybridMultilevel"/>
    <w:tmpl w:val="7B98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A814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C4DC5"/>
    <w:multiLevelType w:val="multilevel"/>
    <w:tmpl w:val="94C25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0"/>
  </w:num>
  <w:num w:numId="5">
    <w:abstractNumId w:val="5"/>
  </w:num>
  <w:num w:numId="6">
    <w:abstractNumId w:val="25"/>
  </w:num>
  <w:num w:numId="7">
    <w:abstractNumId w:val="39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3"/>
  </w:num>
  <w:num w:numId="20">
    <w:abstractNumId w:val="41"/>
  </w:num>
  <w:num w:numId="21">
    <w:abstractNumId w:val="15"/>
  </w:num>
  <w:num w:numId="22">
    <w:abstractNumId w:val="9"/>
  </w:num>
  <w:num w:numId="23">
    <w:abstractNumId w:val="29"/>
  </w:num>
  <w:num w:numId="24">
    <w:abstractNumId w:val="3"/>
  </w:num>
  <w:num w:numId="25">
    <w:abstractNumId w:val="11"/>
  </w:num>
  <w:num w:numId="26">
    <w:abstractNumId w:val="7"/>
  </w:num>
  <w:num w:numId="27">
    <w:abstractNumId w:val="24"/>
  </w:num>
  <w:num w:numId="28">
    <w:abstractNumId w:val="29"/>
  </w:num>
  <w:num w:numId="29">
    <w:abstractNumId w:val="27"/>
  </w:num>
  <w:num w:numId="30">
    <w:abstractNumId w:val="4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5"/>
  </w:num>
  <w:num w:numId="36">
    <w:abstractNumId w:val="0"/>
  </w:num>
  <w:num w:numId="37">
    <w:abstractNumId w:val="40"/>
  </w:num>
  <w:num w:numId="38">
    <w:abstractNumId w:val="2"/>
  </w:num>
  <w:num w:numId="39">
    <w:abstractNumId w:val="20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6"/>
  </w:num>
  <w:num w:numId="44">
    <w:abstractNumId w:val="23"/>
  </w:num>
  <w:num w:numId="45">
    <w:abstractNumId w:val="17"/>
  </w:num>
  <w:num w:numId="46">
    <w:abstractNumId w:val="3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2616"/>
    <w:rsid w:val="00065D57"/>
    <w:rsid w:val="00071EAF"/>
    <w:rsid w:val="00083993"/>
    <w:rsid w:val="00092A79"/>
    <w:rsid w:val="00092B84"/>
    <w:rsid w:val="0009542A"/>
    <w:rsid w:val="000A53F3"/>
    <w:rsid w:val="000A5CDC"/>
    <w:rsid w:val="000B3651"/>
    <w:rsid w:val="000B4F5D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44689"/>
    <w:rsid w:val="0015182D"/>
    <w:rsid w:val="0015315E"/>
    <w:rsid w:val="00161847"/>
    <w:rsid w:val="00164595"/>
    <w:rsid w:val="00166590"/>
    <w:rsid w:val="00170CA7"/>
    <w:rsid w:val="001711C5"/>
    <w:rsid w:val="00171666"/>
    <w:rsid w:val="001740E6"/>
    <w:rsid w:val="00185D5B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4232E"/>
    <w:rsid w:val="00251CC3"/>
    <w:rsid w:val="00261404"/>
    <w:rsid w:val="002673B0"/>
    <w:rsid w:val="00270968"/>
    <w:rsid w:val="002756AE"/>
    <w:rsid w:val="00275E2A"/>
    <w:rsid w:val="00291E3D"/>
    <w:rsid w:val="00296938"/>
    <w:rsid w:val="002A202F"/>
    <w:rsid w:val="002A6CC7"/>
    <w:rsid w:val="002B19B4"/>
    <w:rsid w:val="002C0627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4F78"/>
    <w:rsid w:val="003B44DB"/>
    <w:rsid w:val="003B4BC9"/>
    <w:rsid w:val="003B6298"/>
    <w:rsid w:val="003C08C9"/>
    <w:rsid w:val="003E2EB1"/>
    <w:rsid w:val="003E3C16"/>
    <w:rsid w:val="0040638E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36CF"/>
    <w:rsid w:val="0048433C"/>
    <w:rsid w:val="004847B1"/>
    <w:rsid w:val="0049545B"/>
    <w:rsid w:val="004A2EE8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15C31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6F9"/>
    <w:rsid w:val="0060786A"/>
    <w:rsid w:val="00614149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09C5"/>
    <w:rsid w:val="0065171E"/>
    <w:rsid w:val="00661ECF"/>
    <w:rsid w:val="00692071"/>
    <w:rsid w:val="00694B28"/>
    <w:rsid w:val="006955A8"/>
    <w:rsid w:val="006C5349"/>
    <w:rsid w:val="006C5F2A"/>
    <w:rsid w:val="006C662C"/>
    <w:rsid w:val="006F4A5C"/>
    <w:rsid w:val="00703803"/>
    <w:rsid w:val="00715F5C"/>
    <w:rsid w:val="007278C1"/>
    <w:rsid w:val="00733493"/>
    <w:rsid w:val="00737F1D"/>
    <w:rsid w:val="00757339"/>
    <w:rsid w:val="00776D43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16CA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1B8B"/>
    <w:rsid w:val="008A4DEB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2A0E"/>
    <w:rsid w:val="009056DB"/>
    <w:rsid w:val="00924141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D0451"/>
    <w:rsid w:val="009E0479"/>
    <w:rsid w:val="009E0D02"/>
    <w:rsid w:val="009F7A2E"/>
    <w:rsid w:val="00A0102E"/>
    <w:rsid w:val="00A1145F"/>
    <w:rsid w:val="00A12960"/>
    <w:rsid w:val="00A1570D"/>
    <w:rsid w:val="00A22386"/>
    <w:rsid w:val="00A56B75"/>
    <w:rsid w:val="00A60BC6"/>
    <w:rsid w:val="00A71C04"/>
    <w:rsid w:val="00A72CA9"/>
    <w:rsid w:val="00A81585"/>
    <w:rsid w:val="00A85793"/>
    <w:rsid w:val="00AA0017"/>
    <w:rsid w:val="00AA4BC5"/>
    <w:rsid w:val="00AB09B3"/>
    <w:rsid w:val="00AB7116"/>
    <w:rsid w:val="00AC02D1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FE"/>
    <w:rsid w:val="00B85764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B736A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70F1B"/>
    <w:rsid w:val="00C7129D"/>
    <w:rsid w:val="00C748D1"/>
    <w:rsid w:val="00C766F3"/>
    <w:rsid w:val="00C768F5"/>
    <w:rsid w:val="00C91014"/>
    <w:rsid w:val="00C9199A"/>
    <w:rsid w:val="00C93F66"/>
    <w:rsid w:val="00C943B5"/>
    <w:rsid w:val="00CA1CE9"/>
    <w:rsid w:val="00CB1A4E"/>
    <w:rsid w:val="00CB2F5E"/>
    <w:rsid w:val="00CC29F6"/>
    <w:rsid w:val="00CD2287"/>
    <w:rsid w:val="00CD5BBB"/>
    <w:rsid w:val="00CE0685"/>
    <w:rsid w:val="00CE4175"/>
    <w:rsid w:val="00CE63BE"/>
    <w:rsid w:val="00CE765E"/>
    <w:rsid w:val="00CF2AB4"/>
    <w:rsid w:val="00D37EA5"/>
    <w:rsid w:val="00D56F8C"/>
    <w:rsid w:val="00D73628"/>
    <w:rsid w:val="00D73918"/>
    <w:rsid w:val="00D967D7"/>
    <w:rsid w:val="00DA125D"/>
    <w:rsid w:val="00DB19B9"/>
    <w:rsid w:val="00DB5B0D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57D74"/>
    <w:rsid w:val="00E606DA"/>
    <w:rsid w:val="00E63C8A"/>
    <w:rsid w:val="00E70BF6"/>
    <w:rsid w:val="00E84764"/>
    <w:rsid w:val="00EA02F0"/>
    <w:rsid w:val="00EA4ED1"/>
    <w:rsid w:val="00ED12C4"/>
    <w:rsid w:val="00ED1BCC"/>
    <w:rsid w:val="00ED456E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B8EB539C-FBE1-494A-9935-77FB5E4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auto-style2">
    <w:name w:val="auto-style2"/>
    <w:basedOn w:val="Normal"/>
    <w:rsid w:val="001665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34F9-DF9C-460E-93EB-1D772F48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6</cp:revision>
  <cp:lastPrinted>2018-09-05T12:48:00Z</cp:lastPrinted>
  <dcterms:created xsi:type="dcterms:W3CDTF">2019-11-08T13:51:00Z</dcterms:created>
  <dcterms:modified xsi:type="dcterms:W3CDTF">2020-02-06T13:28:00Z</dcterms:modified>
</cp:coreProperties>
</file>