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2D37DF12" w:rsidR="00C1331B" w:rsidRPr="00DC3D84" w:rsidRDefault="00BD6D2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DC3D8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F11232" w:rsidRPr="00DC3D84">
        <w:rPr>
          <w:b/>
          <w:sz w:val="22"/>
          <w:szCs w:val="22"/>
          <w:lang w:val="sr-Cyrl-RS"/>
        </w:rPr>
        <w:t xml:space="preserve">ИЗДАВАЊА </w:t>
      </w:r>
      <w:r w:rsidRPr="00DC3D84">
        <w:rPr>
          <w:b/>
          <w:sz w:val="22"/>
          <w:szCs w:val="22"/>
          <w:lang w:val="sr-Cyrl-RS"/>
        </w:rPr>
        <w:t>РЕШЕЊ</w:t>
      </w:r>
      <w:r w:rsidRPr="00DC3D84">
        <w:rPr>
          <w:b/>
          <w:sz w:val="22"/>
          <w:szCs w:val="22"/>
          <w:lang w:val="sr-Latn-RS"/>
        </w:rPr>
        <w:t>A</w:t>
      </w:r>
      <w:r w:rsidRPr="00DC3D84">
        <w:rPr>
          <w:b/>
          <w:sz w:val="22"/>
          <w:szCs w:val="22"/>
          <w:lang w:val="sr-Cyrl-RS"/>
        </w:rPr>
        <w:t xml:space="preserve"> О УСЛОВИМА ЗАШТИТЕ ПРИРОДЕ</w:t>
      </w:r>
    </w:p>
    <w:p w14:paraId="6E77BA59" w14:textId="77777777" w:rsidR="00C1331B" w:rsidRPr="00DC3D8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DC3D84" w14:paraId="1976FB87" w14:textId="77777777" w:rsidTr="70850C53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DC3D8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FB0999E" w:rsidR="000E2036" w:rsidRPr="00DC3D84" w:rsidRDefault="00BD6D29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Решење о условима заштите природе</w:t>
            </w:r>
          </w:p>
        </w:tc>
      </w:tr>
      <w:tr w:rsidR="00850AD5" w:rsidRPr="00DC3D84" w14:paraId="7A6AA442" w14:textId="77777777" w:rsidTr="70850C53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DC3D8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6B5C4A57" w:rsidR="000E2036" w:rsidRPr="00DC3D84" w:rsidRDefault="00BD6D29" w:rsidP="00E42526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206.01.0001</w:t>
            </w:r>
          </w:p>
        </w:tc>
      </w:tr>
      <w:tr w:rsidR="00850AD5" w:rsidRPr="00DC3D84" w14:paraId="2CEE52A6" w14:textId="77777777" w:rsidTr="70850C53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DC3D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DC3D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53758C01" w:rsidR="00092B84" w:rsidRPr="00DC3D84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DC3D84">
              <w:rPr>
                <w:sz w:val="22"/>
                <w:szCs w:val="22"/>
                <w:lang w:val="sr-Cyrl-RS"/>
              </w:rPr>
              <w:t>Покрајински секретаријат за урбанизам и заштиту животне средине</w:t>
            </w:r>
          </w:p>
          <w:p w14:paraId="5795E7E6" w14:textId="202A9E78" w:rsidR="005C01B7" w:rsidRPr="00DC3D84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DC3D84">
              <w:rPr>
                <w:sz w:val="22"/>
                <w:szCs w:val="22"/>
                <w:lang w:val="sr-Cyrl-RS"/>
              </w:rPr>
              <w:t>Покрајински завод за заштиту природе</w:t>
            </w:r>
          </w:p>
        </w:tc>
      </w:tr>
      <w:tr w:rsidR="00850AD5" w:rsidRPr="00DC3D84" w14:paraId="10DA1CD3" w14:textId="77777777" w:rsidTr="70850C53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DC3D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DC3D8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DC3D8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A997C4B" w14:textId="052091CD" w:rsidR="005D6A3F" w:rsidRPr="00DC3D84" w:rsidRDefault="00BD6D29" w:rsidP="00BD6D2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Закон о заштити природе („Сл. гласник РС“, бр. 36/09, 88/10, 91/10, 14/16 и 95/18</w:t>
            </w:r>
            <w:r w:rsidR="005C01B7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4D860CA9" w14:textId="03C9926E" w:rsidR="006D616E" w:rsidRPr="00DC3D84" w:rsidRDefault="006D616E" w:rsidP="006D616E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Закон о националним парковима („Сл. гласник РС“, бр. 84/15 и 95/18)</w:t>
            </w:r>
          </w:p>
          <w:p w14:paraId="1242362B" w14:textId="77777777" w:rsidR="00251CC3" w:rsidRPr="00DC3D84" w:rsidRDefault="00BD6D29" w:rsidP="00BD6D2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Уредба о еколошкoj мрежи („Сл. гласник РС“, број</w:t>
            </w:r>
            <w:r w:rsidR="005C01B7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102/10</w:t>
            </w:r>
            <w:r w:rsidR="005C01B7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21A54697" w:rsidR="00BD6D29" w:rsidRPr="00DC3D84" w:rsidRDefault="00BD6D29" w:rsidP="00BD6D2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проглашењу и заштити строго заштићених и заштићених дивљих врста биљака, животиња и гљива („Сл. гласник РС“, бр.  5/10, 47/11, 32/16 и 98/16)</w:t>
            </w:r>
          </w:p>
        </w:tc>
      </w:tr>
      <w:tr w:rsidR="00850AD5" w:rsidRPr="00DC3D84" w14:paraId="724CF23D" w14:textId="77777777" w:rsidTr="70850C53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DC3D8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DC3D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DC3D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DC3D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DC3D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DC3D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57C98D91" w:rsidR="00D73918" w:rsidRPr="00DC3D84" w:rsidRDefault="70850C53" w:rsidP="70850C5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1. Закон о заштити природе („Сл. гласник РС“, бр. 36/09, 88/10, 91/10, 14/16 и 95/18)</w:t>
            </w:r>
          </w:p>
        </w:tc>
      </w:tr>
      <w:tr w:rsidR="00850AD5" w:rsidRPr="00DC3D84" w14:paraId="58812BCA" w14:textId="77777777" w:rsidTr="70850C53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DC3D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DC3D8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1003CBD4" w:rsidR="00804060" w:rsidRPr="00DC3D84" w:rsidRDefault="00452AFA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DC3D84">
              <w:rPr>
                <w:rFonts w:eastAsia="Calibri"/>
                <w:sz w:val="22"/>
                <w:szCs w:val="22"/>
                <w:lang w:val="sr-Cyrl-RS"/>
              </w:rPr>
              <w:t>Приликом пр</w:t>
            </w:r>
            <w:r w:rsidR="007D1D10" w:rsidRPr="00DC3D84">
              <w:rPr>
                <w:rFonts w:eastAsia="Calibri"/>
                <w:sz w:val="22"/>
                <w:szCs w:val="22"/>
                <w:lang w:val="sr-Cyrl-RS"/>
              </w:rPr>
              <w:t>вих измена</w:t>
            </w:r>
            <w:bookmarkStart w:id="0" w:name="_GoBack"/>
            <w:bookmarkEnd w:id="0"/>
            <w:r w:rsidR="007D1D10" w:rsidRPr="00DC3D84">
              <w:rPr>
                <w:rFonts w:eastAsia="Calibri"/>
                <w:sz w:val="22"/>
                <w:szCs w:val="22"/>
                <w:lang w:val="sr-Cyrl-RS"/>
              </w:rPr>
              <w:t xml:space="preserve"> прописа. </w:t>
            </w:r>
          </w:p>
        </w:tc>
      </w:tr>
      <w:tr w:rsidR="00275E2A" w:rsidRPr="00DC3D84" w14:paraId="539113B1" w14:textId="77777777" w:rsidTr="70850C53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DC3D8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DC3D84" w14:paraId="4635A4BE" w14:textId="77777777" w:rsidTr="70850C53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3FB1FF5" w:rsidR="0009542A" w:rsidRPr="00DC3D84" w:rsidRDefault="005C01B7" w:rsidP="00FF41E9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Прописима су јасно дефинисани услови за издавање </w:t>
            </w:r>
            <w:r w:rsidR="00BD6D29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решење о условима заштите природе на просторне и урбанистичке планове, планску и пројектну документацију, основе и програме управљања и коришћења природних ресурса и добара у рударству, енергетици, саобраћају, водопривреди, пољопривреди, шумарству, ловству, рибарству, туризму и другим делатностима од утицаја на природу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, као и документација која се доставља.</w:t>
            </w:r>
            <w:r w:rsidR="00BD6D29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М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еђутим</w:t>
            </w:r>
            <w:r w:rsidR="00FF41E9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поједини подаци </w:t>
            </w:r>
            <w:r w:rsidR="00FF41E9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се 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прибављају по службеној дужности већ је прописом дефинисано да их сама странка прилаже уз захтев,  услед чега долази до непотребног административног оптерећења подносиоца захтева и непоштовања одредби Закона о општем управном поступку.  Додатно </w:t>
            </w: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није омогућено подношење захтева и издавање акта надлежног органа електронским путем.</w:t>
            </w:r>
          </w:p>
        </w:tc>
      </w:tr>
      <w:tr w:rsidR="00275E2A" w:rsidRPr="00DC3D84" w14:paraId="31663FC5" w14:textId="77777777" w:rsidTr="70850C53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DC3D8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DC3D84" w14:paraId="3010E605" w14:textId="77777777" w:rsidTr="70850C53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CB7446D" w:rsidR="00BD6D29" w:rsidRPr="00DC3D84" w:rsidRDefault="005C01B7" w:rsidP="00BD6D2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је прописати </w:t>
            </w:r>
            <w:r w:rsidR="00BD6D29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Законом о заштити природе („Сл. гласник РС“, бр. 36/09, 88/10, 91/10, 14/16 и 95/18)</w:t>
            </w:r>
            <w:r w:rsidR="007C7E4A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да се одређена документа прибављају по службеној дужности</w:t>
            </w:r>
            <w:r w:rsidR="00E42526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 омогућити подношење захтева и издавање акта електронским путем.</w:t>
            </w:r>
            <w:r w:rsidRPr="00DC3D8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DC3D84" w14:paraId="0B4EEBB8" w14:textId="77777777" w:rsidTr="70850C53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DC3D8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DC3D84" w14:paraId="4C67EFD3" w14:textId="77777777" w:rsidTr="70850C53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377FC1" w14:textId="737CB575" w:rsidR="0015315E" w:rsidRPr="00DC3D84" w:rsidRDefault="0015315E" w:rsidP="70850C53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909A4AF" w14:textId="2AD17CAD" w:rsidR="007C7E4A" w:rsidRPr="00DC3D84" w:rsidRDefault="70850C53" w:rsidP="70850C53">
            <w:pPr>
              <w:pStyle w:val="NormalWeb"/>
              <w:spacing w:before="0" w:beforeAutospacing="0" w:after="0" w:afterAutospacing="0"/>
              <w:ind w:left="360"/>
              <w:rPr>
                <w:sz w:val="22"/>
                <w:szCs w:val="22"/>
                <w:lang w:val="sr-Cyrl-RS"/>
              </w:rPr>
            </w:pPr>
            <w:r w:rsidRPr="00DC3D84">
              <w:rPr>
                <w:b/>
                <w:bCs/>
                <w:color w:val="000000" w:themeColor="text1"/>
                <w:sz w:val="22"/>
                <w:szCs w:val="22"/>
                <w:lang w:val="sr-Cyrl-RS" w:eastAsia="sr-Latn-ME"/>
              </w:rPr>
              <w:t>3.1. Прибављање података по службеној дужности</w:t>
            </w:r>
          </w:p>
          <w:p w14:paraId="71FF96B4" w14:textId="77777777" w:rsidR="007C7E4A" w:rsidRPr="00DC3D84" w:rsidRDefault="007C7E4A" w:rsidP="007C7E4A">
            <w:pPr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DC3D84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Cyrl-RS" w:eastAsia="sr-Latn-ME"/>
              </w:rPr>
              <w:t> </w:t>
            </w:r>
          </w:p>
          <w:p w14:paraId="75455C04" w14:textId="338CFE36" w:rsidR="007C7E4A" w:rsidRPr="00DC3D84" w:rsidRDefault="007C7E4A" w:rsidP="007C7E4A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DC3D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Предлаже се елиминација подношења следећих докумената од стране подносиоца захтева, јер je надлежни орган дужан да, у складу са чл. 9. и 103. ЗОУ</w:t>
            </w:r>
            <w:r w:rsidR="00BD6D29" w:rsidRPr="00DC3D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П-а („Службени гласник РС”, </w:t>
            </w:r>
            <w:r w:rsidR="00BD6D29" w:rsidRPr="00DC3D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бр.</w:t>
            </w:r>
            <w:r w:rsidRPr="00DC3D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DC3D8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DC3D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</w:t>
            </w:r>
            <w:r w:rsidR="00BD6D29" w:rsidRPr="00DC3D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„</w:t>
            </w:r>
            <w:r w:rsidRPr="00DC3D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Службени гласник РС</w:t>
            </w:r>
            <w:r w:rsidR="00BD6D29" w:rsidRPr="00DC3D8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”</w:t>
            </w:r>
            <w:r w:rsidRPr="00DC3D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, број 57/19.), по службеној дужности прибави потребне податке од надлежног органа – „власника“ потребних података:</w:t>
            </w:r>
          </w:p>
          <w:p w14:paraId="00E80390" w14:textId="77777777" w:rsidR="007C7E4A" w:rsidRPr="00DC3D84" w:rsidRDefault="007C7E4A" w:rsidP="007C7E4A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DC3D84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5FDD5366" w14:textId="3E6A1629" w:rsidR="007C7E4A" w:rsidRPr="00DC3D84" w:rsidRDefault="007C7E4A" w:rsidP="00BD6D29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900" w:hanging="27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3D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BD6D29" w:rsidRPr="00DC3D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број 2 из е-пописа</w:t>
            </w:r>
            <w:r w:rsidRPr="00DC3D8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BD6D29" w:rsidRPr="00DC3D8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Катографски/графички приказ локације (извод из катастра, копија плана, ситуациона карта, шејп фајлови)</w:t>
            </w:r>
          </w:p>
          <w:p w14:paraId="48D550B7" w14:textId="27788CDE" w:rsidR="007C7E4A" w:rsidRPr="00DC3D84" w:rsidRDefault="007C7E4A" w:rsidP="007C7E4A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C3D84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DC3D84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DC3D8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Катастар непокретности </w:t>
            </w:r>
          </w:p>
          <w:p w14:paraId="3A86478F" w14:textId="77777777" w:rsidR="007C7E4A" w:rsidRPr="00DC3D84" w:rsidRDefault="007C7E4A" w:rsidP="007C7E4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4C7412F0" w14:textId="255A9E1A" w:rsidR="007C7E4A" w:rsidRPr="00DC3D84" w:rsidRDefault="007C7E4A" w:rsidP="007C7E4A">
            <w:p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 доказ</w:t>
            </w:r>
            <w:r w:rsidRPr="00DC3D8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о праву својине, односно праву коришћења </w:t>
            </w:r>
            <w:r w:rsidR="00EF5FD1"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предметног земљишта и његове намене. </w:t>
            </w:r>
          </w:p>
          <w:p w14:paraId="1C0760CC" w14:textId="77777777" w:rsidR="007C7E4A" w:rsidRPr="00DC3D84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C3D8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62194341" w14:textId="115A8FEF" w:rsidR="007C7E4A" w:rsidRPr="00DC3D84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C3D8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када је подносилац захтева власник земљишта, односно објекта а које је могуће спровести на један од следећих начина, зависно од тренутне доступности потребних података:</w:t>
            </w:r>
          </w:p>
          <w:p w14:paraId="7E3609F3" w14:textId="77777777" w:rsidR="007C7E4A" w:rsidRPr="00DC3D84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C3D84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A289A59" w14:textId="77777777" w:rsidR="007C7E4A" w:rsidRPr="00DC3D84" w:rsidRDefault="007C7E4A" w:rsidP="007C7E4A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C3D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DC3D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DC3D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DC3D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2B637E8" w14:textId="77777777" w:rsidR="007C7E4A" w:rsidRPr="00DC3D84" w:rsidRDefault="007C7E4A" w:rsidP="007C7E4A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C3D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238B5E3B" w14:textId="77777777" w:rsidR="007C7E4A" w:rsidRPr="00DC3D84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4AAB196" w14:textId="77777777" w:rsidR="007C7E4A" w:rsidRPr="00DC3D84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DC3D8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36BA229" w14:textId="77777777" w:rsidR="007C7E4A" w:rsidRPr="00DC3D84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2338AA21" w14:textId="77777777" w:rsidR="007C7E4A" w:rsidRPr="00DC3D84" w:rsidRDefault="007C7E4A" w:rsidP="007C7E4A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DC3D84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4FE38669" w14:textId="77777777" w:rsidR="007C7E4A" w:rsidRPr="00DC3D84" w:rsidRDefault="007C7E4A" w:rsidP="007C7E4A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6A83C7D" w14:textId="531C7CC2" w:rsidR="007C7E4A" w:rsidRPr="00DC3D84" w:rsidRDefault="007C7E4A" w:rsidP="007C7E4A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  <w:r w:rsidRPr="00DC3D84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E42526" w:rsidRPr="00DC3D84">
              <w:rPr>
                <w:color w:val="000000"/>
                <w:sz w:val="22"/>
                <w:szCs w:val="22"/>
                <w:lang w:val="sr-Cyrl-RS"/>
              </w:rPr>
              <w:t>Б</w:t>
            </w:r>
            <w:r w:rsidRPr="00DC3D84">
              <w:rPr>
                <w:color w:val="000000"/>
                <w:sz w:val="22"/>
                <w:szCs w:val="22"/>
                <w:lang w:val="sr-Cyrl-RS"/>
              </w:rPr>
              <w:t xml:space="preserve">роја катастарске парцеле и назив катастарске општине </w:t>
            </w:r>
          </w:p>
          <w:p w14:paraId="5F257926" w14:textId="77777777" w:rsidR="007C7E4A" w:rsidRPr="00DC3D84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3BA59CAB" w14:textId="5CC4AF72" w:rsidR="007C7E4A" w:rsidRPr="00DC3D84" w:rsidRDefault="007C7E4A" w:rsidP="007C7E4A">
            <w:pPr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b/>
                <w:bCs/>
                <w:i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ради обезбеђења правне сигурности, транспарентности и усклађености прописа, </w:t>
            </w:r>
            <w:r w:rsidRPr="00DC3D84">
              <w:rPr>
                <w:rFonts w:ascii="Times New Roman" w:hAnsi="Times New Roman"/>
                <w:b/>
                <w:bCs/>
                <w:i/>
                <w:sz w:val="22"/>
                <w:szCs w:val="22"/>
                <w:lang w:val="sr-Cyrl-RS"/>
              </w:rPr>
              <w:t xml:space="preserve">потребна је </w:t>
            </w:r>
            <w:r w:rsidR="00EF5FD1" w:rsidRPr="00DC3D84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>измена Закона о заштити природе („Сл. гласник РС“, бр. 36/09, 88/10, 91/10, 14/16 и 95/18).</w:t>
            </w:r>
          </w:p>
          <w:p w14:paraId="202FECA3" w14:textId="77777777" w:rsidR="007C7E4A" w:rsidRPr="00DC3D84" w:rsidRDefault="007C7E4A" w:rsidP="007C7E4A">
            <w:pP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1F9F816F" w14:textId="60C9FDF1" w:rsidR="007C7E4A" w:rsidRPr="00DC3D84" w:rsidRDefault="007C7E4A" w:rsidP="00E42526">
            <w:p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DC3D84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 измене прописа, орган ће без одлагања приступити примени ЗОУП-а и размени података по службеној дужности</w:t>
            </w:r>
            <w:r w:rsidRPr="00DC3D84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. </w:t>
            </w:r>
          </w:p>
          <w:p w14:paraId="7D225B0E" w14:textId="0404A26E" w:rsidR="00E42526" w:rsidRPr="00DC3D84" w:rsidRDefault="00E42526" w:rsidP="00E42526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173B7320" w14:textId="696356F9" w:rsidR="00E42526" w:rsidRPr="00DC3D84" w:rsidRDefault="70850C53" w:rsidP="70850C53">
            <w:pPr>
              <w:pStyle w:val="NormalWeb"/>
              <w:spacing w:before="0" w:beforeAutospacing="0" w:after="0" w:afterAutospacing="0"/>
              <w:ind w:left="360"/>
              <w:rPr>
                <w:b/>
                <w:bCs/>
                <w:sz w:val="22"/>
                <w:szCs w:val="22"/>
                <w:lang w:val="sr-Cyrl-RS"/>
              </w:rPr>
            </w:pPr>
            <w:bookmarkStart w:id="1" w:name="_Toc19636061"/>
            <w:r w:rsidRPr="00DC3D84">
              <w:rPr>
                <w:b/>
                <w:bCs/>
                <w:color w:val="000000" w:themeColor="text1"/>
                <w:sz w:val="22"/>
                <w:szCs w:val="22"/>
                <w:lang w:val="sr-Cyrl-RS" w:eastAsia="sr-Latn-ME"/>
              </w:rPr>
              <w:t>3.2. Увођење</w:t>
            </w:r>
            <w:r w:rsidRPr="00DC3D84">
              <w:rPr>
                <w:b/>
                <w:bCs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DC3D8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DC3D8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DC3D8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DC3D8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23BBADB2" w14:textId="77777777" w:rsidR="00251CC3" w:rsidRPr="00DC3D8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277F41B1" w14:textId="77777777" w:rsidR="007D1D10" w:rsidRPr="00DC3D84" w:rsidRDefault="007D1D10" w:rsidP="00251CC3">
            <w:pPr>
              <w:jc w:val="left"/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lastRenderedPageBreak/>
              <w:t>За примену препоруке није потребна измена прописа.</w:t>
            </w:r>
          </w:p>
          <w:p w14:paraId="3EAB4AF8" w14:textId="66CED2F0" w:rsidR="007D1D10" w:rsidRPr="00DC3D84" w:rsidRDefault="007D1D10" w:rsidP="00251CC3">
            <w:pPr>
              <w:jc w:val="left"/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</w:tc>
      </w:tr>
      <w:tr w:rsidR="00CA1CE9" w:rsidRPr="00DC3D84" w14:paraId="52C990E5" w14:textId="77777777" w:rsidTr="70850C53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DC3D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DC3D84" w14:paraId="077D3505" w14:textId="77777777" w:rsidTr="70850C53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A57F7F9" w14:textId="77777777" w:rsidR="00464A46" w:rsidRPr="00DC3D84" w:rsidRDefault="00464A46" w:rsidP="00464A46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0BD0D078" w14:textId="77777777" w:rsidR="00464A46" w:rsidRPr="00DC3D84" w:rsidRDefault="00464A46" w:rsidP="00464A46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НАЦРТ</w:t>
            </w:r>
          </w:p>
          <w:p w14:paraId="64DA4A3B" w14:textId="77777777" w:rsidR="00464A46" w:rsidRPr="00DC3D84" w:rsidRDefault="00464A46" w:rsidP="00464A46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035B5656" w14:textId="0512671E" w:rsidR="00464A46" w:rsidRPr="00DC3D84" w:rsidRDefault="00464A46" w:rsidP="00464A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ЗАКОН О И ДОПУНИ</w:t>
            </w:r>
            <w:r w:rsidRPr="00DC3D84">
              <w:rPr>
                <w:sz w:val="22"/>
                <w:szCs w:val="22"/>
              </w:rPr>
              <w:t xml:space="preserve"> </w:t>
            </w:r>
            <w:r w:rsidRPr="00DC3D8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 ЗАКОНА О ЗАШТИТИ ПРИРОДЕ </w:t>
            </w:r>
          </w:p>
          <w:p w14:paraId="5B3116A5" w14:textId="77777777" w:rsidR="00464A46" w:rsidRPr="00DC3D84" w:rsidRDefault="00464A46" w:rsidP="00464A46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B824DE1" w14:textId="380E8530" w:rsidR="00464A46" w:rsidRPr="00DC3D84" w:rsidRDefault="00464A46" w:rsidP="00464A46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 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Закону о заштити природе </w:t>
            </w:r>
            <w:r w:rsidRPr="00DC3D8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(„Службени гласник РС”,</w:t>
            </w:r>
            <w:r w:rsidRPr="00DC3D84">
              <w:rPr>
                <w:rFonts w:ascii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бр. 36/09, 88/10, 91/10, 14/16 и 95/18) у члану 9. после става 4. додаје се нови став 5. који гласи:</w:t>
            </w:r>
          </w:p>
          <w:p w14:paraId="02E8F950" w14:textId="3CB48D5A" w:rsidR="00464A46" w:rsidRPr="00DC3D84" w:rsidRDefault="00464A46" w:rsidP="00464A46">
            <w:pPr>
              <w:spacing w:before="120" w:after="120"/>
              <w:ind w:left="690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DC3D8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„</w:t>
            </w: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Податке из става 4. тачка 2) завод ће прибавити по службеној дужности.</w:t>
            </w:r>
            <w:r w:rsidRPr="00DC3D8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”</w:t>
            </w:r>
          </w:p>
          <w:p w14:paraId="759F87BD" w14:textId="05E312EF" w:rsidR="00464A46" w:rsidRPr="00DC3D84" w:rsidRDefault="00464A46" w:rsidP="00464A46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hAnsi="Times New Roman"/>
                <w:sz w:val="22"/>
                <w:szCs w:val="22"/>
                <w:lang w:val="sr-Cyrl-RS"/>
              </w:rPr>
              <w:t>Досадашњи ставови 5, 6, 7, 8, 9 и10 постају ставови 6, 7, 8, 9, 10 и 11.</w:t>
            </w:r>
          </w:p>
          <w:p w14:paraId="735A1E08" w14:textId="231DE6B2" w:rsidR="00D15E90" w:rsidRPr="00DC3D84" w:rsidRDefault="00D15E90" w:rsidP="00464A46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6BE56FF0" w14:textId="50F3DAC3" w:rsidR="00D15E90" w:rsidRPr="00DC3D84" w:rsidRDefault="00D15E90" w:rsidP="00D15E9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Члан 2.</w:t>
            </w:r>
          </w:p>
          <w:p w14:paraId="062C80D4" w14:textId="77777777" w:rsidR="00464A46" w:rsidRPr="00DC3D84" w:rsidRDefault="00D15E90" w:rsidP="00D15E90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</w:pP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 xml:space="preserve">Овај закон ступа на снагу осмог дана од дана објављивања у </w:t>
            </w:r>
            <w:r w:rsidRPr="00DC3D8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„</w:t>
            </w: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>Слу</w:t>
            </w: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sr-Cyrl-CS"/>
              </w:rPr>
              <w:t>ж</w:t>
            </w: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>беном гласникуРепублике Србије</w:t>
            </w:r>
            <w:r w:rsidRPr="00DC3D84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”</w:t>
            </w:r>
            <w:r w:rsidRPr="00DC3D84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.</w:t>
            </w: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  <w:p w14:paraId="39763933" w14:textId="7FA8B4C9" w:rsidR="00D15E90" w:rsidRPr="00DC3D84" w:rsidRDefault="00D15E90" w:rsidP="00D15E90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</w:tc>
      </w:tr>
      <w:tr w:rsidR="00CA1CE9" w:rsidRPr="00DC3D84" w14:paraId="0489C5FC" w14:textId="77777777" w:rsidTr="70850C53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DC3D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DC3D84" w14:paraId="3C4DDA6A" w14:textId="77777777" w:rsidTr="70850C53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0FF1C05" w14:textId="5CD57170" w:rsidR="007D1D10" w:rsidRPr="00DC3D84" w:rsidRDefault="007D1D10" w:rsidP="00464A46">
            <w:pPr>
              <w:contextualSpacing/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450575A3" w14:textId="77777777" w:rsidR="00D15E90" w:rsidRPr="00DC3D84" w:rsidRDefault="00D15E90" w:rsidP="00D15E9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CS"/>
              </w:rPr>
            </w:pPr>
            <w:r w:rsidRPr="00DC3D8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CS"/>
              </w:rPr>
              <w:t xml:space="preserve">ПРЕГЛЕД ОДРЕДБИ </w:t>
            </w:r>
          </w:p>
          <w:p w14:paraId="7D7EBC70" w14:textId="00EC3D7C" w:rsidR="00D15E90" w:rsidRPr="00DC3D84" w:rsidRDefault="00D15E90" w:rsidP="00D15E90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ЗАКОНА О ЗАШТИТИ ПРИРОДЕ</w:t>
            </w:r>
            <w:r w:rsidRPr="00DC3D8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CS"/>
              </w:rPr>
              <w:t xml:space="preserve"> КОЈЕ СЕ </w:t>
            </w:r>
            <w:r w:rsidRPr="00DC3D8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  <w:t>ДОПУЊУЈУ</w:t>
            </w:r>
          </w:p>
          <w:p w14:paraId="036DBD18" w14:textId="77777777" w:rsidR="00D15E90" w:rsidRPr="00DC3D84" w:rsidRDefault="00D15E90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35676E0" w14:textId="420A80BB" w:rsidR="00464A46" w:rsidRPr="00DC3D84" w:rsidRDefault="00464A46" w:rsidP="00464A46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Услови заштите природе </w:t>
            </w:r>
          </w:p>
          <w:p w14:paraId="171B4E2A" w14:textId="0E696D1A" w:rsidR="00464A46" w:rsidRPr="00DC3D84" w:rsidRDefault="00464A46" w:rsidP="00464A46">
            <w:pPr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Члан 9.</w:t>
            </w:r>
          </w:p>
          <w:p w14:paraId="0D924C1F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407EF0D7" w14:textId="22F6A8D6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 поступку израде планова, основа, програма, пројеката, радова и активности из члана 8. овог закона прибављају се услови заштите природе које издаје надлежни завод за заштиту природе (у даљем тексту: завод).</w:t>
            </w:r>
          </w:p>
          <w:p w14:paraId="60EA4F0E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7E7BBF5" w14:textId="492C5ADF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Акт о условима заштите природе садржи нарочито:</w:t>
            </w:r>
          </w:p>
          <w:p w14:paraId="302260C0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6F4FBCD7" w14:textId="4F2E0BB8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1) податке о природним вредностима, посебно биљног и животињског света, објеката геонаслеђа и предела у границама просторног обухвата документа из става 1. овог члана и просторном окружењу;</w:t>
            </w:r>
          </w:p>
          <w:p w14:paraId="363173FC" w14:textId="21236F99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2) податке о заштићеним природним добрима, укључујући природна добра планирана за заштиту и у поступку заштите;</w:t>
            </w:r>
          </w:p>
          <w:p w14:paraId="59EBEE21" w14:textId="715DCEE1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3) податке о еколошки значајном подручју;</w:t>
            </w:r>
          </w:p>
          <w:p w14:paraId="71BBBC89" w14:textId="6D11CCA9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4) податке о установљеним режимима и мерама заштите и коришћења природних вредности и добара и еколошки значајних подручја;</w:t>
            </w:r>
          </w:p>
          <w:p w14:paraId="193B390A" w14:textId="7AABE21F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5) процену да ли се планирани радови и активности могу реализовати са становишта циљева заштите природе и донетих прописа и докумената;</w:t>
            </w:r>
          </w:p>
          <w:p w14:paraId="1B885E87" w14:textId="1BB41128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6) услове, односно забране и ограничења под којима се планирани радови и активности могу реализовати* као и потребу оцене прихватљивости</w:t>
            </w:r>
          </w:p>
          <w:p w14:paraId="599F1198" w14:textId="736B9DF3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7) биолошке, техничке и технолошке мере заштите природе које треба применити;</w:t>
            </w:r>
          </w:p>
          <w:p w14:paraId="034F524B" w14:textId="15C6D6C3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8) правни и стручни основ за утврђене услове и мере, односно забране и ограничења;</w:t>
            </w:r>
          </w:p>
          <w:p w14:paraId="58856EC9" w14:textId="78FC3B5C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9) компензацијске мере, ако постоји основ, у складу са овим законом.</w:t>
            </w:r>
          </w:p>
          <w:p w14:paraId="7F7E3061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1F7EA37" w14:textId="5B9D202B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Завод, уместо услова заштите природе, издаје мишљење о потреби оцене прихватљивости, ако се у поступку издавања услова заштите природе установи потреба о покретању поступка </w:t>
            </w: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израде оцене прихватљивости.</w:t>
            </w:r>
          </w:p>
          <w:p w14:paraId="6EE1079C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49EDDE63" w14:textId="25CB8CBF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Уз захтев за издавање акта о условима заштите природе прилажу се:</w:t>
            </w:r>
          </w:p>
          <w:p w14:paraId="45795967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E57DC5F" w14:textId="56D02D6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1) подаци о врсти и носиоцу израде документа из става 1. овог члана и инвеститору;</w:t>
            </w:r>
          </w:p>
          <w:p w14:paraId="58D19F97" w14:textId="6E1B658A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2) подаци о локацији и просторном обухвату са одговарајућим картографским и графичким прилозима, а за пројекте и са копијом катастарског плана;</w:t>
            </w:r>
          </w:p>
          <w:p w14:paraId="7CE4384C" w14:textId="2F0E2A80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3) кратак опис циљева због којих се документ израђује, намераваних активности на његовој реализацији и главних очекиваних резултата, а за пројекат идејно решење.</w:t>
            </w:r>
          </w:p>
          <w:p w14:paraId="5A50B0A5" w14:textId="795A34DC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4AACC3E" w14:textId="5942B71F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ПОДАТКЕ ИЗ СТАВА 4. ТАЧКА 2) ЗАВОД ЋЕ ПРИБАВИТИ ПО СЛУЖБЕНОЈ ДУЖНОСТИ. </w:t>
            </w:r>
          </w:p>
          <w:p w14:paraId="754F32A1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64959FA7" w14:textId="1F0FE20F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Акт о условима заштите природе завод издаје решењем.</w:t>
            </w:r>
          </w:p>
          <w:p w14:paraId="5B1AB138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A0D8C3C" w14:textId="2C03C1C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Уколико подносилац захтева у року од две године од дана достављања акта не отпочне радове и активности за које је акт о условима заштите природе издат, дужан је да прибави нови акт.</w:t>
            </w:r>
          </w:p>
          <w:p w14:paraId="64C999EF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523523F" w14:textId="12C186D3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За прикупљање и процену информација неопходних за издавање акта о условимa заштите природе плаћа се такса.</w:t>
            </w:r>
          </w:p>
          <w:p w14:paraId="57170E5B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A8EA03D" w14:textId="1F668EB9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Висину и начин обрачуна и наплате таксе из става 7. овог члана, обвезнике таксе и ослобађање или умањење од обавезе плаћања таксе утврђује завод, уз сагласност министарства надлежног за послове финансија.</w:t>
            </w:r>
          </w:p>
          <w:p w14:paraId="3CA5FC35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46C951FF" w14:textId="50420B4F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На акт о условима заштите природе може се изјавити жалба министарству надлежном за послове заштите животне средине (у даљем тексту: Министарство) у року од 15 дана, а на територији аутономне покрајине органу надлежнoм за послове заштите животне средине аутономне покрајине.</w:t>
            </w:r>
          </w:p>
          <w:p w14:paraId="345B8E30" w14:textId="77777777" w:rsidR="00464A46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A81B705" w14:textId="77777777" w:rsidR="00EF5FD1" w:rsidRPr="00DC3D84" w:rsidRDefault="00464A46" w:rsidP="00464A46">
            <w:pPr>
              <w:contextualSpacing/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Орган надлежан за доношење, односно усвајање документа из става 1. овог члана, прибавља од завода мишљење о испуњености услова заштите природе из става 2. овог члана.</w:t>
            </w:r>
          </w:p>
          <w:p w14:paraId="1506ADFF" w14:textId="625D909D" w:rsidR="00D15E90" w:rsidRPr="00DC3D84" w:rsidRDefault="00D15E90" w:rsidP="00464A46">
            <w:pPr>
              <w:contextualSpacing/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DC3D84" w14:paraId="429F5407" w14:textId="77777777" w:rsidTr="70850C53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DC3D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C3D84">
              <w:rPr>
                <w:b/>
                <w:sz w:val="22"/>
                <w:szCs w:val="22"/>
                <w:lang w:val="sr-Cyrl-RS"/>
              </w:rPr>
              <w:lastRenderedPageBreak/>
              <w:t>АНАЛИЗА ЕФЕКАТА ПРЕПОРУКЕ (АЕП)</w:t>
            </w:r>
          </w:p>
        </w:tc>
      </w:tr>
      <w:tr w:rsidR="00CA1CE9" w:rsidRPr="00DC3D84" w14:paraId="72BD2239" w14:textId="77777777" w:rsidTr="70850C53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96C50A9" w14:textId="77777777" w:rsidR="00CA1CE9" w:rsidRPr="00DC3D84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9592DE8" w14:textId="74396CE2" w:rsidR="009C1544" w:rsidRPr="00DC3D84" w:rsidRDefault="009C1544" w:rsidP="009C1544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Директни трошкови спровођења овог поступка за привредне субјекте на годишњем нивоу износе 70.326.735,04 РСД. Усвајање и примена препорука ће донети привредним субјектима годишње директне уштеде од 42.602.587,84 РСД.</w:t>
            </w:r>
          </w:p>
          <w:p w14:paraId="2D42F519" w14:textId="77777777" w:rsidR="009C1544" w:rsidRPr="00DC3D84" w:rsidRDefault="009C1544" w:rsidP="009C1544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7CC1956C" w:rsidR="00EF5FD1" w:rsidRPr="00DC3D84" w:rsidRDefault="009C1544" w:rsidP="009C1544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DC3D8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DC3D8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DC3D8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D79CA" w14:textId="77777777" w:rsidR="00EB5853" w:rsidRDefault="00EB5853" w:rsidP="002A202F">
      <w:r>
        <w:separator/>
      </w:r>
    </w:p>
  </w:endnote>
  <w:endnote w:type="continuationSeparator" w:id="0">
    <w:p w14:paraId="409E6AA8" w14:textId="77777777" w:rsidR="00EB5853" w:rsidRDefault="00EB5853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658A4933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E9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55DBF" w14:textId="77777777" w:rsidR="00EB5853" w:rsidRDefault="00EB5853" w:rsidP="002A202F">
      <w:r>
        <w:separator/>
      </w:r>
    </w:p>
  </w:footnote>
  <w:footnote w:type="continuationSeparator" w:id="0">
    <w:p w14:paraId="03D03954" w14:textId="77777777" w:rsidR="00EB5853" w:rsidRDefault="00EB5853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379D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71CFB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5222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188F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D409D"/>
    <w:rsid w:val="003E2EB1"/>
    <w:rsid w:val="003E3C16"/>
    <w:rsid w:val="00407D96"/>
    <w:rsid w:val="00414262"/>
    <w:rsid w:val="00426DD4"/>
    <w:rsid w:val="00432495"/>
    <w:rsid w:val="00444DA7"/>
    <w:rsid w:val="0044710D"/>
    <w:rsid w:val="00452AFA"/>
    <w:rsid w:val="00457882"/>
    <w:rsid w:val="00463CC7"/>
    <w:rsid w:val="00464A46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D616E"/>
    <w:rsid w:val="006F4A5C"/>
    <w:rsid w:val="00715F5C"/>
    <w:rsid w:val="007278C1"/>
    <w:rsid w:val="00733493"/>
    <w:rsid w:val="00737F1D"/>
    <w:rsid w:val="00741745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1D10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E0491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1544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4282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2B96"/>
    <w:rsid w:val="00CE4175"/>
    <w:rsid w:val="00D15E90"/>
    <w:rsid w:val="00D37EA5"/>
    <w:rsid w:val="00D52001"/>
    <w:rsid w:val="00D73628"/>
    <w:rsid w:val="00D73918"/>
    <w:rsid w:val="00D967D7"/>
    <w:rsid w:val="00DA125D"/>
    <w:rsid w:val="00DB19B9"/>
    <w:rsid w:val="00DC3D84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B453C"/>
    <w:rsid w:val="00EB5853"/>
    <w:rsid w:val="00ED12C4"/>
    <w:rsid w:val="00ED1BCC"/>
    <w:rsid w:val="00EF5FD1"/>
    <w:rsid w:val="00F11232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1E9"/>
    <w:rsid w:val="00FF4DB4"/>
    <w:rsid w:val="00FF78E5"/>
    <w:rsid w:val="708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53AED5D3-6D35-4A05-8EBB-ACBB80BA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BEAB-5281-411D-803D-11E1BE44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15</cp:revision>
  <cp:lastPrinted>2018-09-05T12:48:00Z</cp:lastPrinted>
  <dcterms:created xsi:type="dcterms:W3CDTF">2019-11-12T10:15:00Z</dcterms:created>
  <dcterms:modified xsi:type="dcterms:W3CDTF">2020-02-06T13:30:00Z</dcterms:modified>
</cp:coreProperties>
</file>