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C647E92" w:rsidR="00C1331B" w:rsidRPr="007C1CCB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C1CCB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8C264B" w:rsidRPr="007C1CCB">
        <w:rPr>
          <w:b/>
          <w:sz w:val="22"/>
          <w:szCs w:val="22"/>
          <w:lang w:val="sr-Cyrl-RS"/>
        </w:rPr>
        <w:t xml:space="preserve"> ИЗДАВАЊА</w:t>
      </w:r>
      <w:r w:rsidR="007D0C99" w:rsidRPr="007C1CCB">
        <w:rPr>
          <w:b/>
          <w:sz w:val="22"/>
          <w:szCs w:val="22"/>
          <w:lang w:val="sr-Cyrl-RS"/>
        </w:rPr>
        <w:t xml:space="preserve"> САНИТАРНЕ САГЛАСНОСТИ НА ИДЕЈНИ ПРОЈЕКАТ/ ЗА ИЗГРАДЊУ/ РЕКОНСТРУКЦИЈУ ОБЈЕКТА</w:t>
      </w:r>
    </w:p>
    <w:p w14:paraId="6E77BA59" w14:textId="77777777" w:rsidR="00C1331B" w:rsidRPr="007C1CCB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7C1CCB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7C1CCB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DEA3D17" w:rsidR="000E2036" w:rsidRPr="007C1CCB" w:rsidRDefault="005C01B7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C1CCB">
              <w:rPr>
                <w:sz w:val="22"/>
                <w:szCs w:val="22"/>
                <w:lang w:val="sr-Cyrl-RS"/>
              </w:rPr>
              <w:t>Санитарна сагласност на идејни пројекат/ за изградњу/ реконструкцију објекта</w:t>
            </w:r>
          </w:p>
        </w:tc>
      </w:tr>
      <w:tr w:rsidR="00850AD5" w:rsidRPr="007C1CCB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7C1CCB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9873CC8" w:rsidR="000E2036" w:rsidRPr="007C1CCB" w:rsidRDefault="005C01B7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207.00.0001</w:t>
            </w:r>
          </w:p>
        </w:tc>
      </w:tr>
      <w:tr w:rsidR="00850AD5" w:rsidRPr="007C1CCB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C1CC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C1CC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77777777" w:rsidR="00092B84" w:rsidRPr="007C1CCB" w:rsidRDefault="00C1331B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7C1CCB">
              <w:rPr>
                <w:sz w:val="22"/>
                <w:szCs w:val="22"/>
                <w:lang w:val="sr-Cyrl-RS"/>
              </w:rPr>
              <w:t>Министарство здравља</w:t>
            </w:r>
          </w:p>
          <w:p w14:paraId="5795E7E6" w14:textId="043C5DE6" w:rsidR="005C01B7" w:rsidRPr="007C1CCB" w:rsidRDefault="005C01B7" w:rsidP="008C264B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C1CCB">
              <w:rPr>
                <w:sz w:val="22"/>
                <w:szCs w:val="22"/>
                <w:lang w:val="sr-Cyrl-RS"/>
              </w:rPr>
              <w:t xml:space="preserve">Покрајински секретаријат за </w:t>
            </w:r>
            <w:r w:rsidR="008C264B" w:rsidRPr="007C1CCB">
              <w:rPr>
                <w:sz w:val="22"/>
                <w:szCs w:val="22"/>
                <w:lang w:val="sr-Cyrl-RS"/>
              </w:rPr>
              <w:t>з</w:t>
            </w:r>
            <w:r w:rsidRPr="007C1CCB">
              <w:rPr>
                <w:sz w:val="22"/>
                <w:szCs w:val="22"/>
                <w:lang w:val="sr-Cyrl-RS"/>
              </w:rPr>
              <w:t>дравство</w:t>
            </w:r>
          </w:p>
        </w:tc>
      </w:tr>
      <w:tr w:rsidR="00850AD5" w:rsidRPr="007C1CCB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C1CC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C1CCB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C1CCB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49D6649B" w:rsidR="005D6A3F" w:rsidRPr="007C1CCB" w:rsidRDefault="005D6A3F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Закон о санитарном надзору</w:t>
            </w:r>
            <w:r w:rsidR="005C01B7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(„Сл. гласник РС“, бр.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125/2</w:t>
            </w:r>
            <w:r w:rsidR="005C01B7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4)</w:t>
            </w:r>
          </w:p>
          <w:p w14:paraId="1AEAE93E" w14:textId="77777777" w:rsidR="00251CC3" w:rsidRPr="007C1CCB" w:rsidRDefault="005D6A3F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док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азима који се прилажу уз захтев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Latn-RS"/>
              </w:rPr>
              <w:t>e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издавање санитарне сагласности</w:t>
            </w:r>
            <w:r w:rsidR="005C01B7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5C01B7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(„Сл. гласник РС“, бр. 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17/</w:t>
            </w:r>
            <w:r w:rsidR="005C01B7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06)</w:t>
            </w:r>
          </w:p>
          <w:p w14:paraId="2CCB5DCC" w14:textId="20DD21F5" w:rsidR="008C264B" w:rsidRPr="007C1CCB" w:rsidRDefault="008C264B" w:rsidP="008C264B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начину утврђивања и висини трошкова у поступку санитарног надзора на захтев странке („Сл. гласник РС“ број, 17/06</w:t>
            </w:r>
            <w:r w:rsidR="00D70C86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7C1CCB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7C1CCB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C1CC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7C1CC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7C1CC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7C1CC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7C1CCB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2CD12DB" w:rsidR="00D73918" w:rsidRPr="007C1CCB" w:rsidRDefault="005C01B7" w:rsidP="008C264B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1. Правилник о доказима који се прилажу уз захтеви за издавање санитарне сагласности  („Сл. гласник РС“, бр. 17/06)</w:t>
            </w:r>
          </w:p>
        </w:tc>
      </w:tr>
      <w:tr w:rsidR="00850AD5" w:rsidRPr="007C1CCB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7C1CCB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7C1CCB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7469CB1" w:rsidR="00804060" w:rsidRPr="007C1CCB" w:rsidRDefault="00DC3D3D" w:rsidP="00EC4ED3">
            <w:pPr>
              <w:pStyle w:val="NormalWeb"/>
              <w:spacing w:before="120" w:beforeAutospacing="0" w:after="120" w:afterAutospacing="0"/>
              <w:jc w:val="both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r w:rsidR="005C01B7" w:rsidRPr="007C1CCB">
              <w:rPr>
                <w:rFonts w:eastAsia="Calibri"/>
                <w:sz w:val="22"/>
                <w:szCs w:val="22"/>
                <w:lang w:val="sr-Cyrl-RS"/>
              </w:rPr>
              <w:t xml:space="preserve"> квартал 2020. </w:t>
            </w:r>
            <w:r w:rsidR="00EC4ED3" w:rsidRPr="007C1CCB">
              <w:rPr>
                <w:rFonts w:eastAsia="Calibri"/>
                <w:sz w:val="22"/>
                <w:szCs w:val="22"/>
                <w:lang w:val="sr-Cyrl-RS"/>
              </w:rPr>
              <w:t>г</w:t>
            </w:r>
            <w:bookmarkStart w:id="0" w:name="_GoBack"/>
            <w:bookmarkEnd w:id="0"/>
            <w:r w:rsidR="005C01B7" w:rsidRPr="007C1CCB">
              <w:rPr>
                <w:rFonts w:eastAsia="Calibri"/>
                <w:sz w:val="22"/>
                <w:szCs w:val="22"/>
                <w:lang w:val="sr-Cyrl-RS"/>
              </w:rPr>
              <w:t>одине</w:t>
            </w:r>
            <w:r w:rsidR="00EC4ED3" w:rsidRPr="007C1CCB">
              <w:rPr>
                <w:rFonts w:eastAsia="Calibri"/>
                <w:sz w:val="22"/>
                <w:szCs w:val="22"/>
                <w:lang w:val="sr-Cyrl-RS"/>
              </w:rPr>
              <w:t>, осим измене прописа која ће се спровести приликом прве измене</w:t>
            </w:r>
            <w:r w:rsidR="00EC4ED3" w:rsidRPr="007C1CCB">
              <w:rPr>
                <w:sz w:val="22"/>
                <w:szCs w:val="22"/>
                <w:lang w:val="sr-Cyrl-RS"/>
              </w:rPr>
              <w:t xml:space="preserve"> Правилника о начину утврђивања и висини трошкова у поступку санитарног надзора на захтев странке</w:t>
            </w:r>
          </w:p>
        </w:tc>
      </w:tr>
      <w:tr w:rsidR="00275E2A" w:rsidRPr="007C1CCB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7C1CCB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7C1CCB" w14:paraId="4635A4BE" w14:textId="77777777" w:rsidTr="00CA1CE9">
        <w:tc>
          <w:tcPr>
            <w:tcW w:w="9060" w:type="dxa"/>
            <w:gridSpan w:val="2"/>
          </w:tcPr>
          <w:p w14:paraId="4BCB02C2" w14:textId="30C294F4" w:rsidR="0009542A" w:rsidRPr="007C1CCB" w:rsidRDefault="005C01B7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Прописима су јасно дефинисани услови за издавање санитарне сагласност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на идејни пројекат/ за изградњу/ реконструкцију објекта, као и до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кументација која се доставља.  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Latn-RS"/>
              </w:rPr>
              <w:t>M</w:t>
            </w:r>
            <w:proofErr w:type="spellStart"/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еђутим</w:t>
            </w:r>
            <w:proofErr w:type="spellEnd"/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поједини подаци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се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не прибављају по службеној дужности, већ је прописом дефинисано да их сама странка прилаже уз захтев,  услед чега долази до непотребног административног оптерећења подносиоца захтева и непоштовања одредби Закона о општем управном поступку.  Додатно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није омогућено подношење захтева и издавање акта надлежног органа електронским путем.</w:t>
            </w:r>
          </w:p>
        </w:tc>
      </w:tr>
      <w:tr w:rsidR="00275E2A" w:rsidRPr="007C1CCB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7C1CCB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7C1CCB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5EB78D3" w:rsidR="00CA1CE9" w:rsidRPr="007C1CCB" w:rsidRDefault="005C01B7" w:rsidP="00776E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rFonts w:eastAsia="Calibri"/>
                <w:sz w:val="22"/>
                <w:szCs w:val="22"/>
                <w:lang w:val="sr-Cyrl-RS"/>
              </w:rPr>
              <w:t xml:space="preserve">Потребно је прописати </w:t>
            </w:r>
            <w:r w:rsidR="007C7E4A" w:rsidRPr="007C1CCB">
              <w:rPr>
                <w:sz w:val="22"/>
                <w:szCs w:val="22"/>
                <w:lang w:val="sr-Cyrl-RS"/>
              </w:rPr>
              <w:t>Правилнико</w:t>
            </w:r>
            <w:r w:rsidR="00E42526" w:rsidRPr="007C1CCB">
              <w:rPr>
                <w:sz w:val="22"/>
                <w:szCs w:val="22"/>
                <w:lang w:val="sr-Cyrl-RS"/>
              </w:rPr>
              <w:t>м</w:t>
            </w:r>
            <w:r w:rsidR="007C7E4A" w:rsidRPr="007C1CCB">
              <w:rPr>
                <w:sz w:val="22"/>
                <w:szCs w:val="22"/>
                <w:lang w:val="sr-Cyrl-RS"/>
              </w:rPr>
              <w:t xml:space="preserve"> о док</w:t>
            </w:r>
            <w:r w:rsidR="00806F13" w:rsidRPr="007C1CCB">
              <w:rPr>
                <w:sz w:val="22"/>
                <w:szCs w:val="22"/>
                <w:lang w:val="sr-Cyrl-RS"/>
              </w:rPr>
              <w:t>азима који се прилажу уз захтеве</w:t>
            </w:r>
            <w:r w:rsidR="007C7E4A" w:rsidRPr="007C1CCB">
              <w:rPr>
                <w:sz w:val="22"/>
                <w:szCs w:val="22"/>
                <w:lang w:val="sr-Cyrl-RS"/>
              </w:rPr>
              <w:t xml:space="preserve"> за издавање санитарне сагласности („Сл. гласник РС“, бр. 17/06), </w:t>
            </w:r>
            <w:r w:rsidRPr="007C1CCB">
              <w:rPr>
                <w:rFonts w:eastAsia="Calibri"/>
                <w:sz w:val="22"/>
                <w:szCs w:val="22"/>
                <w:lang w:val="sr-Cyrl-RS"/>
              </w:rPr>
              <w:t>да се одређена документа прибављају по службеној дужности</w:t>
            </w:r>
            <w:r w:rsidR="00E42526" w:rsidRPr="007C1CCB">
              <w:rPr>
                <w:rFonts w:eastAsia="Calibri"/>
                <w:sz w:val="22"/>
                <w:szCs w:val="22"/>
                <w:lang w:val="sr-Cyrl-RS"/>
              </w:rPr>
              <w:t>,</w:t>
            </w:r>
            <w:r w:rsidR="00776E52" w:rsidRPr="007C1CCB">
              <w:rPr>
                <w:rFonts w:eastAsia="Calibri"/>
                <w:sz w:val="22"/>
                <w:szCs w:val="22"/>
                <w:lang w:val="sr-Cyrl-RS"/>
              </w:rPr>
              <w:t xml:space="preserve"> и у складу са тим изменити садржину постојећег обрасца захтева, у погледу документације </w:t>
            </w:r>
            <w:r w:rsidR="00776E52" w:rsidRPr="007C1CCB">
              <w:rPr>
                <w:sz w:val="22"/>
                <w:szCs w:val="22"/>
                <w:lang w:val="sr-Cyrl-RS"/>
              </w:rPr>
              <w:t xml:space="preserve">која се прилаже уз захтев и увођења дела давања сагласности на прибављање података по службеној дужности. Такође је потребно омогућити </w:t>
            </w:r>
            <w:r w:rsidRPr="007C1CCB">
              <w:rPr>
                <w:rFonts w:eastAsia="Calibri"/>
                <w:sz w:val="22"/>
                <w:szCs w:val="22"/>
                <w:lang w:val="sr-Cyrl-RS"/>
              </w:rPr>
              <w:t>подношење захтева и издавање акта електронским путем.</w:t>
            </w:r>
            <w:r w:rsidRPr="007C1CCB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7C1CCB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7C1CCB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7C1CCB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7C1CCB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7C1CCB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7C1CCB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7C1CCB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7C1CCB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909A4AF" w14:textId="6B9585CE" w:rsidR="007C7E4A" w:rsidRPr="007C1CCB" w:rsidRDefault="007C7E4A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7C1CCB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Прибављање података по службеној дужности</w:t>
            </w:r>
          </w:p>
          <w:p w14:paraId="71FF96B4" w14:textId="77777777" w:rsidR="007C7E4A" w:rsidRPr="007C1CCB" w:rsidRDefault="007C7E4A" w:rsidP="007C7E4A">
            <w:pPr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 </w:t>
            </w:r>
          </w:p>
          <w:p w14:paraId="75455C04" w14:textId="77777777" w:rsidR="007C7E4A" w:rsidRPr="007C1CCB" w:rsidRDefault="007C7E4A" w:rsidP="007C7E4A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7C1CCB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7C1CC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00E80390" w14:textId="77777777" w:rsidR="007C7E4A" w:rsidRPr="007C1CCB" w:rsidRDefault="007C7E4A" w:rsidP="007C7E4A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5FDD5366" w14:textId="5CC6D165" w:rsidR="007C7E4A" w:rsidRPr="007C1CCB" w:rsidRDefault="007C7E4A" w:rsidP="007C7E4A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C1CC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</w:t>
            </w:r>
            <w:r w:rsidRPr="007C1CC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Доказ о праву својине на грађевинском земљишту, или доказ о праву својине на објекту.</w:t>
            </w:r>
          </w:p>
          <w:p w14:paraId="48D550B7" w14:textId="27788CDE" w:rsidR="007C7E4A" w:rsidRPr="007C1CCB" w:rsidRDefault="007C7E4A" w:rsidP="007C7E4A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7C1CC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C1CCB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C1CC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Катастар непокретности </w:t>
            </w:r>
          </w:p>
          <w:p w14:paraId="3A86478F" w14:textId="77777777" w:rsidR="007C7E4A" w:rsidRPr="007C1CCB" w:rsidRDefault="007C7E4A" w:rsidP="007C7E4A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C7412F0" w14:textId="3ED1383F" w:rsidR="007C7E4A" w:rsidRPr="007C1CCB" w:rsidRDefault="007C7E4A" w:rsidP="007C7E4A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 доказ</w:t>
            </w:r>
            <w:r w:rsidRPr="007C1CC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о праву својине, односно праву коришћења грађеви</w:t>
            </w:r>
            <w:r w:rsidR="00E42526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н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ског земљишта, односно објекта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.</w:t>
            </w:r>
          </w:p>
          <w:p w14:paraId="1C0760CC" w14:textId="77777777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2194341" w14:textId="115A8FEF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када је подносилац захтева власник земљишта, односно објекта а које је могуће спровести на један од следећих начина, зависно од тренутне доступности потребних података:</w:t>
            </w:r>
          </w:p>
          <w:p w14:paraId="7E3609F3" w14:textId="77777777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A289A59" w14:textId="77777777" w:rsidR="007C7E4A" w:rsidRPr="007C1CCB" w:rsidRDefault="007C7E4A" w:rsidP="007C7E4A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2B637E8" w14:textId="77777777" w:rsidR="007C7E4A" w:rsidRPr="007C1CCB" w:rsidRDefault="007C7E4A" w:rsidP="007C7E4A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38B5E3B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4AAB196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36BA229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338AA21" w14:textId="77777777" w:rsidR="007C7E4A" w:rsidRPr="007C1CCB" w:rsidRDefault="007C7E4A" w:rsidP="007C7E4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7C1CC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4FE38669" w14:textId="77777777" w:rsidR="007C7E4A" w:rsidRPr="007C1CCB" w:rsidRDefault="007C7E4A" w:rsidP="007C7E4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6A83C7D" w14:textId="0FAE1D64" w:rsidR="007C7E4A" w:rsidRPr="007C1CCB" w:rsidRDefault="007C7E4A" w:rsidP="007C7E4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sr-Cyrl-RS"/>
              </w:rPr>
            </w:pPr>
            <w:r w:rsidRPr="007C1CCB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42526" w:rsidRPr="007C1CCB">
              <w:rPr>
                <w:color w:val="000000"/>
                <w:sz w:val="22"/>
                <w:szCs w:val="22"/>
                <w:lang w:val="sr-Cyrl-RS"/>
              </w:rPr>
              <w:t>Б</w:t>
            </w:r>
            <w:r w:rsidR="00806F13" w:rsidRPr="007C1CCB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C1CCB">
              <w:rPr>
                <w:color w:val="000000"/>
                <w:sz w:val="22"/>
                <w:szCs w:val="22"/>
                <w:lang w:val="sr-Cyrl-RS"/>
              </w:rPr>
              <w:t xml:space="preserve"> катастарске парцеле и назив катастарске општине </w:t>
            </w:r>
          </w:p>
          <w:p w14:paraId="5F257926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3BA59CAB" w14:textId="65871BE1" w:rsidR="007C7E4A" w:rsidRPr="007C1CCB" w:rsidRDefault="007C7E4A" w:rsidP="007C7E4A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потреб</w:t>
            </w:r>
            <w:r w:rsidR="00CF759F"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но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је </w:t>
            </w:r>
            <w:r w:rsidR="00CF759F"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изменити и допунити 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 о док</w:t>
            </w:r>
            <w:r w:rsidR="00806F13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азима који се прилажу уз захтев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за издавање санитарне сагласности  („Сл. гласник РС“, бр. 17/06).</w:t>
            </w:r>
          </w:p>
          <w:p w14:paraId="202FECA3" w14:textId="77777777" w:rsidR="007C7E4A" w:rsidRPr="007C1CCB" w:rsidRDefault="007C7E4A" w:rsidP="007C7E4A">
            <w:p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</w:p>
          <w:p w14:paraId="1F9F816F" w14:textId="60C9FDF1" w:rsidR="007C7E4A" w:rsidRPr="007C1CCB" w:rsidRDefault="007C7E4A" w:rsidP="00E42526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 измене прописа, орган ће без одлагања приступити примени ЗОУП-а и размени података по службеној дужности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45354E4C" w14:textId="77777777" w:rsidR="007C7E4A" w:rsidRPr="007C1CCB" w:rsidRDefault="007C7E4A" w:rsidP="007C7E4A">
            <w:pPr>
              <w:pStyle w:val="ListParagraph"/>
              <w:spacing w:before="120" w:after="120"/>
              <w:ind w:left="360"/>
              <w:rPr>
                <w:rFonts w:ascii="Times New Roman" w:eastAsia="Times New Roman" w:hAnsi="Times New Roman"/>
                <w:b/>
                <w:bCs/>
                <w:sz w:val="22"/>
                <w:szCs w:val="22"/>
                <w:u w:val="single"/>
                <w:lang w:val="sr-Latn-RS" w:eastAsia="en-GB"/>
              </w:rPr>
            </w:pPr>
          </w:p>
          <w:p w14:paraId="44A61C3C" w14:textId="229F861D" w:rsidR="00414262" w:rsidRPr="007C1CCB" w:rsidRDefault="00414262" w:rsidP="007C7E4A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  <w:t xml:space="preserve">Документ 2: </w:t>
            </w:r>
            <w:r w:rsidR="007C7E4A"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Извод из урбанистичког плана, односно урбанистички пројекат за објекте на подручју за које је урађен урбанистички план, односно акт о урбанистичким условима у складу са просторним планом за п</w:t>
            </w:r>
            <w:r w:rsidR="00E42526"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о</w:t>
            </w:r>
            <w:r w:rsidR="007C7E4A"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дручје за које није предвиђена израда урбанистичког плана, односно акт о условима органа или организације надлежне за послове заштите споменика културе за подручје непокретног културног добра</w:t>
            </w:r>
            <w:r w:rsidR="00E42526"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.</w:t>
            </w:r>
          </w:p>
          <w:p w14:paraId="415DB0B3" w14:textId="2160C360" w:rsidR="007C7E4A" w:rsidRPr="007C1CCB" w:rsidRDefault="007C7E4A" w:rsidP="007C7E4A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Орган од кога је потребно прибавити податке: </w:t>
            </w: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Надлежни орган локалне </w:t>
            </w: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lastRenderedPageBreak/>
              <w:t>самоуправе за послове урбанизма</w:t>
            </w:r>
          </w:p>
          <w:p w14:paraId="68169A7F" w14:textId="77777777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4631E74F" w14:textId="77777777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03838E21" w14:textId="77777777" w:rsidR="007C7E4A" w:rsidRPr="007C1CCB" w:rsidRDefault="007C7E4A" w:rsidP="007C7E4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8F045F4" w14:textId="77777777" w:rsidR="007C7E4A" w:rsidRPr="007C1CCB" w:rsidRDefault="007C7E4A" w:rsidP="007C7E4A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64B883CB" w14:textId="77777777" w:rsidR="007C7E4A" w:rsidRPr="007C1CCB" w:rsidRDefault="007C7E4A" w:rsidP="007C7E4A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5A50101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7624394F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66B78382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293CFD27" w14:textId="79B301E0" w:rsidR="007C7E4A" w:rsidRPr="007C1CCB" w:rsidRDefault="007C7E4A" w:rsidP="007C7E4A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</w:t>
            </w:r>
            <w:r w:rsidR="00806F13"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описан у тачкама 1) и 2), орган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7C1CC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23C87C5D" w14:textId="77777777" w:rsidR="007C7E4A" w:rsidRPr="007C1CCB" w:rsidRDefault="007C7E4A" w:rsidP="007C7E4A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98365E7" w14:textId="59B12BF1" w:rsidR="00F909A5" w:rsidRPr="007C1CCB" w:rsidRDefault="00F909A5" w:rsidP="00F909A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C1CCB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</w:t>
            </w:r>
            <w:r w:rsidR="00806F13" w:rsidRPr="007C1CCB">
              <w:rPr>
                <w:color w:val="000000"/>
                <w:sz w:val="22"/>
                <w:szCs w:val="22"/>
                <w:lang w:val="sr-Cyrl-RS"/>
              </w:rPr>
              <w:t>еће неопходне информације: број</w:t>
            </w:r>
            <w:r w:rsidRPr="007C1CCB">
              <w:rPr>
                <w:color w:val="000000"/>
                <w:sz w:val="22"/>
                <w:szCs w:val="22"/>
                <w:lang w:val="sr-Cyrl-RS"/>
              </w:rPr>
              <w:t xml:space="preserve"> катастарске парцеле и назив катастарске општине .</w:t>
            </w:r>
          </w:p>
          <w:p w14:paraId="3833F496" w14:textId="77777777" w:rsidR="00F909A5" w:rsidRPr="007C1CCB" w:rsidRDefault="00F909A5" w:rsidP="00F909A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9DA8EA4" w14:textId="3F35CCED" w:rsidR="00F909A5" w:rsidRPr="007C1CCB" w:rsidRDefault="00F909A5" w:rsidP="00F909A5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потребна је </w:t>
            </w:r>
            <w:r w:rsidR="006E15CB"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измена и допуна 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</w:t>
            </w:r>
            <w:r w:rsidR="006E15CB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о док</w:t>
            </w:r>
            <w:r w:rsidR="00806F13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азима који се прилажу уз захтеве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за издавање санитарне сагласности  („Сл. гласник РС“, бр. 17/06).</w:t>
            </w:r>
          </w:p>
          <w:p w14:paraId="0AC58E2B" w14:textId="77777777" w:rsidR="007C7E4A" w:rsidRPr="007C1CCB" w:rsidRDefault="007C7E4A" w:rsidP="007C7E4A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07C0936A" w14:textId="77777777" w:rsidR="007C7E4A" w:rsidRPr="007C1CCB" w:rsidRDefault="007C7E4A" w:rsidP="007C7E4A">
            <w:pPr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Пре измене прописа, орган ће без одлагања приступити примени ЗОУП-а и размени података по службеној дужности. </w:t>
            </w:r>
          </w:p>
          <w:p w14:paraId="764FEAD3" w14:textId="5341716A" w:rsidR="00F909A5" w:rsidRPr="007C1CCB" w:rsidRDefault="00F909A5" w:rsidP="00F909A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  <w:t xml:space="preserve">Документ 4: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Доказ о промени намене стамбеног простора у пословни простор, издат од стране надлежног органа за објекат или део објекта који се реконструише</w:t>
            </w:r>
          </w:p>
          <w:p w14:paraId="72F08A13" w14:textId="77777777" w:rsidR="00F909A5" w:rsidRPr="007C1CCB" w:rsidRDefault="00F909A5" w:rsidP="00F909A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Орган од кога је потребно прибавити податке: </w:t>
            </w: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Надлежни орган локалне самоуправе за послове урбанизма</w:t>
            </w:r>
          </w:p>
          <w:p w14:paraId="543BF2E4" w14:textId="111F78DB" w:rsidR="00F909A5" w:rsidRPr="007C1CCB" w:rsidRDefault="00F909A5" w:rsidP="00F909A5">
            <w:pPr>
              <w:rPr>
                <w:rFonts w:ascii="Times New Roman" w:hAnsi="Times New Roman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као</w:t>
            </w:r>
            <w:r w:rsidR="00642956"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доказ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 промени намене стамбеног простора у пословни простор.</w:t>
            </w:r>
          </w:p>
          <w:p w14:paraId="10EDEAA0" w14:textId="77777777" w:rsidR="00F909A5" w:rsidRPr="007C1CCB" w:rsidRDefault="00F909A5" w:rsidP="00F909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</w:p>
          <w:p w14:paraId="124EA903" w14:textId="77777777" w:rsidR="00F909A5" w:rsidRPr="007C1CCB" w:rsidRDefault="00F909A5" w:rsidP="00F909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6EB683FF" w14:textId="77777777" w:rsidR="00F909A5" w:rsidRPr="007C1CCB" w:rsidRDefault="00F909A5" w:rsidP="00F909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6AF2B868" w14:textId="77777777" w:rsidR="00F909A5" w:rsidRPr="007C1CCB" w:rsidRDefault="00F909A5" w:rsidP="00F909A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7C9967D6" w14:textId="77777777" w:rsidR="00F909A5" w:rsidRPr="007C1CCB" w:rsidRDefault="00F909A5" w:rsidP="00F909A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43178E7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18F7E8A6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9A4DAA7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4653B45" w14:textId="77777777" w:rsidR="00F909A5" w:rsidRPr="007C1CCB" w:rsidRDefault="00F909A5" w:rsidP="00F909A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lastRenderedPageBreak/>
              <w:t>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7C1CC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7A9F909E" w14:textId="77777777" w:rsidR="00F909A5" w:rsidRPr="007C1CCB" w:rsidRDefault="00F909A5" w:rsidP="00F909A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67BF356" w14:textId="7BA5F654" w:rsidR="00F909A5" w:rsidRPr="007C1CCB" w:rsidRDefault="00F909A5" w:rsidP="00642956">
            <w:pPr>
              <w:shd w:val="clear" w:color="auto" w:fill="FFFFFF"/>
              <w:spacing w:before="225" w:after="225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</w:t>
            </w:r>
            <w:r w:rsidR="00E70827"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еће неопходне информације: Број и</w:t>
            </w: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датум </w:t>
            </w:r>
            <w:r w:rsidR="00E42526"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издавања</w:t>
            </w: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Решења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 xml:space="preserve"> о промени намене стамбеног простора у пословни простор</w:t>
            </w:r>
          </w:p>
          <w:p w14:paraId="7BA0B1C4" w14:textId="438C2061" w:rsidR="00F909A5" w:rsidRPr="007C1CCB" w:rsidRDefault="00F909A5" w:rsidP="00F909A5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потребна је </w:t>
            </w:r>
            <w:r w:rsidR="006E15CB"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измена и допуна 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</w:t>
            </w:r>
            <w:r w:rsidR="006E15CB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о док</w:t>
            </w:r>
            <w:r w:rsidR="00E70827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азима који се прилажу уз захтеве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за издавање санитарне сагласности  („Сл. гласник РС“, бр. 17/06).</w:t>
            </w:r>
          </w:p>
          <w:p w14:paraId="5ED093D4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02C40DF3" w14:textId="77777777" w:rsidR="00F909A5" w:rsidRPr="007C1CCB" w:rsidRDefault="00F909A5" w:rsidP="00F909A5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 измене прописа, орган ће без одлагања приступити примени ЗОУП-а и размени података по службеној дужности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. </w:t>
            </w:r>
          </w:p>
          <w:p w14:paraId="182BC59E" w14:textId="77777777" w:rsidR="00E42526" w:rsidRPr="007C1CCB" w:rsidRDefault="00E42526" w:rsidP="00F909A5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</w:pPr>
          </w:p>
          <w:p w14:paraId="2E62C0A1" w14:textId="6248F41F" w:rsidR="00414262" w:rsidRPr="007C1CCB" w:rsidRDefault="00414262" w:rsidP="0065171E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  <w:t xml:space="preserve">Документ 5: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Решење о одређивању и одржавању зона и појасева санитарне заштите</w:t>
            </w:r>
          </w:p>
          <w:p w14:paraId="274BBA90" w14:textId="34AB3325" w:rsidR="00F909A5" w:rsidRPr="007C1CCB" w:rsidRDefault="00F909A5" w:rsidP="00F909A5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225" w:after="225"/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Орган од кога је потребно прибавити податке: </w:t>
            </w: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Министарство здравља</w:t>
            </w:r>
          </w:p>
          <w:p w14:paraId="16EFC08C" w14:textId="6F171414" w:rsidR="00F909A5" w:rsidRPr="007C1CCB" w:rsidRDefault="00F909A5" w:rsidP="00F909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 које је могуће спровести на један од следећих начина, зависно од тренутне доступности потребних података:</w:t>
            </w:r>
          </w:p>
          <w:p w14:paraId="06BA7EC0" w14:textId="77777777" w:rsidR="00F909A5" w:rsidRPr="007C1CCB" w:rsidRDefault="00F909A5" w:rsidP="00F909A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3B9D2E98" w14:textId="77777777" w:rsidR="00F909A5" w:rsidRPr="007C1CCB" w:rsidRDefault="00F909A5" w:rsidP="00F909A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proofErr w:type="spellStart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</w:t>
            </w:r>
            <w:proofErr w:type="spellEnd"/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 </w:t>
            </w:r>
          </w:p>
          <w:p w14:paraId="18114275" w14:textId="77777777" w:rsidR="00F909A5" w:rsidRPr="007C1CCB" w:rsidRDefault="00F909A5" w:rsidP="00F909A5">
            <w:pPr>
              <w:numPr>
                <w:ilvl w:val="0"/>
                <w:numId w:val="43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92F2FAF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52453AB8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44EA7F22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731C1078" w14:textId="77777777" w:rsidR="00F909A5" w:rsidRPr="007C1CCB" w:rsidRDefault="00F909A5" w:rsidP="00F909A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било електронским путем.</w:t>
            </w:r>
            <w:r w:rsidRPr="007C1CCB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Уколико одређена службена евиденција није доступна преко сервисне магистрале органа, најбрже и најбезбедније орган може прибавити податке из такве евиденције коришћењем тзв. сервиса 15 еЗУП-а (платформа за кореспонденцију између органа), како би се избегла коресподенција и прибављање података преко мејла, који је значајно мање безбедно средство од наведеног сервиса, али до приступања наведеном сервису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орган може да прибави тражене податке и путем мејла.</w:t>
            </w:r>
          </w:p>
          <w:p w14:paraId="13C14E50" w14:textId="2A419D30" w:rsidR="00F909A5" w:rsidRPr="007C1CCB" w:rsidRDefault="00F909A5" w:rsidP="00F909A5">
            <w:pPr>
              <w:shd w:val="clear" w:color="auto" w:fill="FFFFFF"/>
              <w:spacing w:before="225" w:after="225"/>
              <w:rPr>
                <w:rFonts w:ascii="Times New Roman" w:eastAsia="Times New Roman" w:hAnsi="Times New Roman"/>
                <w:b/>
                <w:sz w:val="22"/>
                <w:szCs w:val="22"/>
                <w:lang w:val="sr-Cyrl-RS" w:eastAsia="en-GB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и датум Решења </w:t>
            </w:r>
            <w:r w:rsidRPr="007C1CCB">
              <w:rPr>
                <w:rFonts w:ascii="Times New Roman" w:eastAsia="Times New Roman" w:hAnsi="Times New Roman"/>
                <w:sz w:val="22"/>
                <w:szCs w:val="22"/>
                <w:lang w:val="sr-Cyrl-RS" w:eastAsia="en-GB"/>
              </w:rPr>
              <w:t>о одређивању и одржавању зона и појасева санитарне заштите</w:t>
            </w:r>
          </w:p>
          <w:p w14:paraId="0A19BC59" w14:textId="242E1B0A" w:rsidR="00F909A5" w:rsidRPr="007C1CCB" w:rsidRDefault="00F909A5" w:rsidP="00F909A5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За примену ове препоруке, ради обезбеђења правне сигурности, транспарентности и усклађености прописа, 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потребна је </w:t>
            </w:r>
            <w:r w:rsidR="00FD445C"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измена и допуна 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Правилник</w:t>
            </w:r>
            <w:r w:rsidR="006E15CB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о док</w:t>
            </w:r>
            <w:r w:rsidR="00E70827"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азима који се прилажу уз захтеве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за издавање санитарне сагласности  („Сл. гласник РС“, бр. 17/06).</w:t>
            </w:r>
          </w:p>
          <w:p w14:paraId="185B688B" w14:textId="77777777" w:rsidR="00F909A5" w:rsidRPr="007C1CCB" w:rsidRDefault="00F909A5" w:rsidP="00F909A5">
            <w:pPr>
              <w:shd w:val="clear" w:color="auto" w:fill="FFFFFF"/>
              <w:contextualSpacing/>
              <w:rPr>
                <w:rFonts w:ascii="Times New Roman" w:hAnsi="Times New Roman"/>
                <w:color w:val="FF0000"/>
                <w:sz w:val="22"/>
                <w:szCs w:val="22"/>
                <w:lang w:val="sr-Cyrl-RS" w:eastAsia="sr-Latn-ME"/>
              </w:rPr>
            </w:pPr>
          </w:p>
          <w:p w14:paraId="1E3329E4" w14:textId="1E0D3E79" w:rsidR="00236737" w:rsidRPr="007C1CCB" w:rsidRDefault="00F909A5" w:rsidP="00E42526">
            <w:pPr>
              <w:rPr>
                <w:rFonts w:ascii="Times New Roman" w:eastAsia="Times New Roman" w:hAnsi="Times New Roman"/>
                <w:b/>
                <w:color w:val="00B050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Пре измене прописа, орган ће без одлагања приступити примени ЗОУП-а и размени података по службеној дужности.</w:t>
            </w:r>
            <w:r w:rsidRPr="007C1CCB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</w:t>
            </w:r>
          </w:p>
          <w:p w14:paraId="7D225B0E" w14:textId="77777777" w:rsidR="00E42526" w:rsidRPr="007C1CCB" w:rsidRDefault="00E42526" w:rsidP="00E42526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173B7320" w14:textId="23925609" w:rsidR="00E42526" w:rsidRPr="007C1CCB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7C1CCB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Pr="007C1CCB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7C1CCB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7C1CCB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7C1CCB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7C1CCB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7C1CCB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7C1CCB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7C1CCB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7C1CC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7C1CCB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F202AB4" w14:textId="77777777" w:rsidR="00CA1CE9" w:rsidRPr="007C1CCB" w:rsidRDefault="00C57759" w:rsidP="00C57759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Нацрт</w:t>
            </w:r>
          </w:p>
          <w:p w14:paraId="20130B7E" w14:textId="77777777" w:rsidR="00C57759" w:rsidRPr="007C1CCB" w:rsidRDefault="00C57759" w:rsidP="00C57759">
            <w:pPr>
              <w:jc w:val="righ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334C82CE" w14:textId="77777777" w:rsidR="00C57759" w:rsidRPr="007C1CCB" w:rsidRDefault="00C57759" w:rsidP="00C5775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C1CCB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Правилник о изменама и допунама</w:t>
            </w:r>
            <w:r w:rsidRPr="007C1CCB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Правилника о доказима који се прилажу уз захтеве за издавање санитарне сагласности</w:t>
            </w:r>
          </w:p>
          <w:p w14:paraId="336A71C9" w14:textId="77777777" w:rsidR="00C57759" w:rsidRPr="007C1CCB" w:rsidRDefault="00C57759" w:rsidP="00C5775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7C9B104D" w14:textId="250B0924" w:rsidR="00C57759" w:rsidRPr="007C1CCB" w:rsidRDefault="00C57759" w:rsidP="00C5775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Члан 1.</w:t>
            </w:r>
          </w:p>
          <w:p w14:paraId="1942E617" w14:textId="77777777" w:rsidR="00C57759" w:rsidRPr="007C1CCB" w:rsidRDefault="00C57759" w:rsidP="00C5775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</w:p>
          <w:p w14:paraId="4607C2E2" w14:textId="3BA93C64" w:rsidR="00C57759" w:rsidRPr="007C1CCB" w:rsidRDefault="00C57759" w:rsidP="00C5775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У Правилнику о доказима који се прилажу уз захтеве за издавање санитарне сагласности  („Сл. гласник РС“, бр. 17/06), у члану 2. после става 1. додаје се став 2. који гласи:</w:t>
            </w:r>
          </w:p>
          <w:p w14:paraId="34FF6246" w14:textId="26FABFC1" w:rsidR="00C57759" w:rsidRPr="007C1CCB" w:rsidRDefault="00C57759" w:rsidP="00C57759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sz w:val="22"/>
                <w:szCs w:val="22"/>
                <w:lang w:val="sr-Cyrl-RS"/>
              </w:rPr>
              <w:t>„Н</w:t>
            </w: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адлежни орган по службеној дужности, по претходно прибављеној сагласности подносиоца захтева прибавља доказе под тачком  1) уколико је подносилац захтева књижни власник, као и доказе под </w:t>
            </w:r>
            <w:proofErr w:type="spellStart"/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тач</w:t>
            </w:r>
            <w:proofErr w:type="spellEnd"/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  2., 4. и 5. “ </w:t>
            </w:r>
          </w:p>
          <w:p w14:paraId="1C9F85D9" w14:textId="13E76A35" w:rsidR="00C57759" w:rsidRPr="007C1CCB" w:rsidRDefault="00C57759" w:rsidP="00C5775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Члан 2.</w:t>
            </w:r>
          </w:p>
          <w:p w14:paraId="6D37C824" w14:textId="696E8249" w:rsidR="00C57759" w:rsidRPr="007C1CCB" w:rsidRDefault="00C57759" w:rsidP="00C5775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Члан 3. мења се и гласи:</w:t>
            </w:r>
          </w:p>
          <w:p w14:paraId="1005FB60" w14:textId="1DD164E7" w:rsidR="00C57759" w:rsidRPr="007C1CCB" w:rsidRDefault="00C57759" w:rsidP="00C57759">
            <w:pPr>
              <w:pStyle w:val="auto-style12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sz w:val="22"/>
                <w:szCs w:val="22"/>
                <w:lang w:val="sr-Cyrl-RS"/>
              </w:rPr>
              <w:t>„</w:t>
            </w: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За издавање санитарне сагласности на идејни пројекат за изградњу, односно реконструкцију </w:t>
            </w:r>
            <w:proofErr w:type="spellStart"/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водозахватних</w:t>
            </w:r>
            <w:proofErr w:type="spellEnd"/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 објеката на подручју изворишта воде за пиће, поред доказа прописаних у члану 2. овог правилника, потребно је да постоји и решење надлежног органа о одређивању и одржавању зона и појасева санитарне заштите, које надлежни орган прибавља по службеној дужности.“</w:t>
            </w:r>
          </w:p>
          <w:p w14:paraId="2EDE961F" w14:textId="209BC230" w:rsidR="00C57759" w:rsidRPr="007C1CCB" w:rsidRDefault="00C57759" w:rsidP="00C57759"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Члан 3.</w:t>
            </w:r>
          </w:p>
          <w:p w14:paraId="30A3297B" w14:textId="02148CE9" w:rsidR="00C57759" w:rsidRPr="007C1CCB" w:rsidRDefault="00C57759" w:rsidP="00C57759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C1CCB">
              <w:rPr>
                <w:rFonts w:ascii="Times New Roman" w:hAnsi="Times New Roman"/>
                <w:sz w:val="22"/>
                <w:szCs w:val="22"/>
                <w:lang w:val="sr-Cyrl-RS"/>
              </w:rPr>
              <w:t>Овај правилник ступа на снагу осмог дана од дана објављивања у Службеном гласнику Републике Србије“</w:t>
            </w:r>
          </w:p>
          <w:p w14:paraId="39763933" w14:textId="2A6C5213" w:rsidR="00C57759" w:rsidRPr="007C1CCB" w:rsidRDefault="00C57759" w:rsidP="00C57759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7C1CCB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7C1CC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7C1CCB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6BACCE0" w14:textId="51BBE864" w:rsidR="004F1038" w:rsidRPr="007C1CCB" w:rsidRDefault="00C57759" w:rsidP="004F1038">
            <w:pPr>
              <w:pStyle w:val="auto-style12"/>
              <w:shd w:val="clear" w:color="auto" w:fill="FFFFFF"/>
              <w:jc w:val="center"/>
              <w:rPr>
                <w:rFonts w:eastAsia="Calibri"/>
                <w:b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b/>
                <w:sz w:val="22"/>
                <w:szCs w:val="22"/>
                <w:lang w:val="sr-Cyrl-RS" w:eastAsia="sr-Latn-ME"/>
              </w:rPr>
              <w:t xml:space="preserve">Преглед одредби </w:t>
            </w:r>
            <w:r w:rsidRPr="007C1CCB">
              <w:rPr>
                <w:b/>
                <w:sz w:val="22"/>
                <w:szCs w:val="22"/>
                <w:lang w:val="sr-Cyrl-RS"/>
              </w:rPr>
              <w:t>Правилника о доказима који се прилажу уз захтеве за издавање санитарне сагласности  које се мењају</w:t>
            </w:r>
          </w:p>
          <w:p w14:paraId="444BC5B4" w14:textId="77777777" w:rsidR="004F1038" w:rsidRPr="007C1CCB" w:rsidRDefault="004F1038" w:rsidP="004F1038">
            <w:pPr>
              <w:pStyle w:val="auto-style12"/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Члан 2.</w:t>
            </w:r>
          </w:p>
          <w:p w14:paraId="29EC5E76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Уз захтев за издавање санитарне сагласности на идејни пројекат за изградњу, односно за </w:t>
            </w: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lastRenderedPageBreak/>
              <w:t>реконструкцију објекта прилажу се:</w:t>
            </w:r>
          </w:p>
          <w:p w14:paraId="6BF0A710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1) за изградњу објекта – доказ о праву својине, односно закупа на грађевинском земљишту, односно доказ о праву коришћења на неизграђеном грађевинском земљишту, а за реконструкцију објекта доказ о праву својине на објекту, односно закупу објекта или дела објекта који се реконструише;</w:t>
            </w:r>
          </w:p>
          <w:p w14:paraId="0A45F49F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2) извод из урбанистичког плана, односно урбанистички пројекат за објекте на подручју за које је урађен урбанистички план, односно акт о урбанистичким условима у складу са просторним планом за подручје за које није предвиђена израда урбанистичког плана, односно акт о условима органа или организације надлежне за послове заштите споменика културе за подручје непокретног културног добра;</w:t>
            </w:r>
          </w:p>
          <w:p w14:paraId="38C62924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3) идејни пројекат за објекат који се гради, односно реконструише;</w:t>
            </w:r>
          </w:p>
          <w:p w14:paraId="25251875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4) доказ о промени намене стамбеног простора у пословни простор, издат од надлежног органа за објекат или део објекта који се реконструише;</w:t>
            </w:r>
          </w:p>
          <w:p w14:paraId="1B27F3D5" w14:textId="77777777" w:rsidR="004F1038" w:rsidRPr="007C1CCB" w:rsidRDefault="004F1038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Latn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5) докази о извршеним уплатама на име републичке административне таксе и трошкова насталих у поступку вршења санитарног надзора на захтев странке.</w:t>
            </w:r>
          </w:p>
          <w:p w14:paraId="5752A290" w14:textId="488222D8" w:rsidR="004F1038" w:rsidRPr="007C1CCB" w:rsidRDefault="00C57759" w:rsidP="004F1038">
            <w:pPr>
              <w:pStyle w:val="auto-style9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НАДЛЕЖНИ ОРГАН ПО СЛУЖБЕНОЈ ДУЖНОСТИ, ПО ПРЕТХОДНО ПРИБАВЉЕНОЈ САГЛАСНОСТИ ПОДНОСИОЦА ЗАХТЕВА ПРИБАВЉА ДОКАЗЕ ПОД ТАЧКОМ   </w:t>
            </w:r>
            <w:r w:rsidR="004F1038"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 1.,</w:t>
            </w: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 УКОЛИКО ЈЕ ПОДНОСИЛАЦ ЗАХТЕВА КЉИЖНИ ВЛАСНИК, КАО И ДОКАЗЕ ПОД ТАЧ  </w:t>
            </w:r>
            <w:r w:rsidR="004F1038"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2., 4. И 5.  </w:t>
            </w:r>
          </w:p>
          <w:p w14:paraId="66C1F61D" w14:textId="77777777" w:rsidR="004F1038" w:rsidRPr="007C1CCB" w:rsidRDefault="004F1038" w:rsidP="004F1038">
            <w:pPr>
              <w:pStyle w:val="auto-style12"/>
              <w:shd w:val="clear" w:color="auto" w:fill="FFFFFF"/>
              <w:jc w:val="center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>Члан 3.</w:t>
            </w:r>
          </w:p>
          <w:p w14:paraId="08CA85D8" w14:textId="1174D306" w:rsidR="004F1038" w:rsidRPr="007C1CCB" w:rsidRDefault="004F1038" w:rsidP="004F1038">
            <w:pPr>
              <w:pStyle w:val="auto-style12"/>
              <w:shd w:val="clear" w:color="auto" w:fill="FFFFFF"/>
              <w:jc w:val="both"/>
              <w:rPr>
                <w:rFonts w:eastAsia="Calibri"/>
                <w:strike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trike/>
                <w:sz w:val="22"/>
                <w:szCs w:val="22"/>
                <w:lang w:val="sr-Cyrl-RS" w:eastAsia="sr-Latn-ME"/>
              </w:rPr>
              <w:t xml:space="preserve">Уз захтев за издавање санитарне сагласности на идејни пројекат за изградњу, односно реконструкцију </w:t>
            </w:r>
            <w:proofErr w:type="spellStart"/>
            <w:r w:rsidRPr="007C1CCB">
              <w:rPr>
                <w:rFonts w:eastAsia="Calibri"/>
                <w:strike/>
                <w:sz w:val="22"/>
                <w:szCs w:val="22"/>
                <w:lang w:val="sr-Cyrl-RS" w:eastAsia="sr-Latn-ME"/>
              </w:rPr>
              <w:t>водозахватних</w:t>
            </w:r>
            <w:proofErr w:type="spellEnd"/>
            <w:r w:rsidRPr="007C1CCB">
              <w:rPr>
                <w:rFonts w:eastAsia="Calibri"/>
                <w:strike/>
                <w:sz w:val="22"/>
                <w:szCs w:val="22"/>
                <w:lang w:val="sr-Cyrl-RS" w:eastAsia="sr-Latn-ME"/>
              </w:rPr>
              <w:t xml:space="preserve"> објеката на подручју изворишта воде за пиће, поред доказа прописаних у члану 2. овог правилника, прилаже се и решење надлежног органа о одређивању и одржавању зона и појасева санитарне заштите.</w:t>
            </w:r>
          </w:p>
          <w:p w14:paraId="6A11487F" w14:textId="30D12652" w:rsidR="004F1038" w:rsidRPr="007C1CCB" w:rsidRDefault="00C57759" w:rsidP="004F1038">
            <w:pPr>
              <w:pStyle w:val="auto-style12"/>
              <w:shd w:val="clear" w:color="auto" w:fill="FFFFFF"/>
              <w:jc w:val="both"/>
              <w:rPr>
                <w:rFonts w:eastAsia="Calibri"/>
                <w:sz w:val="22"/>
                <w:szCs w:val="22"/>
                <w:lang w:val="sr-Cyrl-RS" w:eastAsia="sr-Latn-ME"/>
              </w:rPr>
            </w:pPr>
            <w:r w:rsidRPr="007C1CCB">
              <w:rPr>
                <w:rFonts w:eastAsia="Calibri"/>
                <w:sz w:val="22"/>
                <w:szCs w:val="22"/>
                <w:lang w:val="sr-Cyrl-RS" w:eastAsia="sr-Latn-ME"/>
              </w:rPr>
              <w:t xml:space="preserve">ЗА ИЗДАВАЊЕ САНИТАРНЕ САГЛАСНОСТИ НА ИДЕЈНИ ПРОЈЕКАТ ЗА ИЗГРАДЊУ, ОДНОСНО РЕКОНСТРУКЦИЈУ ВОДОЗАХВАТНИХ ОБЈЕКАТА НА ПОДРУЧЈУ ИЗВОРИШТА ВОДЕ ЗА ПИЋЕ, ПОРЕД ДОКАЗА ПРОПИСАНИХ У ЧЛАНУ 2. ОВОГ ПРАВИЛНИКА, ПОТРЕБНО ЈЕ ДА ПОСТОЈИ И РЕШЕЊЕ НАДЛЕЖНОГ ОРГАНА О ОДРЕЂИВАЊУ И ОДРЖАВАЊУ ЗОНА И ПОЈАСЕВА САНИТАРНЕ ЗАШТИТЕ, КОЈЕ НАДЛЕЖНИ ОРГАН ПРИБАВЉА ПО СЛУЖБЕНОЈ ДУЖНОСТИ. </w:t>
            </w:r>
          </w:p>
          <w:p w14:paraId="1506ADFF" w14:textId="77777777" w:rsidR="00CA1CE9" w:rsidRPr="007C1CCB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7C1CCB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7C1CCB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C1CCB">
              <w:rPr>
                <w:b/>
                <w:sz w:val="22"/>
                <w:szCs w:val="22"/>
                <w:lang w:val="sr-Cyrl-RS"/>
              </w:rPr>
              <w:lastRenderedPageBreak/>
              <w:t>АНАЛИЗА ЕФЕКАТА ПРЕПОРУКЕ (АЕП)</w:t>
            </w:r>
          </w:p>
        </w:tc>
      </w:tr>
      <w:tr w:rsidR="00CA1CE9" w:rsidRPr="007C1CCB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1E9A80C4" w:rsidR="00CA1CE9" w:rsidRPr="007C1CCB" w:rsidRDefault="007C1CCB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221C52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7C1CCB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C1CCB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36A2B" w14:textId="77777777" w:rsidR="002851F1" w:rsidRDefault="002851F1" w:rsidP="002A202F">
      <w:r>
        <w:separator/>
      </w:r>
    </w:p>
  </w:endnote>
  <w:endnote w:type="continuationSeparator" w:id="0">
    <w:p w14:paraId="6089BE57" w14:textId="77777777" w:rsidR="002851F1" w:rsidRDefault="002851F1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ED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D7A71" w14:textId="77777777" w:rsidR="002851F1" w:rsidRDefault="002851F1" w:rsidP="002A202F">
      <w:r>
        <w:separator/>
      </w:r>
    </w:p>
  </w:footnote>
  <w:footnote w:type="continuationSeparator" w:id="0">
    <w:p w14:paraId="397A6954" w14:textId="77777777" w:rsidR="002851F1" w:rsidRDefault="002851F1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ED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588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426CB"/>
    <w:rsid w:val="00245E83"/>
    <w:rsid w:val="00251CC3"/>
    <w:rsid w:val="00261404"/>
    <w:rsid w:val="002673B0"/>
    <w:rsid w:val="00275E2A"/>
    <w:rsid w:val="0028138B"/>
    <w:rsid w:val="002851F1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66C2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4F103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2956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E15CB"/>
    <w:rsid w:val="006E51F9"/>
    <w:rsid w:val="006F4A5C"/>
    <w:rsid w:val="00715F5C"/>
    <w:rsid w:val="007278C1"/>
    <w:rsid w:val="00733493"/>
    <w:rsid w:val="00737F1D"/>
    <w:rsid w:val="00757339"/>
    <w:rsid w:val="00776E52"/>
    <w:rsid w:val="00782816"/>
    <w:rsid w:val="00785A46"/>
    <w:rsid w:val="007861E3"/>
    <w:rsid w:val="007940D6"/>
    <w:rsid w:val="007B1740"/>
    <w:rsid w:val="007B43C4"/>
    <w:rsid w:val="007B7F5E"/>
    <w:rsid w:val="007C1CCB"/>
    <w:rsid w:val="007C61B5"/>
    <w:rsid w:val="007C7E4A"/>
    <w:rsid w:val="007D0C99"/>
    <w:rsid w:val="007D3889"/>
    <w:rsid w:val="007D39E4"/>
    <w:rsid w:val="007D43A7"/>
    <w:rsid w:val="007D450B"/>
    <w:rsid w:val="007E1695"/>
    <w:rsid w:val="007E2D0A"/>
    <w:rsid w:val="007F204C"/>
    <w:rsid w:val="00804060"/>
    <w:rsid w:val="00806F13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264B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96543"/>
    <w:rsid w:val="00BA55D3"/>
    <w:rsid w:val="00BA6759"/>
    <w:rsid w:val="00BA7204"/>
    <w:rsid w:val="00BB2C8C"/>
    <w:rsid w:val="00BC59F0"/>
    <w:rsid w:val="00BC6826"/>
    <w:rsid w:val="00BD0AA9"/>
    <w:rsid w:val="00BD64A6"/>
    <w:rsid w:val="00BE7D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7759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CF759F"/>
    <w:rsid w:val="00D37EA5"/>
    <w:rsid w:val="00D70C86"/>
    <w:rsid w:val="00D73628"/>
    <w:rsid w:val="00D73918"/>
    <w:rsid w:val="00D967D7"/>
    <w:rsid w:val="00DA125D"/>
    <w:rsid w:val="00DB19B9"/>
    <w:rsid w:val="00DC3D3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827"/>
    <w:rsid w:val="00E70BF6"/>
    <w:rsid w:val="00EA02F0"/>
    <w:rsid w:val="00EA4ED1"/>
    <w:rsid w:val="00EC4ED3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1A4"/>
    <w:rsid w:val="00FB1A1B"/>
    <w:rsid w:val="00FB645B"/>
    <w:rsid w:val="00FC09D6"/>
    <w:rsid w:val="00FC34EC"/>
    <w:rsid w:val="00FC3F69"/>
    <w:rsid w:val="00FC5312"/>
    <w:rsid w:val="00FD2730"/>
    <w:rsid w:val="00FD3964"/>
    <w:rsid w:val="00FD445C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A0080167-0A17-4CB5-B6D5-118814A9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customStyle="1" w:styleId="auto-style12">
    <w:name w:val="auto-style12"/>
    <w:basedOn w:val="Normal"/>
    <w:rsid w:val="004F103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uto-style9">
    <w:name w:val="auto-style9"/>
    <w:basedOn w:val="Normal"/>
    <w:rsid w:val="004F103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DD83-2349-4F3B-AD82-D776F4C2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5</cp:revision>
  <cp:lastPrinted>2018-09-05T12:48:00Z</cp:lastPrinted>
  <dcterms:created xsi:type="dcterms:W3CDTF">2020-02-07T10:10:00Z</dcterms:created>
  <dcterms:modified xsi:type="dcterms:W3CDTF">2020-02-07T11:52:00Z</dcterms:modified>
</cp:coreProperties>
</file>