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247926" w:rsidRDefault="0024792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4C6874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4072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4072B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54072B" w:rsidRDefault="009F2D3E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Регистрација обуставе стечаја над привредним друштвима, задругама и јавним предузећима</w:t>
            </w:r>
          </w:p>
        </w:tc>
      </w:tr>
      <w:tr w:rsidR="00850AD5" w:rsidRPr="0054072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4072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54072B" w:rsidRDefault="009F2D3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10.05.0132</w:t>
            </w:r>
          </w:p>
        </w:tc>
      </w:tr>
      <w:tr w:rsidR="00850AD5" w:rsidRPr="004C687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407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Регулаторно тело</w:t>
            </w:r>
          </w:p>
          <w:p w:rsidR="00275E2A" w:rsidRPr="005407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9F2D3E" w:rsidRPr="0054072B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54072B">
              <w:rPr>
                <w:sz w:val="22"/>
                <w:szCs w:val="22"/>
              </w:rPr>
              <w:t xml:space="preserve">Агенција за привредне регистре </w:t>
            </w:r>
          </w:p>
        </w:tc>
      </w:tr>
      <w:tr w:rsidR="00850AD5" w:rsidRPr="004C687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407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Правни о</w:t>
            </w:r>
            <w:r w:rsidR="00B903AE" w:rsidRPr="0054072B">
              <w:rPr>
                <w:b/>
                <w:sz w:val="22"/>
                <w:szCs w:val="22"/>
              </w:rPr>
              <w:t>квир</w:t>
            </w:r>
            <w:r w:rsidR="00DC4BC2" w:rsidRPr="0054072B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BC4DB9" w:rsidRPr="00853B1B" w:rsidRDefault="00BC4DB9" w:rsidP="00BC4DB9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Закон о поступку регистрације у Агенцији за привредне регистре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Службени гласник РС”, бр.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BC4DB9" w:rsidRPr="00BC4DB9" w:rsidRDefault="00BC4DB9" w:rsidP="00BC4DB9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r w:rsidRPr="004769C8">
              <w:rPr>
                <w:rFonts w:ascii="Times New Roman" w:hAnsi="Times New Roman"/>
                <w:sz w:val="22"/>
              </w:rPr>
              <w:t>Правилник о садржини Регистра привредних субјеката и документацији потребној за регистрацију („Сл</w:t>
            </w:r>
            <w:r>
              <w:rPr>
                <w:rFonts w:ascii="Times New Roman" w:hAnsi="Times New Roman"/>
                <w:sz w:val="22"/>
              </w:rPr>
              <w:t>ужбени гласник РС”, брoj</w:t>
            </w:r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BC4DB9" w:rsidRDefault="00BC4DB9" w:rsidP="00BC4DB9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Закон о стечају („Службени гласник РС”, бр. </w:t>
            </w:r>
            <w:r w:rsidRPr="00961283">
              <w:rPr>
                <w:rFonts w:ascii="Times New Roman" w:hAnsi="Times New Roman"/>
                <w:sz w:val="22"/>
                <w:szCs w:val="22"/>
              </w:rPr>
              <w:t>104/09, 99/11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(др. закон), 71/</w:t>
            </w:r>
            <w:r w:rsidRPr="00961283">
              <w:rPr>
                <w:rFonts w:ascii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(УС), 83/14, 113/17, 44/18 и 95/18)</w:t>
            </w:r>
          </w:p>
          <w:p w:rsidR="00BC4DB9" w:rsidRPr="00AA4009" w:rsidRDefault="00BC4DB9" w:rsidP="00BC4DB9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961283">
              <w:rPr>
                <w:rFonts w:ascii="Times New Roman" w:hAnsi="Times New Roman"/>
                <w:sz w:val="22"/>
                <w:szCs w:val="22"/>
              </w:rPr>
              <w:t>Закон о стечају и ликвидацији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банака и друштава за осигурање („Службени гласник РС”, бр. 14/15 и 44/18- др. закон)</w:t>
            </w:r>
          </w:p>
          <w:p w:rsidR="009F2D3E" w:rsidRPr="00BC4DB9" w:rsidRDefault="009F2D3E" w:rsidP="00BC4DB9">
            <w:pPr>
              <w:spacing w:before="120" w:after="120"/>
              <w:rPr>
                <w:rFonts w:ascii="Times New Roman" w:hAnsi="Times New Roman"/>
              </w:rPr>
            </w:pPr>
          </w:p>
        </w:tc>
      </w:tr>
      <w:tr w:rsidR="00850AD5" w:rsidRPr="004C687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54072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5407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5407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5407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BC4DB9" w:rsidRDefault="00BC4DB9" w:rsidP="00BC4DB9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BC4DB9">
              <w:rPr>
                <w:rFonts w:ascii="Times New Roman" w:hAnsi="Times New Roman"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 („Службени гласник РС”, брoj 42/16)</w:t>
            </w:r>
          </w:p>
        </w:tc>
      </w:tr>
      <w:tr w:rsidR="00850AD5" w:rsidRPr="004C6874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4072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54072B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:rsidR="00804060" w:rsidRPr="00BC4DB9" w:rsidRDefault="00E6127D" w:rsidP="00E61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Први квартал 2021. </w:t>
            </w:r>
            <w:r w:rsidR="00BC4DB9">
              <w:rPr>
                <w:rFonts w:ascii="Times New Roman" w:hAnsi="Times New Roman"/>
                <w:sz w:val="22"/>
                <w:szCs w:val="22"/>
              </w:rPr>
              <w:t>године</w:t>
            </w:r>
          </w:p>
        </w:tc>
      </w:tr>
      <w:tr w:rsidR="00275E2A" w:rsidRPr="0054072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54072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C6874" w:rsidTr="00CA1CE9">
        <w:tc>
          <w:tcPr>
            <w:tcW w:w="9060" w:type="dxa"/>
            <w:gridSpan w:val="2"/>
          </w:tcPr>
          <w:p w:rsidR="0009542A" w:rsidRPr="00E6127D" w:rsidRDefault="00791BDE" w:rsidP="00A949A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4072B">
              <w:rPr>
                <w:rFonts w:ascii="Times New Roman" w:eastAsia="Times New Roman" w:hAnsi="Times New Roman"/>
                <w:sz w:val="22"/>
                <w:szCs w:val="22"/>
              </w:rPr>
              <w:t xml:space="preserve">Поступак регистрација обуставе стечаја над привредним друштвима, задругама и јавним предузећима, није прописом јасно дефинисан, што ствара значајно административно оптерећење и трошкове привредним друштвима и другим правним лицима. Законом нити подзаконским актима није прописана документација која се доставља, што доводи до  нејасноћа приликом подношења захтева и непоштовања обавезе прибављања података које издају други јавни органи, по службеној дужности. </w:t>
            </w:r>
            <w:r w:rsidR="00BC3E65" w:rsidRPr="0054072B">
              <w:rPr>
                <w:rFonts w:ascii="Times New Roman" w:eastAsia="Times New Roman" w:hAnsi="Times New Roman"/>
                <w:sz w:val="22"/>
                <w:szCs w:val="22"/>
              </w:rPr>
              <w:t>Додатни простор за оптимизацију постоји на тај начин што ће се омогућити подношење захтева и издавање акта електронским путем</w:t>
            </w:r>
          </w:p>
        </w:tc>
      </w:tr>
      <w:tr w:rsidR="00275E2A" w:rsidRPr="0054072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54072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54072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54072B" w:rsidRPr="0054072B" w:rsidRDefault="0054072B">
            <w:pPr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15"/>
              <w:gridCol w:w="810"/>
              <w:gridCol w:w="630"/>
              <w:gridCol w:w="2917"/>
            </w:tblGrid>
            <w:tr w:rsidR="00E73A56" w:rsidRPr="004C6874" w:rsidTr="00E73A56">
              <w:trPr>
                <w:trHeight w:val="260"/>
              </w:trPr>
              <w:tc>
                <w:tcPr>
                  <w:tcW w:w="4315" w:type="dxa"/>
                </w:tcPr>
                <w:p w:rsidR="00E73A56" w:rsidRPr="0054072B" w:rsidRDefault="0054072B" w:rsidP="0054072B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810" w:type="dxa"/>
                </w:tcPr>
                <w:p w:rsidR="00E73A56" w:rsidRPr="0054072B" w:rsidRDefault="00E73A56" w:rsidP="00276446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</w:rPr>
                    <w:t>Да</w:t>
                  </w:r>
                </w:p>
              </w:tc>
              <w:tc>
                <w:tcPr>
                  <w:tcW w:w="630" w:type="dxa"/>
                </w:tcPr>
                <w:p w:rsidR="00E73A56" w:rsidRPr="0054072B" w:rsidRDefault="00E73A56" w:rsidP="00276446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</w:rPr>
                    <w:t>Не</w:t>
                  </w:r>
                </w:p>
              </w:tc>
              <w:tc>
                <w:tcPr>
                  <w:tcW w:w="2917" w:type="dxa"/>
                </w:tcPr>
                <w:p w:rsidR="00E73A56" w:rsidRPr="0054072B" w:rsidRDefault="00E73A56" w:rsidP="00276446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</w:rPr>
                    <w:t>Уколико је одговор да, којих (навести р.бр. прописа који се мења из одељка изнад)</w:t>
                  </w:r>
                </w:p>
              </w:tc>
            </w:tr>
            <w:tr w:rsidR="003E6F43" w:rsidRPr="004C6874" w:rsidTr="001F69C9">
              <w:trPr>
                <w:trHeight w:val="489"/>
              </w:trPr>
              <w:tc>
                <w:tcPr>
                  <w:tcW w:w="4315" w:type="dxa"/>
                </w:tcPr>
                <w:p w:rsidR="003E6F43" w:rsidRPr="00D56544" w:rsidRDefault="003E6F43" w:rsidP="00B82111">
                  <w:pPr>
                    <w:tabs>
                      <w:tab w:val="left" w:pos="313"/>
                    </w:tabs>
                    <w:rPr>
                      <w:rFonts w:ascii="Times New Roman" w:eastAsia="Times New Roman" w:hAnsi="Times New Roman"/>
                      <w:sz w:val="22"/>
                    </w:rPr>
                  </w:pPr>
                  <w:r w:rsidRPr="00D56544">
                    <w:rPr>
                      <w:rFonts w:ascii="Times New Roman" w:eastAsia="Times New Roman" w:hAnsi="Times New Roman"/>
                      <w:b/>
                      <w:sz w:val="22"/>
                    </w:rPr>
                    <w:t>Утврђивање правног  основа и потребне документације</w:t>
                  </w:r>
                </w:p>
              </w:tc>
              <w:tc>
                <w:tcPr>
                  <w:tcW w:w="4357" w:type="dxa"/>
                  <w:gridSpan w:val="3"/>
                </w:tcPr>
                <w:p w:rsidR="003E6F43" w:rsidRPr="0054072B" w:rsidRDefault="003E6F43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3E6F43" w:rsidRPr="0054072B" w:rsidTr="00E73A56">
              <w:trPr>
                <w:trHeight w:val="489"/>
              </w:trPr>
              <w:tc>
                <w:tcPr>
                  <w:tcW w:w="4315" w:type="dxa"/>
                </w:tcPr>
                <w:p w:rsidR="003E6F43" w:rsidRPr="00D56544" w:rsidRDefault="003E6F43" w:rsidP="00E6127D">
                  <w:pPr>
                    <w:tabs>
                      <w:tab w:val="left" w:pos="313"/>
                    </w:tabs>
                    <w:rPr>
                      <w:rFonts w:ascii="Times New Roman" w:eastAsia="Times New Roman" w:hAnsi="Times New Roman"/>
                      <w:sz w:val="22"/>
                    </w:rPr>
                  </w:pPr>
                  <w:r w:rsidRPr="00D56544">
                    <w:rPr>
                      <w:rFonts w:ascii="Times New Roman" w:eastAsia="Times New Roman" w:hAnsi="Times New Roman"/>
                      <w:sz w:val="22"/>
                    </w:rPr>
                    <w:t>Прописивање  потребне документације</w:t>
                  </w:r>
                </w:p>
              </w:tc>
              <w:tc>
                <w:tcPr>
                  <w:tcW w:w="810" w:type="dxa"/>
                </w:tcPr>
                <w:p w:rsidR="003E6F43" w:rsidRPr="0054072B" w:rsidRDefault="003E6F43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630" w:type="dxa"/>
                </w:tcPr>
                <w:p w:rsidR="003E6F43" w:rsidRPr="0054072B" w:rsidRDefault="003E6F43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2917" w:type="dxa"/>
                </w:tcPr>
                <w:p w:rsidR="003E6F43" w:rsidRPr="0054072B" w:rsidRDefault="003E6F43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</w:rPr>
                    <w:t>1</w:t>
                  </w:r>
                </w:p>
              </w:tc>
            </w:tr>
            <w:tr w:rsidR="00BC3E65" w:rsidRPr="0054072B" w:rsidTr="00E73A56">
              <w:trPr>
                <w:trHeight w:val="489"/>
              </w:trPr>
              <w:tc>
                <w:tcPr>
                  <w:tcW w:w="4315" w:type="dxa"/>
                </w:tcPr>
                <w:p w:rsidR="00BC3E65" w:rsidRPr="00D56544" w:rsidRDefault="00BC3E65" w:rsidP="00404F0B">
                  <w:pPr>
                    <w:tabs>
                      <w:tab w:val="left" w:pos="313"/>
                    </w:tabs>
                    <w:rPr>
                      <w:rFonts w:ascii="Times New Roman" w:eastAsia="Times New Roman" w:hAnsi="Times New Roman"/>
                      <w:sz w:val="22"/>
                    </w:rPr>
                  </w:pPr>
                  <w:r w:rsidRPr="00D56544">
                    <w:rPr>
                      <w:rFonts w:ascii="Times New Roman" w:eastAsia="Times New Roman" w:hAnsi="Times New Roman"/>
                      <w:b/>
                      <w:sz w:val="22"/>
                    </w:rPr>
                    <w:t>Увођење е-управе</w:t>
                  </w:r>
                </w:p>
              </w:tc>
              <w:tc>
                <w:tcPr>
                  <w:tcW w:w="810" w:type="dxa"/>
                </w:tcPr>
                <w:p w:rsidR="00BC3E65" w:rsidRPr="0054072B" w:rsidRDefault="00BC3E65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630" w:type="dxa"/>
                </w:tcPr>
                <w:p w:rsidR="00BC3E65" w:rsidRPr="0054072B" w:rsidRDefault="00BC3E65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54072B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2917" w:type="dxa"/>
                </w:tcPr>
                <w:p w:rsidR="00BC3E65" w:rsidRPr="0054072B" w:rsidRDefault="00BC3E65" w:rsidP="00276446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</w:tbl>
          <w:p w:rsidR="00C70F1B" w:rsidRPr="0054072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54072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54072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54072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407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4C687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26E1B" w:rsidRPr="0054072B" w:rsidRDefault="00B82111" w:rsidP="00B82111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B82111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Утврђивање правног  основа и потребне документације 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- </w:t>
            </w:r>
            <w:r w:rsidR="00D26E1B" w:rsidRPr="0054072B">
              <w:rPr>
                <w:rFonts w:ascii="Times New Roman" w:eastAsia="Times New Roman" w:hAnsi="Times New Roman"/>
                <w:b/>
                <w:sz w:val="22"/>
                <w:szCs w:val="22"/>
              </w:rPr>
              <w:t>Прописивање  потребне документације</w:t>
            </w:r>
          </w:p>
          <w:p w:rsidR="00D26E1B" w:rsidRPr="0054072B" w:rsidRDefault="00D26E1B" w:rsidP="00D26E1B">
            <w:pPr>
              <w:pStyle w:val="ListParagraph"/>
              <w:spacing w:before="120" w:after="120"/>
              <w:ind w:left="284"/>
              <w:contextualSpacing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Сваки админситартивни поступак који спроводе надлежни органи и организације мора бити јасно утемељен у закону. Када је реч о административним поступцима којима се остварује неко право, а како би се обезбедила пуна правна сигурност, заинтересована лица морају имати јасну слику о томе које су њихове обавезе у току спровођења административног поступка, тачније коју документацију или податке су у обавези да доставе  надлежним органима, како би исти могли да одлучују о њиховим захтевима.</w:t>
            </w:r>
            <w:r w:rsidR="00276446" w:rsidRPr="0054072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Посебно треба имати у виду чињеницу да постоје различити случајеви који за последицу могу имати обуставу стечаја, што додатно уноси забуну имајући у виду различиту документацију којима се испуњеност тих услова доказује. </w:t>
            </w:r>
          </w:p>
          <w:p w:rsidR="00D26E1B" w:rsidRPr="0054072B" w:rsidRDefault="00D26E1B" w:rsidP="00D26E1B">
            <w:pPr>
              <w:pStyle w:val="NormalWeb"/>
              <w:spacing w:before="0" w:beforeAutospacing="0" w:after="0" w:afterAutospacing="0"/>
              <w:ind w:left="318"/>
              <w:jc w:val="both"/>
              <w:rPr>
                <w:color w:val="000000" w:themeColor="text1"/>
                <w:sz w:val="22"/>
                <w:szCs w:val="22"/>
              </w:rPr>
            </w:pPr>
            <w:r w:rsidRPr="0054072B">
              <w:rPr>
                <w:color w:val="000000" w:themeColor="text1"/>
                <w:sz w:val="22"/>
                <w:szCs w:val="22"/>
              </w:rPr>
              <w:t>Из тог разлога поред услова који се морају испуњавати ради оставривања одређеног права потребно је прописати и тачну документацију</w:t>
            </w:r>
            <w:r w:rsidRPr="0054072B">
              <w:rPr>
                <w:sz w:val="22"/>
                <w:szCs w:val="22"/>
              </w:rPr>
              <w:t xml:space="preserve"> као и форме сваког документа (оригинал, оверена копија, копија уз оригинал на увид, копија), </w:t>
            </w:r>
            <w:r w:rsidRPr="0054072B">
              <w:rPr>
                <w:color w:val="000000" w:themeColor="text1"/>
                <w:sz w:val="22"/>
                <w:szCs w:val="22"/>
              </w:rPr>
              <w:t>односно разрадити на који начин се испуњеност тих услова доказује</w:t>
            </w:r>
            <w:r w:rsidRPr="0054072B">
              <w:rPr>
                <w:sz w:val="22"/>
                <w:szCs w:val="22"/>
              </w:rPr>
              <w:t xml:space="preserve">. </w:t>
            </w:r>
          </w:p>
          <w:p w:rsidR="00D26E1B" w:rsidRPr="0054072B" w:rsidRDefault="00D26E1B" w:rsidP="00D26E1B">
            <w:pPr>
              <w:pStyle w:val="ListParagraph"/>
              <w:spacing w:before="120" w:after="120"/>
              <w:ind w:left="284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Сходно наведено потребно је прописати да се уз захтев доставља следећа документација: </w:t>
            </w:r>
          </w:p>
          <w:p w:rsidR="00D26E1B" w:rsidRPr="0054072B" w:rsidRDefault="00D26E1B" w:rsidP="00D26E1B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>Одлука о именовању законског заступника</w:t>
            </w:r>
          </w:p>
          <w:p w:rsidR="00D26E1B" w:rsidRPr="0054072B" w:rsidRDefault="00D26E1B" w:rsidP="00530133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>Решење надлежне институције о давању дозволе за рад</w:t>
            </w:r>
            <w:r w:rsidR="00530133" w:rsidRPr="0054072B">
              <w:rPr>
                <w:rFonts w:ascii="Times New Roman" w:hAnsi="Times New Roman"/>
                <w:sz w:val="22"/>
                <w:szCs w:val="22"/>
              </w:rPr>
              <w:t xml:space="preserve">,за брокерско дилерска друштва, банке, берзе, друштва за управљање, друштва за осигурање; </w:t>
            </w:r>
          </w:p>
          <w:p w:rsidR="00D26E1B" w:rsidRPr="0054072B" w:rsidRDefault="00D26E1B" w:rsidP="00D26E1B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 xml:space="preserve">Уговор о продаји стечајног дужника као правног лица, ако 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 xml:space="preserve">до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обустава стечајног поступка долази 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 xml:space="preserve">услед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продаје стечајног дужника као правног лица која за последицу нема брисање, већ спровођење промене података о стечајном дужнику у Регистру.</w:t>
            </w:r>
          </w:p>
          <w:p w:rsidR="00530133" w:rsidRPr="0054072B" w:rsidRDefault="00530133" w:rsidP="00530133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Доказ о идентитету новог члана/чланова (копији пасоша или личне карте за физичко лице, односно извод из надлежног регистра за правне лице, не старији од 6 месеци). </w:t>
            </w:r>
          </w:p>
          <w:p w:rsidR="00D26E1B" w:rsidRPr="0054072B" w:rsidRDefault="00530133" w:rsidP="00530133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Одлука надлежног органа друштва о промени/именовању органа друштва или промени других статусних податакаако 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 xml:space="preserve">до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обустава стечајног поступка долази 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>услед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продаје стечајног дужника као правног лица која за последицу нема брисање, већ спровођење промене података о стечајном дужнику у Регистру.</w:t>
            </w:r>
          </w:p>
          <w:p w:rsidR="00530133" w:rsidRPr="0054072B" w:rsidRDefault="00530133" w:rsidP="00530133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>Измене оснивачког акта и пречишћен текст оснивачког акта (ако се мења правна форма) и/или статут (ако је реч о акционарском друштву),  када до обуставе стечајног поступка долази услед  продаје стечајног дужника као правног лица која за последицу нема брисање, већ спровођење промене података о стечајном дужнику у Регистру.</w:t>
            </w:r>
          </w:p>
          <w:p w:rsidR="00530133" w:rsidRPr="0054072B" w:rsidRDefault="00530133" w:rsidP="00530133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Предлог одлуке о промени правне форме,када је обустављен стечајни поступак  услед продаје стечајног дужника као правног лица, а стечајни дужник је  акционарско друштво; </w:t>
            </w:r>
          </w:p>
          <w:p w:rsidR="00530133" w:rsidRPr="0054072B" w:rsidRDefault="00530133" w:rsidP="00530133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>Доказ Централног регистра депо и клиринг хартија од вредности, када је обустављен стечајни поступак  услед продаје стечајног дужника као правног лица, а стечајни дужник је  акционарско друштво;</w:t>
            </w:r>
          </w:p>
          <w:p w:rsidR="00530133" w:rsidRPr="0054072B" w:rsidRDefault="00530133" w:rsidP="00D26E1B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Одлука о промени правне форме, када је обустављен стечајни поступак  услед продаје стечајног дужника као правног лица, а стечајни дужник је  акционарско друштво. </w:t>
            </w:r>
          </w:p>
          <w:p w:rsidR="00530133" w:rsidRPr="0054072B" w:rsidRDefault="00530133" w:rsidP="00D26E1B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>Доказ о уплати накнаде.</w:t>
            </w:r>
          </w:p>
          <w:p w:rsidR="00D26E1B" w:rsidRPr="0054072B" w:rsidRDefault="00D26E1B" w:rsidP="00276446">
            <w:pPr>
              <w:spacing w:before="120" w:after="120"/>
              <w:ind w:left="270"/>
              <w:rPr>
                <w:rFonts w:ascii="Times New Roman" w:hAnsi="Times New Roman"/>
                <w:sz w:val="22"/>
                <w:szCs w:val="22"/>
              </w:rPr>
            </w:pPr>
            <w:r w:rsidRPr="0054072B">
              <w:rPr>
                <w:rFonts w:ascii="Times New Roman" w:hAnsi="Times New Roman"/>
                <w:sz w:val="22"/>
                <w:szCs w:val="22"/>
              </w:rPr>
              <w:t xml:space="preserve">Такође је потребно прописати да се наведена документа под тач. 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>2, 3. 4.  и 8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.достављају у копији, док 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 xml:space="preserve">остала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документ</w:t>
            </w:r>
            <w:r w:rsidR="00276446" w:rsidRPr="0054072B">
              <w:rPr>
                <w:rFonts w:ascii="Times New Roman" w:hAnsi="Times New Roman"/>
                <w:sz w:val="22"/>
                <w:szCs w:val="22"/>
              </w:rPr>
              <w:t xml:space="preserve">а морају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бити у оригиналу.  </w:t>
            </w:r>
          </w:p>
          <w:p w:rsidR="00D26E1B" w:rsidRPr="0017524B" w:rsidRDefault="00D26E1B" w:rsidP="0017524B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17524B">
              <w:rPr>
                <w:rFonts w:ascii="Times New Roman" w:hAnsi="Times New Roman"/>
                <w:b/>
                <w:sz w:val="22"/>
                <w:szCs w:val="22"/>
              </w:rPr>
              <w:t xml:space="preserve">За </w:t>
            </w:r>
            <w:r w:rsidR="00A949A3"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r w:rsidRPr="0017524B">
              <w:rPr>
                <w:rFonts w:ascii="Times New Roman" w:hAnsi="Times New Roman"/>
                <w:b/>
                <w:sz w:val="22"/>
                <w:szCs w:val="22"/>
              </w:rPr>
              <w:t xml:space="preserve"> ове препоруке потребна је измена</w:t>
            </w:r>
            <w:r w:rsidR="00276446" w:rsidRPr="0017524B">
              <w:rPr>
                <w:rFonts w:ascii="Times New Roman" w:hAnsi="Times New Roman"/>
                <w:b/>
                <w:sz w:val="22"/>
                <w:szCs w:val="22"/>
              </w:rPr>
              <w:t xml:space="preserve"> Правилника о садржини Регистра привредних субјеката и документа</w:t>
            </w:r>
            <w:r w:rsidR="00E6127D">
              <w:rPr>
                <w:rFonts w:ascii="Times New Roman" w:hAnsi="Times New Roman"/>
                <w:b/>
                <w:sz w:val="22"/>
                <w:szCs w:val="22"/>
              </w:rPr>
              <w:t>цији потребној за регистрацију.</w:t>
            </w:r>
          </w:p>
          <w:p w:rsidR="00E6127D" w:rsidRDefault="00E6127D" w:rsidP="00E6127D">
            <w:pPr>
              <w:jc w:val="left"/>
              <w:rPr>
                <w:rFonts w:ascii="Times New Roman" w:eastAsia="Times New Roman" w:hAnsi="Times New Roman"/>
                <w:b/>
                <w:color w:val="92D050"/>
              </w:rPr>
            </w:pPr>
          </w:p>
          <w:p w:rsidR="00E6127D" w:rsidRPr="00E6127D" w:rsidRDefault="00E6127D" w:rsidP="00E6127D">
            <w:pPr>
              <w:jc w:val="left"/>
              <w:rPr>
                <w:rFonts w:ascii="Times New Roman" w:eastAsia="Times New Roman" w:hAnsi="Times New Roman"/>
                <w:b/>
                <w:color w:val="92D050"/>
              </w:rPr>
            </w:pPr>
          </w:p>
          <w:p w:rsidR="00BC3E65" w:rsidRPr="0054072B" w:rsidRDefault="00BC3E65" w:rsidP="009609C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BC3E65" w:rsidRPr="0054072B" w:rsidRDefault="00247926" w:rsidP="00BC3E65">
            <w:pPr>
              <w:ind w:left="3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3.2</w:t>
            </w:r>
            <w:r w:rsidR="00C974EE">
              <w:rPr>
                <w:rFonts w:ascii="Times New Roman" w:eastAsia="Times New Roman" w:hAnsi="Times New Roman"/>
                <w:b/>
                <w:sz w:val="22"/>
                <w:szCs w:val="22"/>
              </w:rPr>
              <w:tab/>
            </w:r>
            <w:bookmarkStart w:id="0" w:name="_GoBack"/>
            <w:bookmarkEnd w:id="0"/>
            <w:r w:rsidR="00C974EE" w:rsidRPr="00C974EE">
              <w:rPr>
                <w:rFonts w:ascii="Times New Roman" w:eastAsia="Times New Roman" w:hAnsi="Times New Roman"/>
                <w:b/>
                <w:sz w:val="22"/>
                <w:szCs w:val="22"/>
              </w:rPr>
              <w:t>Увођење е-управе по испуњењу свих техничких предуслова и када све надлежне институције буду своје податке учиниле доступним у електронској форми.</w:t>
            </w:r>
          </w:p>
          <w:p w:rsidR="00BC3E65" w:rsidRPr="0054072B" w:rsidRDefault="00BC3E65" w:rsidP="00BC3E65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D56B89" w:rsidRPr="004C6874" w:rsidRDefault="00D56B89" w:rsidP="00D56B8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потпуно увођење е-управе</w:t>
            </w:r>
            <w:r w:rsidRPr="004C687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C3E65" w:rsidRPr="0054072B" w:rsidRDefault="00BC3E65" w:rsidP="00D56B8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BC3E65" w:rsidRPr="0054072B" w:rsidRDefault="00BC3E65" w:rsidP="00BC3E65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4072B">
              <w:rPr>
                <w:rFonts w:ascii="Times New Roman" w:eastAsia="Times New Roman" w:hAnsi="Times New Roman"/>
                <w:sz w:val="22"/>
                <w:szCs w:val="22"/>
              </w:rPr>
              <w:t>За примену ове препоруке, није неопходна измена прописа.</w:t>
            </w:r>
          </w:p>
          <w:p w:rsidR="00D80A3B" w:rsidRPr="0054072B" w:rsidRDefault="00D80A3B" w:rsidP="00BC3E65">
            <w:pPr>
              <w:ind w:left="360"/>
              <w:rPr>
                <w:rFonts w:ascii="Times New Roman" w:eastAsia="Times New Roman" w:hAnsi="Times New Roman"/>
                <w:color w:val="9BBB59" w:themeColor="accent3"/>
                <w:sz w:val="22"/>
                <w:szCs w:val="22"/>
              </w:rPr>
            </w:pPr>
          </w:p>
          <w:p w:rsidR="00D80A3B" w:rsidRPr="0054072B" w:rsidRDefault="00D80A3B" w:rsidP="0024792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4C687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407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C687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4C6874" w:rsidRPr="006A31B9" w:rsidRDefault="004C6874" w:rsidP="004C6874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4C6874" w:rsidRDefault="004C6874" w:rsidP="004C68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4C6874" w:rsidRDefault="004C6874" w:rsidP="004C68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4C6874" w:rsidRDefault="004C6874" w:rsidP="004C68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4C6874" w:rsidRPr="00442E8A" w:rsidRDefault="004C6874" w:rsidP="004C68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 1.</w:t>
            </w:r>
          </w:p>
          <w:p w:rsidR="00CA1CE9" w:rsidRDefault="004C6874" w:rsidP="004351F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28393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садржини Регистра привредних субјеката и 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цији потребној за регистрацију („Службени гласник РС”, број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16), после члана 62. додаје се наслов „Регистрација обуставе стечаја” и нови члан 62а, који гласи:</w:t>
            </w:r>
          </w:p>
          <w:p w:rsidR="004351FC" w:rsidRDefault="004351FC" w:rsidP="004C6874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”Уз пријаву обуставе стечаја прилаже се: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длука о именовању законског заступника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ешење надлежне институције о давању дозволе за рад,за брокерско дилерска друштва, банке, берзе, друштва за управљање, друштва за осигурање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говор о продаји стечајног дужника као правног лица, ако до </w:t>
            </w:r>
            <w:r>
              <w:rPr>
                <w:rFonts w:ascii="Times New Roman" w:hAnsi="Times New Roman"/>
                <w:sz w:val="22"/>
                <w:szCs w:val="22"/>
              </w:rPr>
              <w:t>обуставе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 стечајног поступка долази услед  продаје стечајног дужника као правног лица која за последицу нема брисање, већ спровођење промене података о стечајном дужнику у Регистру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новог члана/чланова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друштва, копија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 пасоша или личне карте за физичко лице, односно извод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 надлежног регистра за правно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 лице, не старији од 6 месеци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длука над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лежног органа друштва о промени или 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именовању органа друштва или промени других статусних податакаако до </w:t>
            </w:r>
            <w:r>
              <w:rPr>
                <w:rFonts w:ascii="Times New Roman" w:hAnsi="Times New Roman"/>
                <w:sz w:val="22"/>
                <w:szCs w:val="22"/>
              </w:rPr>
              <w:t>обуставе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 стечајног поступка долази услед продаје стечајног дужника као правног лица која за последицу нема брисање, већ спровођење промене података о стечајном дужнику у Регистру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змене оснивачког акта и пречишћен текст оснивачког акта (ако се мења правна форма) и/или статут (ако је реч о акционарском друштву),  када до обуставе стечајног поступка долази услед  продаје стечајног дужника као правног лица која за последицу нема брисање, већ спровођење промене података о стечајном дужнику у Регистру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редлог одлуке о промени правне форме,када је обустављен стечајни поступак  услед продаје стечајног дужника као правног лица, а стечајни дужник је  акционарско друштво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4C6874" w:rsidRPr="0054072B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потврда 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Централног регистра депо и клиринг хартија од вредности, када је обустављен стечајни поступак  услед продаје стечајног дужника као правног лица, а стечајни дужник је  акционарско друштво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351FC" w:rsidRDefault="004351FC" w:rsidP="004351FC">
            <w:pPr>
              <w:pStyle w:val="ListParagraph"/>
              <w:numPr>
                <w:ilvl w:val="0"/>
                <w:numId w:val="35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</w:t>
            </w:r>
            <w:r w:rsidR="004C6874" w:rsidRPr="0054072B">
              <w:rPr>
                <w:rFonts w:ascii="Times New Roman" w:hAnsi="Times New Roman"/>
                <w:sz w:val="22"/>
                <w:szCs w:val="22"/>
              </w:rPr>
              <w:t>длука о промени правне форме, када је обустављен стечајни поступак  услед продаје стечајног дужника као правног лица, а стечајни дужник је  акционарско друштво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оригиналу.”</w:t>
            </w:r>
          </w:p>
          <w:p w:rsidR="009F3DDF" w:rsidRDefault="009F3DDF" w:rsidP="009F3DDF">
            <w:pPr>
              <w:rPr>
                <w:rFonts w:ascii="Times New Roman" w:hAnsi="Times New Roman"/>
              </w:rPr>
            </w:pPr>
          </w:p>
          <w:p w:rsidR="009F3DDF" w:rsidRDefault="00A72830" w:rsidP="00436EA0">
            <w:pPr>
              <w:rPr>
                <w:rFonts w:ascii="Times New Roman" w:hAnsi="Times New Roman"/>
                <w:sz w:val="22"/>
                <w:lang w:val="sr-Cyrl-BA"/>
              </w:rPr>
            </w:pPr>
            <w:r w:rsidRPr="00A72830">
              <w:rPr>
                <w:rFonts w:ascii="Times New Roman" w:hAnsi="Times New Roman"/>
                <w:sz w:val="22"/>
                <w:lang w:val="sr-Cyrl-BA"/>
              </w:rPr>
              <w:t>Агенција по службеној дужности прибавља податке из службених евиденција и подносилац захтева није у обавез</w:t>
            </w:r>
            <w:r>
              <w:rPr>
                <w:rFonts w:ascii="Times New Roman" w:hAnsi="Times New Roman"/>
                <w:sz w:val="22"/>
                <w:lang w:val="sr-Cyrl-BA"/>
              </w:rPr>
              <w:t>и да достави документ из става 1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 xml:space="preserve">. тач. </w:t>
            </w:r>
            <w:r>
              <w:rPr>
                <w:rFonts w:ascii="Times New Roman" w:hAnsi="Times New Roman"/>
                <w:sz w:val="22"/>
                <w:lang w:val="sr-Cyrl-BA"/>
              </w:rPr>
              <w:t>2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>)</w:t>
            </w:r>
            <w:r>
              <w:rPr>
                <w:rFonts w:ascii="Times New Roman" w:hAnsi="Times New Roman"/>
                <w:sz w:val="22"/>
                <w:lang w:val="sr-Cyrl-BA"/>
              </w:rPr>
              <w:t xml:space="preserve"> и 8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>) изузев ако изјави да ће те податке прибавити сам.</w:t>
            </w:r>
          </w:p>
          <w:p w:rsidR="00436EA0" w:rsidRPr="009F3DDF" w:rsidRDefault="00436EA0" w:rsidP="00436EA0">
            <w:pPr>
              <w:rPr>
                <w:rFonts w:ascii="Times New Roman" w:hAnsi="Times New Roman"/>
                <w:sz w:val="22"/>
                <w:lang w:val="sr-Cyrl-BA"/>
              </w:rPr>
            </w:pPr>
          </w:p>
          <w:p w:rsidR="004351FC" w:rsidRPr="00442E8A" w:rsidRDefault="004351FC" w:rsidP="004351F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Члан 2. </w:t>
            </w:r>
          </w:p>
          <w:p w:rsidR="004C6874" w:rsidRPr="0054072B" w:rsidRDefault="004351FC" w:rsidP="004351FC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 Правилник</w:t>
            </w:r>
            <w:r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ступа на снагу осмог дана од дана објављивања у „Службеном гласнику Републике Србије.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</w:tc>
      </w:tr>
      <w:tr w:rsidR="00CA1CE9" w:rsidRPr="004C6874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407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4C6874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8393D" w:rsidRDefault="0028393D" w:rsidP="004351F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28393D" w:rsidRDefault="0028393D" w:rsidP="004351F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8393D">
              <w:rPr>
                <w:rFonts w:ascii="Times New Roman" w:hAnsi="Times New Roman"/>
                <w:b/>
                <w:bCs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</w:t>
            </w:r>
          </w:p>
          <w:p w:rsidR="0028393D" w:rsidRPr="0028393D" w:rsidRDefault="0028393D" w:rsidP="004351F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:rsidR="004351FC" w:rsidRPr="004351FC" w:rsidRDefault="004351FC" w:rsidP="004351F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351FC">
              <w:rPr>
                <w:rFonts w:ascii="Times New Roman" w:eastAsia="Times New Roman" w:hAnsi="Times New Roman"/>
                <w:b/>
                <w:sz w:val="22"/>
                <w:szCs w:val="22"/>
              </w:rPr>
              <w:t>РЕГИСТРАЦИЈА ОБУСТАВЕ СТЕЧАЈА</w:t>
            </w:r>
          </w:p>
          <w:p w:rsidR="004351FC" w:rsidRPr="004351FC" w:rsidRDefault="004351FC" w:rsidP="004351F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4351FC" w:rsidRPr="004351FC" w:rsidRDefault="004351FC" w:rsidP="004351F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351FC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ЧЛАН 62А. </w:t>
            </w:r>
          </w:p>
          <w:p w:rsidR="004351FC" w:rsidRDefault="004351FC" w:rsidP="004351F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4351FC" w:rsidRDefault="004351FC" w:rsidP="004351FC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УЗ ПРИЈАВУ ОБУСТАВЕ СТЕЧАЈА ПРИЛАЖЕ СЕ:</w:t>
            </w:r>
          </w:p>
          <w:p w:rsidR="004351FC" w:rsidRDefault="004351FC" w:rsidP="004351FC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ДЛУКА О ИМЕНОВАЊУ ЗАКОНСКОГ ЗАСТУПНИКА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ЕШЕЊЕ НАДЛЕЖНЕ ИНСТИТУЦИЈЕ О ДАВАЊУ ДОЗВОЛЕ ЗА РАД,ЗА БРОКЕРСКО ДИЛЕРСКА ДРУШТВА, БАНКЕ, БЕРЗЕ, ДРУШТВА ЗА УПРАВЉАЊЕ, ДРУШТВА ЗА ОСИГУРАЊЕ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ГОВОР О ПРОДАЈИ СТЕЧАЈНОГ ДУЖНИКА КАО ПРАВНОГ ЛИЦА, АКО ДО </w:t>
            </w:r>
            <w:r>
              <w:rPr>
                <w:rFonts w:ascii="Times New Roman" w:hAnsi="Times New Roman"/>
                <w:sz w:val="22"/>
                <w:szCs w:val="22"/>
              </w:rPr>
              <w:t>ОБУСТАВЕ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СТЕЧАЈНОГ ПОСТУПКА ДОЛАЗИ УСЛЕД  ПРОДАЈЕ СТЕЧАЈНОГ ДУЖНИКА КАО ПРАВНОГ ЛИЦА КОЈА ЗА ПОСЛЕДИЦУ НЕМА БРИСАЊЕ, ВЕЋ СПРОВОЂЕЊЕ ПРОМЕНЕ ПОДАТАКА О СТЕЧАЈНОМ ДУЖНИКУ У РЕГИСТРУ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НОВОГ ЧЛАНА/ЧЛАНОВА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ДРУШТВА, КОПИЈА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ПАСОША ИЛИ ЛИЧНЕ КАРТЕ ЗА ФИЗИЧКО ЛИЦЕ, ОДНОСНО ИЗВОД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 НАДЛЕЖНОГ РЕГИСТРА ЗА ПРАВНО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ЛИЦЕ, НЕ СТАРИЈИ ОД 6 МЕСЕЦИ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ДЛУКА НАД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ЛЕЖНОГ ОРГАНА ДРУШТВА О ПРОМЕНИ ИЛИ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ИМЕНОВАЊУ ОРГАНА ДРУШТВА ИЛИ ПРОМЕНИ ДРУГИХ СТАТУСНИХ ПОДАТАКААКО ДО </w:t>
            </w:r>
            <w:r>
              <w:rPr>
                <w:rFonts w:ascii="Times New Roman" w:hAnsi="Times New Roman"/>
                <w:sz w:val="22"/>
                <w:szCs w:val="22"/>
              </w:rPr>
              <w:t>ОБУСТАВЕ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 СТЕЧАЈНОГ ПОСТУПКА ДОЛАЗИ УСЛЕД ПРОДАЈЕ СТЕЧАЈНОГ ДУЖНИКА КАО ПРАВНОГ ЛИЦА КОЈА ЗА ПОСЛЕДИЦУ НЕМА БРИСАЊЕ, ВЕЋ СПРОВОЂЕЊЕ ПРОМЕНЕ ПОДАТАКА О СТЕЧАЈНОМ ДУЖНИКУ У РЕГИСТРУ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ЗМЕНЕ ОСНИВАЧКОГ АКТА И ПРЕЧИШЋЕН ТЕКСТ ОСНИВАЧКОГ АКТА (АКО СЕ МЕЊА ПРАВНА ФОРМА) И/ИЛИ СТАТУТ (АКО ЈЕ РЕЧ О АКЦИОНАРСКОМ ДРУШТВУ),  КАДА ДО ОБУСТАВЕ СТЕЧАЈНОГ ПОСТУПКА ДОЛАЗИ УСЛЕД  ПРОДАЈЕ СТЕЧАЈНОГ ДУЖНИКА КАО ПРАВНОГ ЛИЦА КОЈА ЗА ПОСЛЕДИЦУ НЕМА БРИСАЊЕ, ВЕЋ СПРОВОЂЕЊЕ ПРОМЕНЕ ПОДАТАКА О СТЕЧАЈНОМ ДУЖНИКУ У РЕГИСТРУ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4351F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РЕДЛОГ ОДЛУКЕ О ПРОМЕНИ ПРАВНЕ ФОРМЕ,КАДА ЈЕ ОБУСТАВЉЕН СТЕЧАЈНИ ПОСТУПАК  УСЛЕД ПРОДАЈЕ СТЕЧАЈНОГ ДУЖНИКА КАО ПРАВНОГ ЛИЦА, А СТЕЧАЈНИ ДУЖНИК ЈЕ  АКЦИОНАРСКО ДРУШТВО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4351FC" w:rsidRPr="0054072B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ПОТВРДА 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ЦЕНТРАЛНОГ РЕГИСТРА ДЕПО И КЛИРИНГ ХАРТИЈА ОД ВРЕДНОСТИ, КАДА ЈЕ ОБУСТАВЉЕН СТЕЧАЈНИ ПОСТУПАК  УСЛЕД ПРОДАЈЕ СТЕЧАЈНОГ ДУЖНИКА КАО ПРАВНОГ ЛИЦА, А СТЕЧАЈНИ ДУЖНИК ЈЕ  АКЦИОНАРСКО ДРУШТВО</w:t>
            </w:r>
            <w:r>
              <w:rPr>
                <w:rFonts w:ascii="Times New Roman" w:hAnsi="Times New Roman"/>
                <w:sz w:val="22"/>
                <w:szCs w:val="22"/>
              </w:rPr>
              <w:t>, У КОПИЈИ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1CE9" w:rsidRDefault="004351FC" w:rsidP="004351FC">
            <w:pPr>
              <w:pStyle w:val="ListParagraph"/>
              <w:numPr>
                <w:ilvl w:val="0"/>
                <w:numId w:val="37"/>
              </w:numPr>
              <w:ind w:left="64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</w:t>
            </w:r>
            <w:r w:rsidRPr="0054072B">
              <w:rPr>
                <w:rFonts w:ascii="Times New Roman" w:hAnsi="Times New Roman"/>
                <w:sz w:val="22"/>
                <w:szCs w:val="22"/>
              </w:rPr>
              <w:t>ДЛУКА О ПРОМЕНИ ПРАВНЕ ФОРМЕ, КАДА ЈЕ ОБУСТАВЉЕН СТЕЧАЈНИ ПОСТУПАК  УСЛЕД ПРОДАЈЕ СТЕЧАЈНОГ ДУЖНИКА КАО ПРАВНОГ ЛИЦА, А СТЕЧАЈНИ ДУЖНИК ЈЕ  АКЦИОНАРСКО ДРУШТВО</w:t>
            </w:r>
            <w:r>
              <w:rPr>
                <w:rFonts w:ascii="Times New Roman" w:hAnsi="Times New Roman"/>
                <w:sz w:val="22"/>
                <w:szCs w:val="22"/>
              </w:rPr>
              <w:t>, У ОРИГИНАЛУ.</w:t>
            </w:r>
          </w:p>
          <w:p w:rsidR="004351FC" w:rsidRDefault="004351FC" w:rsidP="009F3DDF">
            <w:pPr>
              <w:ind w:left="288"/>
              <w:rPr>
                <w:rFonts w:ascii="Times New Roman" w:hAnsi="Times New Roman"/>
              </w:rPr>
            </w:pPr>
          </w:p>
          <w:p w:rsidR="00A72830" w:rsidRDefault="00A72830" w:rsidP="00A72830">
            <w:pPr>
              <w:rPr>
                <w:rFonts w:ascii="Times New Roman" w:hAnsi="Times New Roman"/>
                <w:sz w:val="22"/>
                <w:lang w:val="sr-Cyrl-BA"/>
              </w:rPr>
            </w:pPr>
            <w:r w:rsidRPr="00A72830">
              <w:rPr>
                <w:rFonts w:ascii="Times New Roman" w:hAnsi="Times New Roman"/>
                <w:sz w:val="22"/>
                <w:lang w:val="sr-Cyrl-BA"/>
              </w:rPr>
              <w:t>АГЕНЦИЈА ПО СЛУЖБЕНОЈ ДУЖНОСТИ ПРИБАВЉА ПОДАТКЕ ИЗ СЛУЖБЕНИХ ЕВИДЕНЦИЈА И ПОДНОСИЛАЦ ЗАХТЕВА НИЈЕ У ОБАВЕЗ</w:t>
            </w:r>
            <w:r>
              <w:rPr>
                <w:rFonts w:ascii="Times New Roman" w:hAnsi="Times New Roman"/>
                <w:sz w:val="22"/>
                <w:lang w:val="sr-Cyrl-BA"/>
              </w:rPr>
              <w:t>И ДА ДОСТАВИ ДОКУМЕНТ ИЗ СТАВА 1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 xml:space="preserve">. ТАЧ. </w:t>
            </w:r>
            <w:r>
              <w:rPr>
                <w:rFonts w:ascii="Times New Roman" w:hAnsi="Times New Roman"/>
                <w:sz w:val="22"/>
                <w:lang w:val="sr-Cyrl-BA"/>
              </w:rPr>
              <w:t>2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>),</w:t>
            </w:r>
            <w:r>
              <w:rPr>
                <w:rFonts w:ascii="Times New Roman" w:hAnsi="Times New Roman"/>
                <w:sz w:val="22"/>
                <w:lang w:val="sr-Cyrl-BA"/>
              </w:rPr>
              <w:t xml:space="preserve"> И 8</w:t>
            </w:r>
            <w:r w:rsidRPr="00A72830">
              <w:rPr>
                <w:rFonts w:ascii="Times New Roman" w:hAnsi="Times New Roman"/>
                <w:sz w:val="22"/>
                <w:lang w:val="sr-Cyrl-BA"/>
              </w:rPr>
              <w:t>), ИЗУЗЕВ АКО ИЗЈАВИ ДА ЋЕ ТЕ ПОДАТКЕ ПРИБАВИТИ САМ.</w:t>
            </w:r>
          </w:p>
          <w:p w:rsidR="009F3DDF" w:rsidRPr="009F3DDF" w:rsidRDefault="009F3DDF" w:rsidP="009F3DDF">
            <w:pPr>
              <w:ind w:left="288"/>
              <w:rPr>
                <w:rFonts w:ascii="Times New Roman" w:hAnsi="Times New Roman"/>
              </w:rPr>
            </w:pPr>
          </w:p>
        </w:tc>
      </w:tr>
      <w:tr w:rsidR="00CA1CE9" w:rsidRPr="0054072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407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4072B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54072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70AF8" w:rsidRPr="00976E30" w:rsidRDefault="00C70AF8" w:rsidP="00C70AF8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976E3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 нивоу износе 737.619,70</w:t>
            </w:r>
            <w:r w:rsidRPr="00976E3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Усвајање и примена препорука ће донети привредним субјектима 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 директне уштеде од 62.</w:t>
            </w:r>
            <w:r w:rsidR="00B07E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599,96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 или 51</w:t>
            </w:r>
            <w:r w:rsidR="00B07E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</w:t>
            </w:r>
            <w:r w:rsidR="00B07E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ЕУР. Ове уштеде износе 8,4</w:t>
            </w:r>
            <w:r w:rsidR="00B07E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  <w:r w:rsidRPr="00976E3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% укупних директних трошкова привредних субјеката у поступку.</w:t>
            </w:r>
          </w:p>
          <w:p w:rsidR="00C70AF8" w:rsidRPr="00976E30" w:rsidRDefault="00C70AF8" w:rsidP="00C70AF8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976E3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54072B" w:rsidRDefault="00C70AF8" w:rsidP="00C70AF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976E3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 препоруке ће допринети поједностављењу административног поступка и побољшању пословног амбијента и истоветности поступања.</w:t>
            </w:r>
          </w:p>
        </w:tc>
      </w:tr>
    </w:tbl>
    <w:p w:rsidR="003E3C16" w:rsidRPr="0054072B" w:rsidRDefault="003E3C16" w:rsidP="003E3C16">
      <w:pPr>
        <w:rPr>
          <w:rFonts w:ascii="Times New Roman" w:eastAsia="Times New Roman" w:hAnsi="Times New Roman"/>
        </w:rPr>
      </w:pPr>
    </w:p>
    <w:sectPr w:rsidR="003E3C16" w:rsidRPr="0054072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A16" w:rsidRDefault="00E35A16" w:rsidP="002A202F">
      <w:r>
        <w:separator/>
      </w:r>
    </w:p>
  </w:endnote>
  <w:endnote w:type="continuationSeparator" w:id="0">
    <w:p w:rsidR="00E35A16" w:rsidRDefault="00E35A1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1E7EE5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C974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A16" w:rsidRDefault="00E35A16" w:rsidP="002A202F">
      <w:r>
        <w:separator/>
      </w:r>
    </w:p>
  </w:footnote>
  <w:footnote w:type="continuationSeparator" w:id="0">
    <w:p w:rsidR="00E35A16" w:rsidRDefault="00E35A1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D2175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E535AA"/>
    <w:multiLevelType w:val="hybridMultilevel"/>
    <w:tmpl w:val="12FCA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56652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8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0375C20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8C36C6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B8C0EFB"/>
    <w:multiLevelType w:val="hybridMultilevel"/>
    <w:tmpl w:val="BDFAA8DE"/>
    <w:lvl w:ilvl="0" w:tplc="6308916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A5EF2"/>
    <w:multiLevelType w:val="hybridMultilevel"/>
    <w:tmpl w:val="895E46C8"/>
    <w:lvl w:ilvl="0" w:tplc="8154D3F2">
      <w:start w:val="1"/>
      <w:numFmt w:val="decimal"/>
      <w:lvlText w:val="%1."/>
      <w:lvlJc w:val="left"/>
      <w:pPr>
        <w:ind w:left="53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2"/>
  </w:num>
  <w:num w:numId="4">
    <w:abstractNumId w:val="10"/>
  </w:num>
  <w:num w:numId="5">
    <w:abstractNumId w:val="6"/>
  </w:num>
  <w:num w:numId="6">
    <w:abstractNumId w:val="20"/>
  </w:num>
  <w:num w:numId="7">
    <w:abstractNumId w:val="34"/>
  </w:num>
  <w:num w:numId="8">
    <w:abstractNumId w:val="17"/>
  </w:num>
  <w:num w:numId="9">
    <w:abstractNumId w:val="32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8"/>
  </w:num>
  <w:num w:numId="17">
    <w:abstractNumId w:val="16"/>
  </w:num>
  <w:num w:numId="18">
    <w:abstractNumId w:val="33"/>
  </w:num>
  <w:num w:numId="19">
    <w:abstractNumId w:val="11"/>
  </w:num>
  <w:num w:numId="20">
    <w:abstractNumId w:val="36"/>
  </w:num>
  <w:num w:numId="21">
    <w:abstractNumId w:val="12"/>
  </w:num>
  <w:num w:numId="22">
    <w:abstractNumId w:val="9"/>
  </w:num>
  <w:num w:numId="23">
    <w:abstractNumId w:val="24"/>
  </w:num>
  <w:num w:numId="24">
    <w:abstractNumId w:val="0"/>
  </w:num>
  <w:num w:numId="25">
    <w:abstractNumId w:val="7"/>
  </w:num>
  <w:num w:numId="26">
    <w:abstractNumId w:val="21"/>
  </w:num>
  <w:num w:numId="27">
    <w:abstractNumId w:val="8"/>
  </w:num>
  <w:num w:numId="28">
    <w:abstractNumId w:val="4"/>
  </w:num>
  <w:num w:numId="29">
    <w:abstractNumId w:val="31"/>
  </w:num>
  <w:num w:numId="30">
    <w:abstractNumId w:val="5"/>
  </w:num>
  <w:num w:numId="31">
    <w:abstractNumId w:val="35"/>
  </w:num>
  <w:num w:numId="32">
    <w:abstractNumId w:val="19"/>
  </w:num>
  <w:num w:numId="33">
    <w:abstractNumId w:val="30"/>
  </w:num>
  <w:num w:numId="34">
    <w:abstractNumId w:val="1"/>
  </w:num>
  <w:num w:numId="35">
    <w:abstractNumId w:val="13"/>
  </w:num>
  <w:num w:numId="36">
    <w:abstractNumId w:val="3"/>
  </w:num>
  <w:num w:numId="37">
    <w:abstractNumId w:val="14"/>
  </w:num>
  <w:num w:numId="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5FB3"/>
    <w:rsid w:val="00036812"/>
    <w:rsid w:val="00044F35"/>
    <w:rsid w:val="00044F63"/>
    <w:rsid w:val="00050616"/>
    <w:rsid w:val="00061070"/>
    <w:rsid w:val="0007748A"/>
    <w:rsid w:val="000814F8"/>
    <w:rsid w:val="00083993"/>
    <w:rsid w:val="00092B84"/>
    <w:rsid w:val="0009542A"/>
    <w:rsid w:val="000A53F3"/>
    <w:rsid w:val="000A5CDC"/>
    <w:rsid w:val="000A751F"/>
    <w:rsid w:val="000B54D7"/>
    <w:rsid w:val="000B7800"/>
    <w:rsid w:val="000D5029"/>
    <w:rsid w:val="000E2036"/>
    <w:rsid w:val="000F5E72"/>
    <w:rsid w:val="001156BA"/>
    <w:rsid w:val="00140390"/>
    <w:rsid w:val="0015182D"/>
    <w:rsid w:val="00161847"/>
    <w:rsid w:val="00170CA7"/>
    <w:rsid w:val="001711C5"/>
    <w:rsid w:val="0017524B"/>
    <w:rsid w:val="001A023F"/>
    <w:rsid w:val="001A1C9D"/>
    <w:rsid w:val="001A3FAC"/>
    <w:rsid w:val="001A6472"/>
    <w:rsid w:val="001C5538"/>
    <w:rsid w:val="001D0EDE"/>
    <w:rsid w:val="001D20E2"/>
    <w:rsid w:val="001E38DE"/>
    <w:rsid w:val="001E7EE5"/>
    <w:rsid w:val="001F7B31"/>
    <w:rsid w:val="0020601F"/>
    <w:rsid w:val="00212DA5"/>
    <w:rsid w:val="0021347C"/>
    <w:rsid w:val="002222EC"/>
    <w:rsid w:val="0022357E"/>
    <w:rsid w:val="002323AC"/>
    <w:rsid w:val="00244666"/>
    <w:rsid w:val="00247926"/>
    <w:rsid w:val="00256E3F"/>
    <w:rsid w:val="00261404"/>
    <w:rsid w:val="002673B0"/>
    <w:rsid w:val="00275E2A"/>
    <w:rsid w:val="00276446"/>
    <w:rsid w:val="0028393D"/>
    <w:rsid w:val="00284373"/>
    <w:rsid w:val="00296938"/>
    <w:rsid w:val="002A0C8F"/>
    <w:rsid w:val="002A202F"/>
    <w:rsid w:val="002B1950"/>
    <w:rsid w:val="002B19B4"/>
    <w:rsid w:val="002F1BEC"/>
    <w:rsid w:val="002F4757"/>
    <w:rsid w:val="003152CF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E6F43"/>
    <w:rsid w:val="004029AB"/>
    <w:rsid w:val="00404F0B"/>
    <w:rsid w:val="00407D96"/>
    <w:rsid w:val="00432495"/>
    <w:rsid w:val="004351FC"/>
    <w:rsid w:val="00436EA0"/>
    <w:rsid w:val="00442D0B"/>
    <w:rsid w:val="00444DA7"/>
    <w:rsid w:val="00447ECD"/>
    <w:rsid w:val="00457882"/>
    <w:rsid w:val="00463CC7"/>
    <w:rsid w:val="0047118B"/>
    <w:rsid w:val="004809C4"/>
    <w:rsid w:val="0048433C"/>
    <w:rsid w:val="004847B1"/>
    <w:rsid w:val="0049545B"/>
    <w:rsid w:val="004968A4"/>
    <w:rsid w:val="004C6874"/>
    <w:rsid w:val="004D3BD0"/>
    <w:rsid w:val="004D45B1"/>
    <w:rsid w:val="004D68A7"/>
    <w:rsid w:val="004E29D1"/>
    <w:rsid w:val="00500566"/>
    <w:rsid w:val="005073A3"/>
    <w:rsid w:val="00523608"/>
    <w:rsid w:val="00525C0A"/>
    <w:rsid w:val="00525F03"/>
    <w:rsid w:val="00530133"/>
    <w:rsid w:val="00535608"/>
    <w:rsid w:val="0054072B"/>
    <w:rsid w:val="005542BB"/>
    <w:rsid w:val="00556688"/>
    <w:rsid w:val="0056162B"/>
    <w:rsid w:val="00562B33"/>
    <w:rsid w:val="0056707B"/>
    <w:rsid w:val="00581A9D"/>
    <w:rsid w:val="00582C92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50C7"/>
    <w:rsid w:val="00692071"/>
    <w:rsid w:val="00694B28"/>
    <w:rsid w:val="006B1212"/>
    <w:rsid w:val="006C5349"/>
    <w:rsid w:val="006C5F2A"/>
    <w:rsid w:val="006C662C"/>
    <w:rsid w:val="006F4A5C"/>
    <w:rsid w:val="00700016"/>
    <w:rsid w:val="00715F5C"/>
    <w:rsid w:val="007278C1"/>
    <w:rsid w:val="00733493"/>
    <w:rsid w:val="00737F1D"/>
    <w:rsid w:val="00782816"/>
    <w:rsid w:val="00785A46"/>
    <w:rsid w:val="007861E3"/>
    <w:rsid w:val="00791BDE"/>
    <w:rsid w:val="007940D6"/>
    <w:rsid w:val="007947D0"/>
    <w:rsid w:val="007B1740"/>
    <w:rsid w:val="007C61B5"/>
    <w:rsid w:val="007D3889"/>
    <w:rsid w:val="007D39E4"/>
    <w:rsid w:val="007D43A7"/>
    <w:rsid w:val="007E1695"/>
    <w:rsid w:val="007F204C"/>
    <w:rsid w:val="007F5214"/>
    <w:rsid w:val="00804060"/>
    <w:rsid w:val="00807B20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816A7"/>
    <w:rsid w:val="00886C36"/>
    <w:rsid w:val="008A6AC8"/>
    <w:rsid w:val="008C5591"/>
    <w:rsid w:val="008D04A6"/>
    <w:rsid w:val="008D4C1A"/>
    <w:rsid w:val="008D5986"/>
    <w:rsid w:val="008E0C22"/>
    <w:rsid w:val="008F0867"/>
    <w:rsid w:val="008F172F"/>
    <w:rsid w:val="008F2044"/>
    <w:rsid w:val="008F2BE1"/>
    <w:rsid w:val="008F4DD1"/>
    <w:rsid w:val="00903A4B"/>
    <w:rsid w:val="009056DB"/>
    <w:rsid w:val="00925418"/>
    <w:rsid w:val="00947592"/>
    <w:rsid w:val="00950280"/>
    <w:rsid w:val="00951114"/>
    <w:rsid w:val="00957698"/>
    <w:rsid w:val="009609C9"/>
    <w:rsid w:val="009673E5"/>
    <w:rsid w:val="00991A18"/>
    <w:rsid w:val="00994A16"/>
    <w:rsid w:val="009A30D3"/>
    <w:rsid w:val="009D03A7"/>
    <w:rsid w:val="009D28CE"/>
    <w:rsid w:val="009E0479"/>
    <w:rsid w:val="009E73C2"/>
    <w:rsid w:val="009F2D3E"/>
    <w:rsid w:val="009F3DDF"/>
    <w:rsid w:val="00A0102E"/>
    <w:rsid w:val="00A12960"/>
    <w:rsid w:val="00A1570D"/>
    <w:rsid w:val="00A22386"/>
    <w:rsid w:val="00A56B75"/>
    <w:rsid w:val="00A71C04"/>
    <w:rsid w:val="00A72830"/>
    <w:rsid w:val="00A949A3"/>
    <w:rsid w:val="00AA0017"/>
    <w:rsid w:val="00AA4BC5"/>
    <w:rsid w:val="00AB09B3"/>
    <w:rsid w:val="00AB7F05"/>
    <w:rsid w:val="00AC02D1"/>
    <w:rsid w:val="00AF1C54"/>
    <w:rsid w:val="00B06019"/>
    <w:rsid w:val="00B07409"/>
    <w:rsid w:val="00B07E8E"/>
    <w:rsid w:val="00B1006E"/>
    <w:rsid w:val="00B178FB"/>
    <w:rsid w:val="00B5252A"/>
    <w:rsid w:val="00B63DB1"/>
    <w:rsid w:val="00B67138"/>
    <w:rsid w:val="00B6715C"/>
    <w:rsid w:val="00B81CFE"/>
    <w:rsid w:val="00B82111"/>
    <w:rsid w:val="00B903AE"/>
    <w:rsid w:val="00B9157F"/>
    <w:rsid w:val="00B95225"/>
    <w:rsid w:val="00BA55D3"/>
    <w:rsid w:val="00BA63C9"/>
    <w:rsid w:val="00BA6759"/>
    <w:rsid w:val="00BA7204"/>
    <w:rsid w:val="00BB2C8C"/>
    <w:rsid w:val="00BC3E65"/>
    <w:rsid w:val="00BC4DB9"/>
    <w:rsid w:val="00BC6826"/>
    <w:rsid w:val="00C0295C"/>
    <w:rsid w:val="00C03C06"/>
    <w:rsid w:val="00C045D7"/>
    <w:rsid w:val="00C121EC"/>
    <w:rsid w:val="00C12C65"/>
    <w:rsid w:val="00C445E2"/>
    <w:rsid w:val="00C70AF8"/>
    <w:rsid w:val="00C70F1B"/>
    <w:rsid w:val="00C7129D"/>
    <w:rsid w:val="00C748D1"/>
    <w:rsid w:val="00C91014"/>
    <w:rsid w:val="00C974EE"/>
    <w:rsid w:val="00CA1CE9"/>
    <w:rsid w:val="00CB1A4E"/>
    <w:rsid w:val="00CC0EA2"/>
    <w:rsid w:val="00CC29F6"/>
    <w:rsid w:val="00CD2287"/>
    <w:rsid w:val="00CD5BBB"/>
    <w:rsid w:val="00CE0685"/>
    <w:rsid w:val="00D25904"/>
    <w:rsid w:val="00D26E1B"/>
    <w:rsid w:val="00D37EA5"/>
    <w:rsid w:val="00D56544"/>
    <w:rsid w:val="00D56B89"/>
    <w:rsid w:val="00D73628"/>
    <w:rsid w:val="00D73918"/>
    <w:rsid w:val="00D80A3B"/>
    <w:rsid w:val="00D967D7"/>
    <w:rsid w:val="00DA125D"/>
    <w:rsid w:val="00DB19B9"/>
    <w:rsid w:val="00DC4BC2"/>
    <w:rsid w:val="00DD5F9C"/>
    <w:rsid w:val="00DE057D"/>
    <w:rsid w:val="00E0020F"/>
    <w:rsid w:val="00E107A4"/>
    <w:rsid w:val="00E118C7"/>
    <w:rsid w:val="00E1427B"/>
    <w:rsid w:val="00E14E0D"/>
    <w:rsid w:val="00E2143C"/>
    <w:rsid w:val="00E22B8B"/>
    <w:rsid w:val="00E317D1"/>
    <w:rsid w:val="00E35A16"/>
    <w:rsid w:val="00E40DF0"/>
    <w:rsid w:val="00E4267B"/>
    <w:rsid w:val="00E47DAC"/>
    <w:rsid w:val="00E6127D"/>
    <w:rsid w:val="00E63C8A"/>
    <w:rsid w:val="00E70BF6"/>
    <w:rsid w:val="00E73A56"/>
    <w:rsid w:val="00E9301B"/>
    <w:rsid w:val="00EA6128"/>
    <w:rsid w:val="00F06234"/>
    <w:rsid w:val="00F11C98"/>
    <w:rsid w:val="00F12E47"/>
    <w:rsid w:val="00F20287"/>
    <w:rsid w:val="00F223B2"/>
    <w:rsid w:val="00F469AB"/>
    <w:rsid w:val="00F53241"/>
    <w:rsid w:val="00F67790"/>
    <w:rsid w:val="00F841CD"/>
    <w:rsid w:val="00FB1A1B"/>
    <w:rsid w:val="00FB645B"/>
    <w:rsid w:val="00FC09D6"/>
    <w:rsid w:val="00FC34EC"/>
    <w:rsid w:val="00FC3F69"/>
    <w:rsid w:val="00FC4912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BAC25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1F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30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301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E930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A7B7-02DC-4F37-B48B-0B591B22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1657</Words>
  <Characters>9446</Characters>
  <Application>Microsoft Office Word</Application>
  <DocSecurity>0</DocSecurity>
  <Lines>78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2020-05-21T15:41:00Z</dcterms:created>
  <dcterms:modified xsi:type="dcterms:W3CDTF">2020-06-30T09:57:00Z</dcterms:modified>
</cp:coreProperties>
</file>