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3C3AF5"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B553E8" w:rsidP="00C32351">
            <w:pPr>
              <w:pStyle w:val="NormalWeb"/>
              <w:spacing w:before="120" w:beforeAutospacing="0" w:after="120" w:afterAutospacing="0"/>
              <w:jc w:val="both"/>
              <w:rPr>
                <w:sz w:val="22"/>
                <w:szCs w:val="22"/>
              </w:rPr>
            </w:pPr>
            <w:r w:rsidRPr="00B553E8">
              <w:rPr>
                <w:sz w:val="22"/>
                <w:szCs w:val="22"/>
              </w:rPr>
              <w:t>Регистрација промене података о огранцима туристичке агенције</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3C3AF5" w:rsidRDefault="003C3AF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Pr>
                <w:sz w:val="22"/>
                <w:szCs w:val="22"/>
              </w:rPr>
              <w:t>155</w:t>
            </w:r>
          </w:p>
        </w:tc>
      </w:tr>
      <w:tr w:rsidR="00850AD5" w:rsidRPr="003C3AF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B553E8" w:rsidRDefault="00B553E8" w:rsidP="004446FE">
            <w:pPr>
              <w:pStyle w:val="NormalWeb"/>
              <w:spacing w:before="120" w:beforeAutospacing="0" w:after="120" w:afterAutospacing="0"/>
              <w:rPr>
                <w:sz w:val="22"/>
                <w:szCs w:val="22"/>
              </w:rPr>
            </w:pPr>
            <w:r>
              <w:rPr>
                <w:sz w:val="22"/>
                <w:szCs w:val="22"/>
              </w:rPr>
              <w:t>Агенција за привредне регистре</w:t>
            </w:r>
          </w:p>
        </w:tc>
      </w:tr>
      <w:tr w:rsidR="00850AD5" w:rsidRPr="003C3AF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843D48" w:rsidRPr="004C3811" w:rsidRDefault="00843D48" w:rsidP="00843D48">
            <w:pPr>
              <w:pStyle w:val="ListParagraph"/>
              <w:numPr>
                <w:ilvl w:val="0"/>
                <w:numId w:val="3"/>
              </w:numPr>
              <w:spacing w:before="120" w:after="120"/>
              <w:rPr>
                <w:rFonts w:ascii="Times New Roman" w:hAnsi="Times New Roman"/>
              </w:rPr>
            </w:pPr>
            <w:r>
              <w:rPr>
                <w:rFonts w:ascii="Times New Roman" w:hAnsi="Times New Roman"/>
                <w:sz w:val="22"/>
              </w:rPr>
              <w:t>Закон о туризму („Сл. гласник РС”, брoj 17/19)</w:t>
            </w:r>
          </w:p>
          <w:p w:rsidR="00843D48" w:rsidRPr="0087593A" w:rsidRDefault="00843D48" w:rsidP="00843D48">
            <w:pPr>
              <w:pStyle w:val="ListParagraph"/>
              <w:numPr>
                <w:ilvl w:val="0"/>
                <w:numId w:val="3"/>
              </w:numPr>
              <w:rPr>
                <w:rFonts w:ascii="Times New Roman" w:hAnsi="Times New Roman"/>
                <w:sz w:val="22"/>
              </w:rPr>
            </w:pPr>
            <w:r w:rsidRPr="0087593A">
              <w:rPr>
                <w:rFonts w:ascii="Times New Roman" w:hAnsi="Times New Roman"/>
                <w:sz w:val="22"/>
              </w:rPr>
              <w:t>Закон о поступку регистрације у Агенцији за привр</w:t>
            </w:r>
            <w:r>
              <w:rPr>
                <w:rFonts w:ascii="Times New Roman" w:hAnsi="Times New Roman"/>
                <w:sz w:val="22"/>
              </w:rPr>
              <w:t>едне регистре ( „Сл. гласник РС”, бр. 99/11, 83/14 и 31/19</w:t>
            </w:r>
            <w:r w:rsidRPr="0087593A">
              <w:rPr>
                <w:rFonts w:ascii="Times New Roman" w:hAnsi="Times New Roman"/>
                <w:sz w:val="22"/>
              </w:rPr>
              <w:t>)</w:t>
            </w:r>
          </w:p>
          <w:p w:rsidR="00843D48" w:rsidRPr="0087593A" w:rsidRDefault="00843D48" w:rsidP="00843D48">
            <w:pPr>
              <w:pStyle w:val="ListParagraph"/>
              <w:numPr>
                <w:ilvl w:val="0"/>
                <w:numId w:val="3"/>
              </w:numPr>
              <w:spacing w:before="120" w:after="120"/>
              <w:rPr>
                <w:rFonts w:ascii="Times New Roman" w:hAnsi="Times New Roman"/>
              </w:rPr>
            </w:pPr>
            <w:r w:rsidRPr="0087593A">
              <w:rPr>
                <w:rFonts w:ascii="Times New Roman" w:hAnsi="Times New Roman"/>
                <w:sz w:val="22"/>
              </w:rPr>
              <w:t>Правилник о садржини Регистра туризма и документацији потребн</w:t>
            </w:r>
            <w:r>
              <w:rPr>
                <w:rFonts w:ascii="Times New Roman" w:hAnsi="Times New Roman"/>
                <w:sz w:val="22"/>
              </w:rPr>
              <w:t>ој за регистрацију и евиденцију („Сл. гласник РС”, бр. 55/12, 4/16, 81/19 и 13/20)</w:t>
            </w:r>
          </w:p>
          <w:p w:rsidR="0087593A" w:rsidRPr="00091F0B" w:rsidRDefault="00843D48" w:rsidP="00091F0B">
            <w:pPr>
              <w:pStyle w:val="ListParagraph"/>
              <w:numPr>
                <w:ilvl w:val="0"/>
                <w:numId w:val="3"/>
              </w:numPr>
              <w:spacing w:before="120" w:after="120"/>
              <w:rPr>
                <w:rFonts w:ascii="Times New Roman" w:hAnsi="Times New Roman"/>
              </w:rPr>
            </w:pPr>
            <w:r w:rsidRPr="0087593A">
              <w:rPr>
                <w:rFonts w:ascii="Times New Roman" w:hAnsi="Times New Roman"/>
                <w:sz w:val="22"/>
              </w:rPr>
              <w:t>Одлука о накнадама за послове регистрације и друге услуге које пружа Агенција за прив</w:t>
            </w:r>
            <w:r>
              <w:rPr>
                <w:rFonts w:ascii="Times New Roman" w:hAnsi="Times New Roman"/>
                <w:sz w:val="22"/>
              </w:rPr>
              <w:t>редне регистре („Сл. гласник РС”, бр. 119/13, 138/14, 45/15, 106/15, 32/16, 60/16</w:t>
            </w:r>
            <w:r w:rsidRPr="0087593A">
              <w:rPr>
                <w:rFonts w:ascii="Times New Roman" w:hAnsi="Times New Roman"/>
                <w:sz w:val="22"/>
              </w:rPr>
              <w:t>, 75/18</w:t>
            </w:r>
            <w:r>
              <w:rPr>
                <w:rFonts w:ascii="Times New Roman" w:hAnsi="Times New Roman"/>
                <w:sz w:val="22"/>
              </w:rPr>
              <w:t>, 73/19 и 15/20</w:t>
            </w:r>
            <w:r w:rsidRPr="0087593A">
              <w:rPr>
                <w:rFonts w:ascii="Times New Roman" w:hAnsi="Times New Roman"/>
                <w:sz w:val="22"/>
              </w:rPr>
              <w:t>)</w:t>
            </w:r>
          </w:p>
        </w:tc>
      </w:tr>
      <w:tr w:rsidR="00850AD5" w:rsidRPr="003C3AF5"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C17417" w:rsidRPr="00FD5171" w:rsidRDefault="00C17417" w:rsidP="00C17417">
            <w:pPr>
              <w:pStyle w:val="ListParagraph"/>
              <w:rPr>
                <w:rFonts w:ascii="Times New Roman" w:hAnsi="Times New Roman"/>
                <w:sz w:val="22"/>
              </w:rPr>
            </w:pPr>
          </w:p>
          <w:p w:rsidR="00F7649F" w:rsidRDefault="00763752" w:rsidP="00FC57BE">
            <w:pPr>
              <w:pStyle w:val="ListParagraph"/>
              <w:numPr>
                <w:ilvl w:val="0"/>
                <w:numId w:val="2"/>
              </w:numPr>
              <w:ind w:left="287"/>
              <w:rPr>
                <w:rFonts w:ascii="Times New Roman" w:hAnsi="Times New Roman"/>
                <w:sz w:val="22"/>
                <w:szCs w:val="22"/>
              </w:rPr>
            </w:pPr>
            <w:r w:rsidRPr="00763752">
              <w:rPr>
                <w:rFonts w:ascii="Times New Roman" w:hAnsi="Times New Roman"/>
                <w:sz w:val="22"/>
                <w:szCs w:val="22"/>
              </w:rPr>
              <w:t>Правилник о садржини Регистра туризма и документацији потребној за регистрацију и евиденцију</w:t>
            </w:r>
            <w:r w:rsidR="00843D48">
              <w:rPr>
                <w:rFonts w:ascii="Times New Roman" w:hAnsi="Times New Roman"/>
                <w:sz w:val="22"/>
                <w:szCs w:val="22"/>
              </w:rPr>
              <w:t xml:space="preserve"> („Сл. гласник РС”, бр. 55/12, 4/16, 81/19 и 13/20)</w:t>
            </w:r>
          </w:p>
          <w:p w:rsidR="00843D48" w:rsidRPr="00944512" w:rsidRDefault="00944512" w:rsidP="00944512">
            <w:pPr>
              <w:pStyle w:val="ListParagraph"/>
              <w:numPr>
                <w:ilvl w:val="0"/>
                <w:numId w:val="2"/>
              </w:numPr>
              <w:ind w:left="287"/>
              <w:rPr>
                <w:rFonts w:ascii="Times New Roman" w:hAnsi="Times New Roman"/>
                <w:sz w:val="22"/>
                <w:szCs w:val="22"/>
              </w:rPr>
            </w:pPr>
            <w:r w:rsidRPr="0087593A">
              <w:rPr>
                <w:rFonts w:ascii="Times New Roman" w:hAnsi="Times New Roman"/>
                <w:sz w:val="22"/>
              </w:rPr>
              <w:t>Одлука о накнадама за послове регистрације и друге услуге које пружа Агенција за прив</w:t>
            </w:r>
            <w:r>
              <w:rPr>
                <w:rFonts w:ascii="Times New Roman" w:hAnsi="Times New Roman"/>
                <w:sz w:val="22"/>
              </w:rPr>
              <w:t>редне регистре („Сл. гласник РС”, бр. 119/13, 138/14, 45/15, 106/15, 32/16, 60/16</w:t>
            </w:r>
            <w:r w:rsidRPr="0087593A">
              <w:rPr>
                <w:rFonts w:ascii="Times New Roman" w:hAnsi="Times New Roman"/>
                <w:sz w:val="22"/>
              </w:rPr>
              <w:t>, 75/18</w:t>
            </w:r>
            <w:r>
              <w:rPr>
                <w:rFonts w:ascii="Times New Roman" w:hAnsi="Times New Roman"/>
                <w:sz w:val="22"/>
              </w:rPr>
              <w:t>, 73/19 и 15/20</w:t>
            </w:r>
            <w:r w:rsidRPr="0087593A">
              <w:rPr>
                <w:rFonts w:ascii="Times New Roman" w:hAnsi="Times New Roman"/>
                <w:sz w:val="22"/>
              </w:rPr>
              <w:t>)</w:t>
            </w:r>
          </w:p>
        </w:tc>
      </w:tr>
      <w:tr w:rsidR="00850AD5" w:rsidRPr="00761DB3" w:rsidTr="00944512">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1C657C" w:rsidRPr="00944512" w:rsidRDefault="004C6BB3" w:rsidP="00944512">
            <w:pPr>
              <w:jc w:val="left"/>
              <w:rPr>
                <w:rFonts w:ascii="Times New Roman" w:hAnsi="Times New Roman"/>
                <w:sz w:val="22"/>
                <w:szCs w:val="22"/>
                <w:lang w:val="sr-Cyrl-RS"/>
              </w:rPr>
            </w:pPr>
            <w:r w:rsidRPr="002D2EC2">
              <w:rPr>
                <w:rFonts w:ascii="Times New Roman" w:hAnsi="Times New Roman"/>
                <w:sz w:val="22"/>
                <w:szCs w:val="22"/>
                <w:lang w:val="sr-Cyrl-BA"/>
              </w:rPr>
              <w:t xml:space="preserve">Први квартал 2021. </w:t>
            </w:r>
            <w:r w:rsidR="00944512">
              <w:rPr>
                <w:rFonts w:ascii="Times New Roman" w:hAnsi="Times New Roman"/>
                <w:sz w:val="22"/>
                <w:szCs w:val="22"/>
                <w:lang w:val="sr-Cyrl-BA"/>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751F04">
              <w:rPr>
                <w:b/>
                <w:sz w:val="22"/>
                <w:szCs w:val="22"/>
              </w:rPr>
              <w:t>КРАТАК ОПИС ПРОБЛЕМА</w:t>
            </w:r>
          </w:p>
        </w:tc>
      </w:tr>
      <w:tr w:rsidR="00275E2A" w:rsidRPr="003C3AF5" w:rsidTr="00CA1CE9">
        <w:tc>
          <w:tcPr>
            <w:tcW w:w="9060" w:type="dxa"/>
            <w:gridSpan w:val="2"/>
          </w:tcPr>
          <w:p w:rsidR="00945A43" w:rsidRPr="00761DB3" w:rsidRDefault="000B43B6" w:rsidP="00945A43">
            <w:pPr>
              <w:spacing w:before="120" w:after="120"/>
              <w:rPr>
                <w:rFonts w:ascii="Times New Roman" w:hAnsi="Times New Roman"/>
                <w:sz w:val="22"/>
                <w:szCs w:val="22"/>
              </w:rPr>
            </w:pPr>
            <w:r>
              <w:rPr>
                <w:rFonts w:ascii="Times New Roman" w:hAnsi="Times New Roman"/>
                <w:sz w:val="22"/>
                <w:szCs w:val="22"/>
              </w:rPr>
              <w:t>П</w:t>
            </w:r>
            <w:r w:rsidR="00945A43" w:rsidRPr="00945A43">
              <w:rPr>
                <w:rFonts w:ascii="Times New Roman" w:hAnsi="Times New Roman"/>
                <w:sz w:val="22"/>
                <w:szCs w:val="22"/>
              </w:rPr>
              <w:t xml:space="preserve">оступак ствара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FC57BE" w:rsidRPr="00945A43">
              <w:rPr>
                <w:rFonts w:ascii="Times New Roman" w:hAnsi="Times New Roman"/>
                <w:sz w:val="22"/>
                <w:szCs w:val="22"/>
              </w:rPr>
              <w:t xml:space="preserve">Од подносиоца захтева се захтева да се одређена документа достављају у оригиналу чиме се нарушава једно од начела управног поступка </w:t>
            </w:r>
            <w:r w:rsidR="00945A43" w:rsidRPr="00945A43">
              <w:rPr>
                <w:rFonts w:ascii="Times New Roman" w:hAnsi="Times New Roman"/>
                <w:sz w:val="22"/>
                <w:szCs w:val="22"/>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763752" w:rsidRPr="00091F0B" w:rsidRDefault="00CD1061" w:rsidP="00D42F62">
            <w:pPr>
              <w:rPr>
                <w:rFonts w:ascii="Times New Roman" w:hAnsi="Times New Roman"/>
                <w:sz w:val="22"/>
                <w:szCs w:val="22"/>
              </w:rPr>
            </w:pPr>
            <w:r w:rsidRPr="00945A43">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D42F62">
              <w:rPr>
                <w:rFonts w:ascii="Times New Roman" w:hAnsi="Times New Roman"/>
                <w:sz w:val="22"/>
                <w:szCs w:val="22"/>
              </w:rPr>
              <w:t>не постоји могућност подношења захтева и издавања акта електронским путем, па</w:t>
            </w:r>
            <w:r w:rsidRPr="00945A43">
              <w:rPr>
                <w:rFonts w:ascii="Times New Roman" w:hAnsi="Times New Roman"/>
                <w:sz w:val="22"/>
                <w:szCs w:val="22"/>
              </w:rPr>
              <w:t>постоји простор за његову оптимизацију.</w:t>
            </w:r>
            <w:r w:rsidR="00751F04">
              <w:rPr>
                <w:rFonts w:ascii="Times New Roman" w:hAnsi="Times New Roman"/>
                <w:sz w:val="22"/>
                <w:szCs w:val="22"/>
              </w:rPr>
              <w:t>Од подносиоца захтева се неоправдано тражи да користи печат у обрасцу захтева.</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751F04">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51F0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51F04" w:rsidRDefault="00751F04" w:rsidP="00B704E4">
                  <w:pPr>
                    <w:jc w:val="left"/>
                    <w:rPr>
                      <w:rFonts w:ascii="Times New Roman" w:hAnsi="Times New Roman"/>
                      <w:b/>
                      <w:bCs/>
                    </w:rPr>
                  </w:pPr>
                  <w:r>
                    <w:rPr>
                      <w:rFonts w:ascii="Times New Roman" w:hAnsi="Times New Roman"/>
                      <w:b/>
                    </w:rPr>
                    <w:lastRenderedPageBreak/>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751F04" w:rsidRPr="004A787C" w:rsidRDefault="004A787C" w:rsidP="00B704E4">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751F04" w:rsidRPr="00C72288" w:rsidRDefault="00751F04" w:rsidP="00B704E4">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751F04" w:rsidRPr="004A787C" w:rsidRDefault="00E703BE" w:rsidP="00B704E4">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eastAsia="en-GB"/>
                    </w:rPr>
                    <w:t>1</w:t>
                  </w:r>
                </w:p>
              </w:tc>
            </w:tr>
            <w:tr w:rsidR="00B704E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704E4" w:rsidRPr="002848A0" w:rsidRDefault="00B704E4" w:rsidP="00B704E4">
                  <w:pPr>
                    <w:jc w:val="left"/>
                    <w:rPr>
                      <w:rFonts w:ascii="Times New Roman" w:hAnsi="Times New Roman"/>
                      <w:b/>
                      <w:bCs/>
                    </w:rPr>
                  </w:pPr>
                  <w:r>
                    <w:rPr>
                      <w:rFonts w:ascii="Times New Roman" w:hAnsi="Times New Roman"/>
                      <w:b/>
                      <w:bCs/>
                    </w:rPr>
                    <w:t>Образац административног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704E4" w:rsidRPr="00C72288" w:rsidRDefault="00B704E4" w:rsidP="00B704E4">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r>
            <w:tr w:rsidR="00B704E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704E4" w:rsidRPr="00945A43" w:rsidRDefault="00B704E4" w:rsidP="00B704E4">
                  <w:pPr>
                    <w:jc w:val="left"/>
                    <w:rPr>
                      <w:rFonts w:ascii="Times New Roman" w:hAnsi="Times New Roman"/>
                      <w:bCs/>
                      <w:i/>
                    </w:rPr>
                  </w:pPr>
                  <w:r>
                    <w:rPr>
                      <w:rFonts w:ascii="Times New Roman" w:hAnsi="Times New Roman"/>
                      <w:bCs/>
                      <w:i/>
                    </w:rPr>
                    <w:t>Унапређење постојећег обрасца</w:t>
                  </w:r>
                </w:p>
              </w:tc>
              <w:tc>
                <w:tcPr>
                  <w:tcW w:w="984"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704E4" w:rsidRPr="00C72288" w:rsidRDefault="00B704E4" w:rsidP="00B704E4">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b/>
                      <w:bCs/>
                    </w:rPr>
                  </w:pPr>
                  <w:r w:rsidRPr="002848A0">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i/>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944512" w:rsidRDefault="00944512"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944512" w:rsidRDefault="00944512"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C706AA" w:rsidP="00602442">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602442" w:rsidP="00602442">
                  <w:pPr>
                    <w:jc w:val="left"/>
                    <w:rPr>
                      <w:rFonts w:ascii="Times New Roman" w:hAnsi="Times New Roman"/>
                      <w:b/>
                      <w:lang w:val="en-GB"/>
                    </w:rPr>
                  </w:pPr>
                  <w:r w:rsidRPr="00884005">
                    <w:rPr>
                      <w:rFonts w:ascii="Times New Roman" w:hAnsi="Times New Roman"/>
                      <w:b/>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884005"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7903A7">
              <w:rPr>
                <w:b/>
                <w:sz w:val="22"/>
                <w:szCs w:val="22"/>
              </w:rPr>
              <w:t>ОБРАЗЛОЖЕЊЕ</w:t>
            </w:r>
          </w:p>
        </w:tc>
      </w:tr>
      <w:tr w:rsidR="00CA1CE9" w:rsidRPr="003C3AF5" w:rsidTr="00DB19B9">
        <w:trPr>
          <w:trHeight w:val="454"/>
        </w:trPr>
        <w:tc>
          <w:tcPr>
            <w:tcW w:w="9060" w:type="dxa"/>
            <w:gridSpan w:val="2"/>
            <w:shd w:val="clear" w:color="auto" w:fill="auto"/>
          </w:tcPr>
          <w:p w:rsidR="00C12C26" w:rsidRPr="00CD1D1A" w:rsidRDefault="00C12C26" w:rsidP="00C12C26">
            <w:pPr>
              <w:tabs>
                <w:tab w:val="left" w:pos="5497"/>
              </w:tabs>
              <w:rPr>
                <w:rFonts w:ascii="Times New Roman" w:hAnsi="Times New Roman"/>
                <w:b/>
                <w:sz w:val="24"/>
                <w:szCs w:val="22"/>
              </w:rPr>
            </w:pPr>
          </w:p>
          <w:p w:rsidR="00AA4009" w:rsidRPr="00751F04" w:rsidRDefault="00AA4009" w:rsidP="009F0C3C">
            <w:pPr>
              <w:pStyle w:val="ListParagraph"/>
              <w:numPr>
                <w:ilvl w:val="1"/>
                <w:numId w:val="1"/>
              </w:numPr>
              <w:rPr>
                <w:rFonts w:ascii="Times New Roman" w:hAnsi="Times New Roman"/>
                <w:b/>
                <w:sz w:val="22"/>
                <w:u w:val="single"/>
              </w:rPr>
            </w:pPr>
            <w:r w:rsidRPr="00751F04">
              <w:rPr>
                <w:rFonts w:ascii="Times New Roman" w:hAnsi="Times New Roman"/>
                <w:b/>
                <w:sz w:val="22"/>
                <w:u w:val="single"/>
              </w:rPr>
              <w:t xml:space="preserve">Прибављање докумената по службеној дужности </w:t>
            </w:r>
          </w:p>
          <w:p w:rsidR="00AA4009" w:rsidRDefault="00AA4009" w:rsidP="00AA4009">
            <w:pPr>
              <w:rPr>
                <w:rFonts w:ascii="Times New Roman" w:hAnsi="Times New Roman"/>
                <w:sz w:val="22"/>
                <w:szCs w:val="22"/>
              </w:rPr>
            </w:pPr>
          </w:p>
          <w:p w:rsidR="005D1D7C" w:rsidRPr="001F22FF" w:rsidRDefault="005D1D7C" w:rsidP="005D1D7C">
            <w:pPr>
              <w:rPr>
                <w:rFonts w:ascii="Times New Roman" w:eastAsia="Times New Roman" w:hAnsi="Times New Roman"/>
                <w:sz w:val="22"/>
                <w:szCs w:val="22"/>
                <w:lang w:val="sr-Cyrl-BA"/>
              </w:rPr>
            </w:pPr>
            <w:r w:rsidRPr="001F22FF">
              <w:rPr>
                <w:rFonts w:ascii="Times New Roman" w:eastAsia="Times New Roman" w:hAnsi="Times New Roman"/>
                <w:sz w:val="22"/>
                <w:szCs w:val="22"/>
              </w:rPr>
              <w:t>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BC2509">
              <w:rPr>
                <w:rFonts w:ascii="Times New Roman" w:eastAsia="Times New Roman" w:hAnsi="Times New Roman"/>
                <w:sz w:val="22"/>
                <w:szCs w:val="22"/>
              </w:rPr>
              <w:t>„</w:t>
            </w:r>
            <w:r w:rsidRPr="001F22FF">
              <w:rPr>
                <w:rFonts w:ascii="Times New Roman" w:eastAsia="Times New Roman" w:hAnsi="Times New Roman"/>
                <w:sz w:val="22"/>
                <w:szCs w:val="22"/>
              </w:rPr>
              <w:t>Службени гласник РС",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751F04" w:rsidRDefault="00751F04" w:rsidP="00165552">
            <w:pPr>
              <w:rPr>
                <w:rFonts w:ascii="Times New Roman" w:hAnsi="Times New Roman"/>
                <w:sz w:val="22"/>
                <w:szCs w:val="22"/>
              </w:rPr>
            </w:pPr>
          </w:p>
          <w:p w:rsidR="00145897" w:rsidRPr="005D1D7C" w:rsidRDefault="00751F04" w:rsidP="005D1D7C">
            <w:pPr>
              <w:pStyle w:val="ListParagraph"/>
              <w:numPr>
                <w:ilvl w:val="0"/>
                <w:numId w:val="26"/>
              </w:numPr>
              <w:rPr>
                <w:rFonts w:ascii="Times New Roman" w:hAnsi="Times New Roman"/>
                <w:b/>
                <w:sz w:val="22"/>
              </w:rPr>
            </w:pPr>
            <w:r w:rsidRPr="005D1D7C">
              <w:rPr>
                <w:rFonts w:ascii="Times New Roman" w:hAnsi="Times New Roman"/>
                <w:b/>
                <w:sz w:val="22"/>
              </w:rPr>
              <w:t>Документ 1 – према е Попису доставља се уговор о раду и/или</w:t>
            </w:r>
            <w:r w:rsidR="00145897" w:rsidRPr="005D1D7C">
              <w:rPr>
                <w:rFonts w:ascii="Times New Roman" w:hAnsi="Times New Roman"/>
                <w:b/>
                <w:sz w:val="22"/>
              </w:rPr>
              <w:t>Образац М пријава</w:t>
            </w:r>
            <w:r w:rsidRPr="005D1D7C">
              <w:rPr>
                <w:rFonts w:ascii="Times New Roman" w:hAnsi="Times New Roman"/>
                <w:b/>
                <w:sz w:val="22"/>
              </w:rPr>
              <w:t xml:space="preserve"> - </w:t>
            </w:r>
            <w:r w:rsidR="00145897" w:rsidRPr="005D1D7C">
              <w:rPr>
                <w:rFonts w:ascii="Times New Roman" w:hAnsi="Times New Roman"/>
                <w:b/>
                <w:sz w:val="22"/>
              </w:rPr>
              <w:t xml:space="preserve">промена и одјава на обавезно здравствено осигурање, истичемо да се </w:t>
            </w:r>
            <w:r w:rsidR="00EA760F" w:rsidRPr="005D1D7C">
              <w:rPr>
                <w:rFonts w:ascii="Times New Roman" w:hAnsi="Times New Roman"/>
                <w:b/>
                <w:sz w:val="22"/>
              </w:rPr>
              <w:t xml:space="preserve">подаци из овог документа  </w:t>
            </w:r>
            <w:r w:rsidR="00145897" w:rsidRPr="005D1D7C">
              <w:rPr>
                <w:rFonts w:ascii="Times New Roman" w:hAnsi="Times New Roman"/>
                <w:b/>
                <w:sz w:val="22"/>
              </w:rPr>
              <w:t>мо</w:t>
            </w:r>
            <w:r w:rsidR="00EA760F" w:rsidRPr="005D1D7C">
              <w:rPr>
                <w:rFonts w:ascii="Times New Roman" w:hAnsi="Times New Roman"/>
                <w:b/>
                <w:sz w:val="22"/>
              </w:rPr>
              <w:t>гу</w:t>
            </w:r>
            <w:r w:rsidR="00145897" w:rsidRPr="005D1D7C">
              <w:rPr>
                <w:rFonts w:ascii="Times New Roman" w:hAnsi="Times New Roman"/>
                <w:b/>
                <w:sz w:val="22"/>
              </w:rPr>
              <w:t xml:space="preserve"> прибавити по службеној дужности </w:t>
            </w:r>
            <w:r w:rsidR="00145897" w:rsidRPr="005D1D7C">
              <w:rPr>
                <w:rFonts w:ascii="Times New Roman" w:hAnsi="Times New Roman"/>
                <w:b/>
                <w:sz w:val="22"/>
                <w:lang w:val="ru-RU"/>
              </w:rPr>
              <w:t>путем информационог система еЗУП на порталу е-Управа</w:t>
            </w:r>
            <w:r w:rsidR="00EA760F" w:rsidRPr="005D1D7C">
              <w:rPr>
                <w:rFonts w:ascii="Times New Roman" w:hAnsi="Times New Roman"/>
                <w:b/>
                <w:sz w:val="22"/>
                <w:lang w:val="ru-RU"/>
              </w:rPr>
              <w:t xml:space="preserve"> или </w:t>
            </w:r>
            <w:r w:rsidR="00145897" w:rsidRPr="005D1D7C">
              <w:rPr>
                <w:rFonts w:ascii="Times New Roman" w:hAnsi="Times New Roman"/>
                <w:b/>
                <w:sz w:val="22"/>
                <w:lang w:val="ru-RU"/>
              </w:rPr>
              <w:t>увидом у базу Централног регистра обавезног социјалног осигурања – ЦРОСО</w:t>
            </w:r>
            <w:r w:rsidR="001137A0" w:rsidRPr="005D1D7C">
              <w:rPr>
                <w:rFonts w:ascii="Times New Roman" w:hAnsi="Times New Roman"/>
                <w:b/>
                <w:sz w:val="22"/>
                <w:lang w:val="ru-RU"/>
              </w:rPr>
              <w:t>,</w:t>
            </w:r>
            <w:r w:rsidR="00EA760F" w:rsidRPr="005D1D7C">
              <w:rPr>
                <w:rFonts w:ascii="Times New Roman" w:hAnsi="Times New Roman"/>
                <w:b/>
                <w:sz w:val="22"/>
                <w:lang w:val="ru-RU"/>
              </w:rPr>
              <w:t>тако што ће се проверити радни ст</w:t>
            </w:r>
            <w:r w:rsidRPr="005D1D7C">
              <w:rPr>
                <w:rFonts w:ascii="Times New Roman" w:hAnsi="Times New Roman"/>
                <w:b/>
                <w:sz w:val="22"/>
                <w:lang w:val="ru-RU"/>
              </w:rPr>
              <w:t>атус запослених лица.</w:t>
            </w:r>
          </w:p>
          <w:p w:rsidR="00145897" w:rsidRPr="00145897" w:rsidRDefault="00145897" w:rsidP="00145897">
            <w:pPr>
              <w:rPr>
                <w:rFonts w:ascii="Times New Roman" w:hAnsi="Times New Roman"/>
                <w:lang w:val="ru-RU"/>
              </w:rPr>
            </w:pPr>
          </w:p>
          <w:p w:rsidR="00BA3BE3" w:rsidRDefault="00145897" w:rsidP="00F8536A">
            <w:pPr>
              <w:rPr>
                <w:rFonts w:ascii="Times New Roman" w:hAnsi="Times New Roman"/>
                <w:sz w:val="22"/>
              </w:rPr>
            </w:pPr>
            <w:r w:rsidRPr="00145897">
              <w:rPr>
                <w:rFonts w:ascii="Times New Roman" w:hAnsi="Times New Roman"/>
                <w:sz w:val="22"/>
                <w:lang w:val="ru-RU"/>
              </w:rPr>
              <w:t>Како би се омогућило</w:t>
            </w:r>
            <w:r w:rsidR="00EA760F">
              <w:rPr>
                <w:rFonts w:ascii="Times New Roman" w:hAnsi="Times New Roman"/>
                <w:sz w:val="22"/>
                <w:lang w:val="ru-RU"/>
              </w:rPr>
              <w:t xml:space="preserve"> споровођење ове препоруке</w:t>
            </w:r>
            <w:r w:rsidRPr="00145897">
              <w:rPr>
                <w:rFonts w:ascii="Times New Roman" w:hAnsi="Times New Roman"/>
                <w:sz w:val="22"/>
                <w:lang w:val="ru-RU"/>
              </w:rPr>
              <w:t>, у обрасцу захтева је потр</w:t>
            </w:r>
            <w:r w:rsidRPr="00145897">
              <w:rPr>
                <w:rFonts w:ascii="Times New Roman" w:hAnsi="Times New Roman"/>
                <w:sz w:val="22"/>
              </w:rPr>
              <w:t xml:space="preserve">ебно затражити неопходне информације о лицима, за које је потребно утврдити ову чињеницу (име и презиме </w:t>
            </w:r>
            <w:r>
              <w:rPr>
                <w:rFonts w:ascii="Times New Roman" w:hAnsi="Times New Roman"/>
                <w:sz w:val="22"/>
              </w:rPr>
              <w:t>запосленог</w:t>
            </w:r>
            <w:r w:rsidRPr="00145897">
              <w:rPr>
                <w:rFonts w:ascii="Times New Roman" w:hAnsi="Times New Roman"/>
                <w:sz w:val="22"/>
              </w:rPr>
              <w:t>, ЈМБГ уз изјаву о заштити података).</w:t>
            </w:r>
          </w:p>
          <w:p w:rsidR="00FE403A" w:rsidRDefault="00FE403A" w:rsidP="00F8536A">
            <w:pPr>
              <w:rPr>
                <w:rFonts w:ascii="Times New Roman" w:hAnsi="Times New Roman"/>
                <w:sz w:val="22"/>
              </w:rPr>
            </w:pPr>
          </w:p>
          <w:p w:rsidR="005D1D7C" w:rsidRPr="001F22FF" w:rsidRDefault="005D1D7C" w:rsidP="005D1D7C">
            <w:pPr>
              <w:shd w:val="clear" w:color="auto" w:fill="FFFFFF"/>
              <w:rPr>
                <w:rFonts w:ascii="Times New Roman" w:hAnsi="Times New Roman"/>
                <w:sz w:val="22"/>
                <w:szCs w:val="22"/>
              </w:rPr>
            </w:pPr>
            <w:r w:rsidRPr="001F22FF">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5D1D7C" w:rsidRPr="001F22FF" w:rsidRDefault="005D1D7C" w:rsidP="005D1D7C">
            <w:pPr>
              <w:shd w:val="clear" w:color="auto" w:fill="FFFFFF"/>
              <w:rPr>
                <w:rFonts w:ascii="Times New Roman" w:hAnsi="Times New Roman"/>
                <w:sz w:val="22"/>
                <w:szCs w:val="22"/>
              </w:rPr>
            </w:pPr>
            <w:r w:rsidRPr="001F22FF">
              <w:rPr>
                <w:rFonts w:ascii="Times New Roman" w:hAnsi="Times New Roman"/>
                <w:sz w:val="22"/>
                <w:szCs w:val="22"/>
              </w:rPr>
              <w:t> </w:t>
            </w:r>
          </w:p>
          <w:p w:rsidR="005D1D7C" w:rsidRPr="001F22FF" w:rsidRDefault="005D1D7C" w:rsidP="005D1D7C">
            <w:pPr>
              <w:numPr>
                <w:ilvl w:val="0"/>
                <w:numId w:val="25"/>
              </w:numPr>
              <w:shd w:val="clear" w:color="auto" w:fill="FFFFFF"/>
              <w:spacing w:after="160" w:line="252" w:lineRule="auto"/>
              <w:contextualSpacing/>
              <w:rPr>
                <w:rFonts w:ascii="Times New Roman" w:eastAsia="Times New Roman" w:hAnsi="Times New Roman"/>
                <w:sz w:val="22"/>
                <w:szCs w:val="22"/>
              </w:rPr>
            </w:pPr>
            <w:r w:rsidRPr="001F22FF">
              <w:rPr>
                <w:rFonts w:ascii="Times New Roman" w:eastAsia="Times New Roman" w:hAnsi="Times New Roman"/>
                <w:sz w:val="22"/>
                <w:szCs w:val="22"/>
              </w:rPr>
              <w:t>Путем Информационог система за размену података из регистара преко Сервисне магистрале органа: </w:t>
            </w:r>
          </w:p>
          <w:p w:rsidR="005D1D7C" w:rsidRPr="001F22FF" w:rsidRDefault="005D1D7C" w:rsidP="005D1D7C">
            <w:pPr>
              <w:numPr>
                <w:ilvl w:val="0"/>
                <w:numId w:val="25"/>
              </w:numPr>
              <w:shd w:val="clear" w:color="auto" w:fill="FFFFFF"/>
              <w:spacing w:after="160" w:line="252" w:lineRule="auto"/>
              <w:contextualSpacing/>
              <w:rPr>
                <w:rFonts w:ascii="Times New Roman" w:eastAsia="Times New Roman" w:hAnsi="Times New Roman"/>
                <w:sz w:val="22"/>
                <w:szCs w:val="22"/>
              </w:rPr>
            </w:pPr>
            <w:r w:rsidRPr="001F22FF">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5D1D7C" w:rsidRPr="001F22FF" w:rsidRDefault="005D1D7C" w:rsidP="005D1D7C">
            <w:pPr>
              <w:shd w:val="clear" w:color="auto" w:fill="FFFFFF"/>
              <w:spacing w:line="252" w:lineRule="auto"/>
              <w:contextualSpacing/>
              <w:rPr>
                <w:rFonts w:ascii="Times New Roman" w:hAnsi="Times New Roman"/>
                <w:sz w:val="22"/>
                <w:szCs w:val="22"/>
              </w:rPr>
            </w:pPr>
          </w:p>
          <w:p w:rsidR="005D1D7C" w:rsidRPr="001F22FF" w:rsidRDefault="005D1D7C" w:rsidP="005D1D7C">
            <w:pPr>
              <w:shd w:val="clear" w:color="auto" w:fill="FFFFFF"/>
              <w:spacing w:line="252" w:lineRule="auto"/>
              <w:contextualSpacing/>
              <w:rPr>
                <w:rFonts w:ascii="Times New Roman" w:hAnsi="Times New Roman"/>
                <w:sz w:val="22"/>
                <w:szCs w:val="22"/>
              </w:rPr>
            </w:pPr>
            <w:r w:rsidRPr="001F22FF">
              <w:rPr>
                <w:rFonts w:ascii="Times New Roman" w:hAnsi="Times New Roman"/>
                <w:sz w:val="22"/>
                <w:szCs w:val="22"/>
              </w:rPr>
              <w:lastRenderedPageBreak/>
              <w:t>Изузетно, орган може на захтев прибавити скуп података из регистра и уписати их у сопствено софтверско решење.</w:t>
            </w:r>
          </w:p>
          <w:p w:rsidR="005D1D7C" w:rsidRPr="001F22FF" w:rsidRDefault="005D1D7C" w:rsidP="005D1D7C">
            <w:pPr>
              <w:shd w:val="clear" w:color="auto" w:fill="FFFFFF"/>
              <w:spacing w:line="252" w:lineRule="auto"/>
              <w:contextualSpacing/>
              <w:rPr>
                <w:rFonts w:ascii="Times New Roman" w:hAnsi="Times New Roman"/>
                <w:sz w:val="22"/>
                <w:szCs w:val="22"/>
              </w:rPr>
            </w:pPr>
          </w:p>
          <w:p w:rsidR="005D1D7C" w:rsidRPr="001F22FF" w:rsidRDefault="005D1D7C" w:rsidP="005D1D7C">
            <w:pPr>
              <w:rPr>
                <w:rFonts w:ascii="Times New Roman" w:eastAsia="Times New Roman" w:hAnsi="Times New Roman"/>
                <w:sz w:val="22"/>
                <w:szCs w:val="22"/>
              </w:rPr>
            </w:pPr>
            <w:r w:rsidRPr="001F22FF">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1F22FF">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w:t>
            </w:r>
            <w:r w:rsidR="00FB44CD">
              <w:rPr>
                <w:rFonts w:ascii="Times New Roman" w:eastAsia="Times New Roman" w:hAnsi="Times New Roman"/>
                <w:sz w:val="22"/>
                <w:szCs w:val="22"/>
              </w:rPr>
              <w:t>може прибавити податке из такве</w:t>
            </w:r>
            <w:r w:rsidRPr="001F22FF">
              <w:rPr>
                <w:rFonts w:ascii="Times New Roman" w:eastAsia="Times New Roman" w:hAnsi="Times New Roman"/>
                <w:sz w:val="22"/>
                <w:szCs w:val="22"/>
              </w:rPr>
              <w:t xml:space="preserve">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2848A0" w:rsidRPr="00FB44CD" w:rsidRDefault="004A787C" w:rsidP="00FB44CD">
            <w:pPr>
              <w:spacing w:before="240" w:after="240"/>
              <w:rPr>
                <w:rFonts w:ascii="Times New Roman" w:eastAsia="Times New Roman" w:hAnsi="Times New Roman"/>
                <w:b/>
                <w:bCs/>
                <w:sz w:val="22"/>
                <w:szCs w:val="22"/>
              </w:rPr>
            </w:pPr>
            <w:r w:rsidRPr="00F65B45">
              <w:rPr>
                <w:rFonts w:ascii="Times New Roman" w:hAnsi="Times New Roman"/>
                <w:b/>
                <w:sz w:val="22"/>
                <w:szCs w:val="22"/>
              </w:rPr>
              <w:t xml:space="preserve">За примену ове препоруке </w:t>
            </w:r>
            <w:r>
              <w:rPr>
                <w:rFonts w:ascii="Times New Roman" w:hAnsi="Times New Roman"/>
                <w:b/>
                <w:sz w:val="22"/>
                <w:szCs w:val="22"/>
              </w:rPr>
              <w:t xml:space="preserve">потребна је измена </w:t>
            </w:r>
            <w:r w:rsidRPr="001363FA">
              <w:rPr>
                <w:rFonts w:ascii="Times New Roman" w:hAnsi="Times New Roman"/>
                <w:b/>
                <w:sz w:val="22"/>
                <w:szCs w:val="22"/>
              </w:rPr>
              <w:t>Правилник</w:t>
            </w:r>
            <w:r>
              <w:rPr>
                <w:rFonts w:ascii="Times New Roman" w:hAnsi="Times New Roman"/>
                <w:b/>
                <w:sz w:val="22"/>
                <w:szCs w:val="22"/>
              </w:rPr>
              <w:t>а</w:t>
            </w:r>
            <w:r w:rsidRPr="001363FA">
              <w:rPr>
                <w:rFonts w:ascii="Times New Roman" w:hAnsi="Times New Roman"/>
                <w:b/>
                <w:sz w:val="22"/>
                <w:szCs w:val="22"/>
              </w:rPr>
              <w:t xml:space="preserve"> о садржини Регистра туризма и документацији потребној за регистрацију и евиденцију</w:t>
            </w:r>
            <w:r w:rsidR="00FB44CD">
              <w:rPr>
                <w:rFonts w:ascii="Times New Roman" w:hAnsi="Times New Roman"/>
                <w:b/>
                <w:sz w:val="22"/>
                <w:szCs w:val="22"/>
              </w:rPr>
              <w:t xml:space="preserve"> </w:t>
            </w:r>
            <w:r w:rsidR="00E703BE" w:rsidRPr="00235608">
              <w:rPr>
                <w:rFonts w:ascii="Times New Roman" w:eastAsia="Times New Roman" w:hAnsi="Times New Roman"/>
                <w:b/>
                <w:bCs/>
                <w:noProof/>
                <w:sz w:val="22"/>
                <w:szCs w:val="22"/>
                <w:lang w:val="sr-Cyrl-CS"/>
              </w:rPr>
              <w:t xml:space="preserve">(„Сл. </w:t>
            </w:r>
            <w:r w:rsidR="00E703BE">
              <w:rPr>
                <w:rFonts w:ascii="Times New Roman" w:eastAsia="Times New Roman" w:hAnsi="Times New Roman"/>
                <w:b/>
                <w:bCs/>
                <w:noProof/>
                <w:sz w:val="22"/>
                <w:szCs w:val="22"/>
              </w:rPr>
              <w:t>г</w:t>
            </w:r>
            <w:r w:rsidR="00E703BE" w:rsidRPr="00235608">
              <w:rPr>
                <w:rFonts w:ascii="Times New Roman" w:eastAsia="Times New Roman" w:hAnsi="Times New Roman"/>
                <w:b/>
                <w:bCs/>
                <w:noProof/>
                <w:sz w:val="22"/>
                <w:szCs w:val="22"/>
                <w:lang w:val="sr-Cyrl-CS"/>
              </w:rPr>
              <w:t>ласник РС“, бр. 55/12, 4/16</w:t>
            </w:r>
            <w:r w:rsidR="00D22196">
              <w:rPr>
                <w:rFonts w:ascii="Times New Roman" w:eastAsia="Times New Roman" w:hAnsi="Times New Roman"/>
                <w:b/>
                <w:bCs/>
                <w:noProof/>
                <w:sz w:val="22"/>
                <w:szCs w:val="22"/>
                <w:lang w:val="sr-Cyrl-CS"/>
              </w:rPr>
              <w:t xml:space="preserve">, </w:t>
            </w:r>
            <w:r w:rsidR="00E703BE" w:rsidRPr="00235608">
              <w:rPr>
                <w:rFonts w:ascii="Times New Roman" w:eastAsia="Times New Roman" w:hAnsi="Times New Roman"/>
                <w:b/>
                <w:bCs/>
                <w:noProof/>
                <w:sz w:val="22"/>
                <w:szCs w:val="22"/>
                <w:lang w:val="sr-Cyrl-CS"/>
              </w:rPr>
              <w:t>81/19</w:t>
            </w:r>
            <w:r w:rsidR="00D22196">
              <w:rPr>
                <w:rFonts w:ascii="Times New Roman" w:eastAsia="Times New Roman" w:hAnsi="Times New Roman"/>
                <w:b/>
                <w:bCs/>
                <w:noProof/>
                <w:sz w:val="22"/>
                <w:szCs w:val="22"/>
                <w:lang w:val="sr-Cyrl-CS"/>
              </w:rPr>
              <w:t xml:space="preserve"> и 13/20</w:t>
            </w:r>
            <w:r w:rsidR="00E703BE" w:rsidRPr="00235608">
              <w:rPr>
                <w:rFonts w:ascii="Times New Roman" w:eastAsia="Times New Roman" w:hAnsi="Times New Roman"/>
                <w:b/>
                <w:bCs/>
                <w:noProof/>
                <w:sz w:val="22"/>
                <w:szCs w:val="22"/>
                <w:lang w:val="sr-Cyrl-CS"/>
              </w:rPr>
              <w:t>)</w:t>
            </w:r>
            <w:r w:rsidR="00E703BE">
              <w:rPr>
                <w:rFonts w:ascii="Times New Roman" w:eastAsia="Times New Roman" w:hAnsi="Times New Roman"/>
                <w:b/>
                <w:bCs/>
                <w:noProof/>
                <w:sz w:val="22"/>
                <w:szCs w:val="22"/>
              </w:rPr>
              <w:t>.</w:t>
            </w:r>
          </w:p>
          <w:p w:rsidR="00E935DA" w:rsidRDefault="00E935DA" w:rsidP="00AA4009">
            <w:pPr>
              <w:jc w:val="left"/>
              <w:rPr>
                <w:rFonts w:ascii="Times New Roman" w:hAnsi="Times New Roman"/>
                <w:b/>
                <w:sz w:val="22"/>
                <w:lang w:val="ru-RU"/>
              </w:rPr>
            </w:pPr>
          </w:p>
          <w:p w:rsidR="00884005" w:rsidRPr="002B04DD" w:rsidRDefault="00884005" w:rsidP="00884005">
            <w:pPr>
              <w:pStyle w:val="ListParagraph"/>
              <w:numPr>
                <w:ilvl w:val="1"/>
                <w:numId w:val="18"/>
              </w:numPr>
              <w:rPr>
                <w:rFonts w:ascii="Times New Roman" w:hAnsi="Times New Roman"/>
                <w:b/>
                <w:sz w:val="22"/>
                <w:szCs w:val="22"/>
                <w:u w:val="single"/>
                <w:lang w:eastAsia="en-GB"/>
              </w:rPr>
            </w:pPr>
            <w:r w:rsidRPr="002B04DD">
              <w:rPr>
                <w:rFonts w:ascii="Times New Roman" w:hAnsi="Times New Roman"/>
                <w:b/>
                <w:sz w:val="22"/>
                <w:szCs w:val="22"/>
                <w:u w:val="single"/>
                <w:lang w:eastAsia="en-GB"/>
              </w:rPr>
              <w:t>Унапређење постојећег обрасца</w:t>
            </w:r>
          </w:p>
          <w:p w:rsidR="00884005" w:rsidRPr="002B04DD" w:rsidRDefault="00884005" w:rsidP="00884005">
            <w:pPr>
              <w:pStyle w:val="ListParagraph"/>
              <w:rPr>
                <w:rFonts w:ascii="Times New Roman" w:eastAsia="Times New Roman" w:hAnsi="Times New Roman"/>
                <w:sz w:val="22"/>
                <w:szCs w:val="22"/>
              </w:rPr>
            </w:pPr>
          </w:p>
          <w:p w:rsidR="00884005" w:rsidRDefault="00884005" w:rsidP="00884005">
            <w:pPr>
              <w:rPr>
                <w:rFonts w:ascii="Times New Roman" w:hAnsi="Times New Roman"/>
                <w:sz w:val="22"/>
                <w:szCs w:val="22"/>
              </w:rPr>
            </w:pPr>
            <w:r w:rsidRPr="002B04DD">
              <w:rPr>
                <w:rFonts w:ascii="Times New Roman" w:hAnsi="Times New Roman"/>
                <w:sz w:val="22"/>
                <w:szCs w:val="22"/>
                <w:lang w:val="ru-RU"/>
              </w:rPr>
              <w:t>Како би се омогућило прибављање података по службеној дужности (препорука 3.1), у обрасцу захтева – Регистрационој пријави потр</w:t>
            </w:r>
            <w:r w:rsidRPr="002B04DD">
              <w:rPr>
                <w:rFonts w:ascii="Times New Roman" w:hAnsi="Times New Roman"/>
                <w:sz w:val="22"/>
                <w:szCs w:val="22"/>
              </w:rPr>
              <w:t xml:space="preserve">ебно </w:t>
            </w:r>
            <w:r w:rsidRPr="002B04DD">
              <w:rPr>
                <w:rFonts w:ascii="Times New Roman" w:hAnsi="Times New Roman"/>
                <w:sz w:val="22"/>
                <w:szCs w:val="22"/>
                <w:lang w:val="ru-RU"/>
              </w:rPr>
              <w:t xml:space="preserve">је </w:t>
            </w:r>
            <w:r w:rsidRPr="002B04DD">
              <w:rPr>
                <w:rFonts w:ascii="Times New Roman" w:hAnsi="Times New Roman"/>
                <w:sz w:val="22"/>
                <w:szCs w:val="22"/>
              </w:rPr>
              <w:t>затражити неопходне информације</w:t>
            </w:r>
            <w:r>
              <w:rPr>
                <w:rFonts w:ascii="Times New Roman" w:hAnsi="Times New Roman"/>
                <w:sz w:val="22"/>
                <w:szCs w:val="22"/>
              </w:rPr>
              <w:t xml:space="preserve"> од подносиоца захтева (</w:t>
            </w:r>
            <w:r w:rsidR="00145897" w:rsidRPr="00145897">
              <w:rPr>
                <w:rFonts w:ascii="Times New Roman" w:hAnsi="Times New Roman"/>
                <w:sz w:val="22"/>
                <w:szCs w:val="22"/>
              </w:rPr>
              <w:t>име и презиме запосленог, ЈМБГ уз изјаву о заштити података</w:t>
            </w:r>
            <w:r w:rsidR="00145897">
              <w:rPr>
                <w:rFonts w:ascii="Times New Roman" w:hAnsi="Times New Roman"/>
                <w:sz w:val="22"/>
                <w:szCs w:val="22"/>
              </w:rPr>
              <w:t>).</w:t>
            </w:r>
          </w:p>
          <w:p w:rsidR="00884005" w:rsidRDefault="00884005" w:rsidP="00884005">
            <w:pPr>
              <w:rPr>
                <w:rFonts w:ascii="Times New Roman" w:hAnsi="Times New Roman"/>
                <w:sz w:val="22"/>
                <w:szCs w:val="22"/>
              </w:rPr>
            </w:pPr>
          </w:p>
          <w:p w:rsidR="007903A7" w:rsidRDefault="00884005" w:rsidP="00FE403A">
            <w:pPr>
              <w:rPr>
                <w:rFonts w:ascii="Times New Roman" w:hAnsi="Times New Roman"/>
                <w:b/>
                <w:sz w:val="22"/>
                <w:szCs w:val="22"/>
              </w:rPr>
            </w:pPr>
            <w:r w:rsidRPr="00884005">
              <w:rPr>
                <w:rFonts w:ascii="Times New Roman" w:hAnsi="Times New Roman"/>
                <w:b/>
                <w:sz w:val="22"/>
                <w:szCs w:val="22"/>
              </w:rPr>
              <w:t>За примену ове препоруке није потребна измена прописа.</w:t>
            </w:r>
          </w:p>
          <w:p w:rsidR="0014184F" w:rsidRDefault="0014184F" w:rsidP="00FE403A">
            <w:pPr>
              <w:rPr>
                <w:rFonts w:ascii="Times New Roman" w:hAnsi="Times New Roman"/>
                <w:b/>
                <w:sz w:val="22"/>
              </w:rPr>
            </w:pPr>
          </w:p>
          <w:p w:rsidR="0014184F" w:rsidRDefault="0014184F" w:rsidP="00FE403A">
            <w:pPr>
              <w:rPr>
                <w:rFonts w:ascii="Times New Roman" w:hAnsi="Times New Roman"/>
                <w:b/>
                <w:sz w:val="22"/>
              </w:rPr>
            </w:pPr>
          </w:p>
          <w:p w:rsidR="00BF4988" w:rsidRPr="00751F04" w:rsidRDefault="00BF4988" w:rsidP="00751F04">
            <w:pPr>
              <w:pStyle w:val="ListParagraph"/>
              <w:numPr>
                <w:ilvl w:val="1"/>
                <w:numId w:val="14"/>
              </w:numPr>
              <w:rPr>
                <w:rFonts w:ascii="Times New Roman" w:hAnsi="Times New Roman"/>
                <w:b/>
                <w:sz w:val="24"/>
                <w:szCs w:val="22"/>
                <w:u w:val="single"/>
                <w:lang w:eastAsia="en-GB"/>
              </w:rPr>
            </w:pPr>
            <w:r w:rsidRPr="00751F04">
              <w:rPr>
                <w:rFonts w:ascii="Times New Roman" w:hAnsi="Times New Roman"/>
                <w:b/>
                <w:sz w:val="22"/>
                <w:u w:val="single"/>
                <w:lang w:eastAsia="en-GB"/>
              </w:rPr>
              <w:t>Промена форме докумената (оригинал, оверена копија, копија, копија уз оригинал на увид</w:t>
            </w:r>
          </w:p>
          <w:p w:rsidR="00EB501A" w:rsidRPr="00EB501A" w:rsidRDefault="00EB501A" w:rsidP="00EB501A">
            <w:pPr>
              <w:pStyle w:val="ListParagraph"/>
              <w:rPr>
                <w:rFonts w:ascii="Times New Roman" w:hAnsi="Times New Roman"/>
                <w:b/>
                <w:sz w:val="24"/>
                <w:szCs w:val="22"/>
                <w:u w:val="single"/>
                <w:lang w:eastAsia="en-GB"/>
              </w:rPr>
            </w:pPr>
          </w:p>
          <w:p w:rsidR="00FE403A" w:rsidRPr="00404D66" w:rsidRDefault="00010F78" w:rsidP="00404D66">
            <w:pPr>
              <w:pStyle w:val="ListParagraph"/>
              <w:numPr>
                <w:ilvl w:val="0"/>
                <w:numId w:val="21"/>
              </w:numPr>
              <w:ind w:left="1134"/>
              <w:rPr>
                <w:rFonts w:ascii="Times New Roman" w:hAnsi="Times New Roman"/>
                <w:b/>
                <w:sz w:val="24"/>
                <w:lang w:eastAsia="en-GB"/>
              </w:rPr>
            </w:pPr>
            <w:r w:rsidRPr="00404D66">
              <w:rPr>
                <w:rFonts w:ascii="Times New Roman" w:hAnsi="Times New Roman"/>
                <w:b/>
                <w:sz w:val="22"/>
                <w:lang w:eastAsia="en-GB"/>
              </w:rPr>
              <w:t>Документ 5</w:t>
            </w:r>
            <w:r w:rsidR="00751F04" w:rsidRPr="00404D66">
              <w:rPr>
                <w:rFonts w:ascii="Times New Roman" w:hAnsi="Times New Roman"/>
                <w:b/>
                <w:sz w:val="22"/>
                <w:lang w:eastAsia="en-GB"/>
              </w:rPr>
              <w:t>–Доказ о уплати накнаде</w:t>
            </w:r>
          </w:p>
          <w:p w:rsidR="00FE403A" w:rsidRPr="00FB21D8" w:rsidRDefault="00FE403A" w:rsidP="00FE403A">
            <w:pPr>
              <w:pStyle w:val="ListParagraph"/>
              <w:rPr>
                <w:rFonts w:ascii="Times New Roman" w:hAnsi="Times New Roman"/>
                <w:sz w:val="24"/>
                <w:szCs w:val="22"/>
                <w:lang w:eastAsia="en-GB"/>
              </w:rPr>
            </w:pPr>
          </w:p>
          <w:p w:rsidR="00751F04" w:rsidRPr="00751F04" w:rsidRDefault="00751F04" w:rsidP="00751F04">
            <w:pPr>
              <w:rPr>
                <w:rFonts w:ascii="Times New Roman" w:hAnsi="Times New Roman"/>
                <w:sz w:val="22"/>
                <w:lang w:eastAsia="en-GB"/>
              </w:rPr>
            </w:pPr>
            <w:r w:rsidRPr="00751F04">
              <w:rPr>
                <w:rFonts w:ascii="Times New Roman" w:hAnsi="Times New Roman"/>
                <w:sz w:val="22"/>
                <w:lang w:eastAsia="en-GB"/>
              </w:rPr>
              <w:t>Према члану 43</w:t>
            </w:r>
            <w:r w:rsidR="00404D66">
              <w:rPr>
                <w:rFonts w:ascii="Times New Roman" w:hAnsi="Times New Roman"/>
                <w:sz w:val="22"/>
                <w:lang w:eastAsia="en-GB"/>
              </w:rPr>
              <w:t>.</w:t>
            </w:r>
            <w:r w:rsidRPr="00751F04">
              <w:rPr>
                <w:rFonts w:ascii="Times New Roman" w:hAnsi="Times New Roman"/>
                <w:sz w:val="22"/>
                <w:lang w:eastAsia="en-GB"/>
              </w:rPr>
              <w:t xml:space="preserve">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14184F" w:rsidRPr="00D22196" w:rsidRDefault="00751F04" w:rsidP="00751F04">
            <w:pPr>
              <w:rPr>
                <w:rFonts w:ascii="Times New Roman" w:hAnsi="Times New Roman"/>
                <w:sz w:val="22"/>
                <w:lang w:eastAsia="en-GB"/>
              </w:rPr>
            </w:pPr>
            <w:r w:rsidRPr="00751F04">
              <w:rPr>
                <w:rFonts w:ascii="Times New Roman" w:hAnsi="Times New Roman"/>
                <w:sz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D22196" w:rsidRPr="004F0074" w:rsidRDefault="00D22196" w:rsidP="00D22196">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D22196" w:rsidRPr="004F0074" w:rsidRDefault="00D22196" w:rsidP="00D22196">
            <w:pPr>
              <w:rPr>
                <w:rFonts w:ascii="Times New Roman" w:hAnsi="Times New Roman"/>
                <w:b/>
                <w:sz w:val="22"/>
                <w:szCs w:val="22"/>
                <w:lang w:eastAsia="en-GB"/>
              </w:rPr>
            </w:pPr>
          </w:p>
          <w:p w:rsidR="00773E4A" w:rsidRPr="00884005" w:rsidRDefault="007C4EE0" w:rsidP="007C4EE0">
            <w:pPr>
              <w:pStyle w:val="ListParagraph"/>
              <w:numPr>
                <w:ilvl w:val="1"/>
                <w:numId w:val="10"/>
              </w:numPr>
              <w:jc w:val="left"/>
              <w:rPr>
                <w:rFonts w:ascii="Times New Roman" w:hAnsi="Times New Roman"/>
                <w:b/>
                <w:sz w:val="22"/>
                <w:u w:val="single"/>
              </w:rPr>
            </w:pPr>
            <w:r w:rsidRPr="007C4EE0">
              <w:rPr>
                <w:rFonts w:ascii="Times New Roman" w:hAnsi="Times New Roman"/>
                <w:b/>
                <w:sz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884005" w:rsidRPr="006165CF" w:rsidRDefault="00884005" w:rsidP="00884005">
            <w:pPr>
              <w:pStyle w:val="ListParagraph"/>
              <w:ind w:left="900"/>
              <w:jc w:val="left"/>
              <w:rPr>
                <w:rFonts w:ascii="Times New Roman" w:hAnsi="Times New Roman"/>
                <w:b/>
                <w:sz w:val="22"/>
                <w:u w:val="single"/>
              </w:rPr>
            </w:pPr>
          </w:p>
          <w:p w:rsidR="00953C0B" w:rsidRPr="00853B1B" w:rsidRDefault="00953C0B" w:rsidP="00953C0B">
            <w:pPr>
              <w:shd w:val="clear" w:color="auto" w:fill="FFFFFF"/>
              <w:rPr>
                <w:rFonts w:ascii="Times New Roman" w:hAnsi="Times New Roman"/>
                <w:sz w:val="22"/>
                <w:szCs w:val="22"/>
              </w:rPr>
            </w:pPr>
            <w:r w:rsidRPr="00853B1B">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w:t>
            </w:r>
            <w:r w:rsidRPr="00853B1B">
              <w:rPr>
                <w:rFonts w:ascii="Times New Roman" w:hAnsi="Times New Roman"/>
                <w:sz w:val="22"/>
                <w:szCs w:val="22"/>
              </w:rPr>
              <w:lastRenderedPageBreak/>
              <w:t>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w:t>
            </w:r>
            <w:r>
              <w:rPr>
                <w:rFonts w:ascii="Times New Roman" w:hAnsi="Times New Roman"/>
                <w:sz w:val="22"/>
                <w:szCs w:val="22"/>
              </w:rPr>
              <w:t>ве</w:t>
            </w:r>
            <w:r w:rsidRPr="00853B1B">
              <w:rPr>
                <w:rFonts w:ascii="Times New Roman" w:hAnsi="Times New Roman"/>
                <w:sz w:val="22"/>
                <w:szCs w:val="22"/>
              </w:rPr>
              <w:t>.</w:t>
            </w:r>
          </w:p>
          <w:p w:rsidR="00884005" w:rsidRPr="00853B1B" w:rsidRDefault="00884005" w:rsidP="00FB44CD">
            <w:pPr>
              <w:shd w:val="clear" w:color="auto" w:fill="FFFFFF"/>
              <w:jc w:val="left"/>
              <w:rPr>
                <w:rFonts w:ascii="Times New Roman" w:hAnsi="Times New Roman"/>
                <w:sz w:val="22"/>
                <w:szCs w:val="22"/>
              </w:rPr>
            </w:pPr>
          </w:p>
          <w:p w:rsidR="00884005" w:rsidRPr="00A424CF" w:rsidRDefault="00884005" w:rsidP="00884005">
            <w:pPr>
              <w:rPr>
                <w:rFonts w:ascii="Times New Roman" w:hAnsi="Times New Roman"/>
                <w:b/>
                <w:sz w:val="22"/>
                <w:szCs w:val="22"/>
              </w:rPr>
            </w:pPr>
            <w:r w:rsidRPr="00853B1B">
              <w:rPr>
                <w:rFonts w:ascii="Times New Roman" w:hAnsi="Times New Roman"/>
                <w:b/>
                <w:sz w:val="22"/>
                <w:szCs w:val="22"/>
                <w:lang w:val="ru-RU"/>
              </w:rPr>
              <w:t>За примену ове препоруке, није неопходна измена прописа.</w:t>
            </w:r>
          </w:p>
          <w:p w:rsidR="004A787C" w:rsidRDefault="004A787C" w:rsidP="00C659C0">
            <w:pPr>
              <w:rPr>
                <w:rFonts w:ascii="Times New Roman" w:hAnsi="Times New Roman"/>
                <w:b/>
                <w:color w:val="00B050"/>
                <w:sz w:val="22"/>
                <w:szCs w:val="22"/>
                <w:lang w:val="ru-RU"/>
              </w:rPr>
            </w:pPr>
          </w:p>
          <w:p w:rsidR="005A42E3" w:rsidRPr="00D22196" w:rsidRDefault="005A42E3" w:rsidP="007C4EE0">
            <w:pPr>
              <w:rPr>
                <w:rFonts w:ascii="Times New Roman" w:hAnsi="Times New Roman"/>
                <w:b/>
                <w:color w:val="00B050"/>
                <w:sz w:val="22"/>
                <w:szCs w:val="22"/>
                <w:lang w:val="ru-RU"/>
              </w:rPr>
            </w:pPr>
            <w:bookmarkStart w:id="0" w:name="_GoBack"/>
            <w:bookmarkEnd w:id="0"/>
          </w:p>
        </w:tc>
      </w:tr>
      <w:tr w:rsidR="00CA1CE9" w:rsidRPr="003C3AF5"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3C3AF5" w:rsidTr="00DB19B9">
        <w:trPr>
          <w:trHeight w:val="454"/>
        </w:trPr>
        <w:tc>
          <w:tcPr>
            <w:tcW w:w="9060" w:type="dxa"/>
            <w:gridSpan w:val="2"/>
            <w:shd w:val="clear" w:color="auto" w:fill="auto"/>
          </w:tcPr>
          <w:p w:rsidR="001E4CD6" w:rsidRPr="006B00E4" w:rsidRDefault="001E4CD6" w:rsidP="001E4CD6">
            <w:pPr>
              <w:jc w:val="right"/>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Нацрт</w:t>
            </w:r>
          </w:p>
          <w:p w:rsidR="001E4CD6" w:rsidRDefault="001E4CD6" w:rsidP="001E4CD6">
            <w:pPr>
              <w:jc w:val="center"/>
              <w:rPr>
                <w:rFonts w:ascii="Arial" w:eastAsia="Times New Roman" w:hAnsi="Arial" w:cs="Arial"/>
                <w:b/>
                <w:bCs/>
                <w:noProof/>
                <w:sz w:val="24"/>
                <w:szCs w:val="24"/>
                <w:lang w:val="sr-Cyrl-CS"/>
              </w:rPr>
            </w:pPr>
          </w:p>
          <w:p w:rsidR="001E4CD6" w:rsidRPr="006B00E4" w:rsidRDefault="001E4CD6" w:rsidP="001E4CD6">
            <w:pPr>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Правилник о допунама Правилника о садржини Регистра туризма и документацији потребној за регистрацију и евиденцију које се допуњују</w:t>
            </w:r>
          </w:p>
          <w:p w:rsidR="001E4CD6" w:rsidRPr="006B00E4" w:rsidRDefault="001E4CD6" w:rsidP="001E4CD6">
            <w:pPr>
              <w:jc w:val="center"/>
              <w:rPr>
                <w:rFonts w:ascii="Times New Roman" w:eastAsia="Times New Roman" w:hAnsi="Times New Roman"/>
                <w:b/>
                <w:bCs/>
                <w:noProof/>
                <w:sz w:val="22"/>
                <w:szCs w:val="22"/>
                <w:lang w:val="sr-Cyrl-CS"/>
              </w:rPr>
            </w:pPr>
          </w:p>
          <w:p w:rsidR="00FB44CD" w:rsidRPr="005D145A" w:rsidRDefault="00FB44CD" w:rsidP="00FB44CD">
            <w:pPr>
              <w:jc w:val="center"/>
              <w:rPr>
                <w:rFonts w:ascii="Times New Roman" w:hAnsi="Times New Roman"/>
                <w:sz w:val="22"/>
                <w:szCs w:val="22"/>
                <w:lang w:val="ru-RU"/>
              </w:rPr>
            </w:pPr>
            <w:r w:rsidRPr="005D145A">
              <w:rPr>
                <w:rFonts w:ascii="Times New Roman" w:hAnsi="Times New Roman"/>
                <w:sz w:val="22"/>
                <w:szCs w:val="22"/>
                <w:lang w:val="ru-RU"/>
              </w:rPr>
              <w:t>Члан 1.</w:t>
            </w:r>
          </w:p>
          <w:p w:rsidR="00FB44CD" w:rsidRPr="005D145A" w:rsidRDefault="00FB44CD" w:rsidP="00FB44CD">
            <w:pPr>
              <w:rPr>
                <w:rFonts w:ascii="Times New Roman" w:hAnsi="Times New Roman"/>
                <w:sz w:val="22"/>
                <w:szCs w:val="22"/>
                <w:lang w:val="ru-RU"/>
              </w:rPr>
            </w:pPr>
            <w:r w:rsidRPr="005D145A">
              <w:rPr>
                <w:rFonts w:ascii="Times New Roman" w:hAnsi="Times New Roman"/>
                <w:sz w:val="22"/>
                <w:szCs w:val="22"/>
                <w:lang w:val="ru-RU"/>
              </w:rPr>
              <w:t>У члану 32. Правилника о садржини Регистра туризма и документацији потребној за регистрацију и евиденцију („Сл. гласник РС</w:t>
            </w:r>
            <w:r w:rsidRPr="005D145A">
              <w:rPr>
                <w:rFonts w:ascii="Times New Roman" w:hAnsi="Times New Roman"/>
                <w:sz w:val="22"/>
                <w:szCs w:val="22"/>
              </w:rPr>
              <w:t>”</w:t>
            </w:r>
            <w:r w:rsidRPr="005D145A">
              <w:rPr>
                <w:rFonts w:ascii="Times New Roman" w:hAnsi="Times New Roman"/>
                <w:sz w:val="22"/>
                <w:szCs w:val="22"/>
                <w:lang w:val="ru-RU"/>
              </w:rPr>
              <w:t>, бр. 55/12, 4/16, 81/19 и 13/20), после става 1. додаје се став 2. који гласи:</w:t>
            </w:r>
          </w:p>
          <w:p w:rsidR="00FB44CD" w:rsidRPr="005D145A" w:rsidRDefault="00FB44CD" w:rsidP="00FB44CD">
            <w:pPr>
              <w:rPr>
                <w:rFonts w:ascii="Times New Roman" w:hAnsi="Times New Roman"/>
                <w:sz w:val="22"/>
                <w:szCs w:val="22"/>
              </w:rPr>
            </w:pPr>
            <w:r w:rsidRPr="005D145A">
              <w:rPr>
                <w:rFonts w:ascii="Times New Roman" w:hAnsi="Times New Roman"/>
                <w:sz w:val="22"/>
                <w:szCs w:val="22"/>
                <w:lang w:val="ru-RU"/>
              </w:rPr>
              <w:t>„</w:t>
            </w:r>
            <w:r w:rsidRPr="005D145A">
              <w:rPr>
                <w:rFonts w:ascii="Times New Roman" w:hAnsi="Times New Roman"/>
                <w:sz w:val="22"/>
                <w:szCs w:val="22"/>
                <w:lang w:val="sr-Cyrl-BA"/>
              </w:rPr>
              <w:t xml:space="preserve">Агенција по </w:t>
            </w:r>
            <w:r w:rsidRPr="005D145A">
              <w:rPr>
                <w:rFonts w:ascii="Times New Roman" w:hAnsi="Times New Roman"/>
                <w:sz w:val="22"/>
                <w:szCs w:val="22"/>
              </w:rPr>
              <w:t>службеној дужности прибавља податке из службених евиденција</w:t>
            </w:r>
            <w:r>
              <w:rPr>
                <w:rFonts w:ascii="Times New Roman" w:hAnsi="Times New Roman"/>
                <w:sz w:val="22"/>
                <w:szCs w:val="22"/>
              </w:rPr>
              <w:t xml:space="preserve"> </w:t>
            </w:r>
            <w:r>
              <w:rPr>
                <w:rFonts w:ascii="Times New Roman" w:hAnsi="Times New Roman"/>
                <w:sz w:val="22"/>
                <w:szCs w:val="22"/>
                <w:lang w:val="sr-Cyrl-RS"/>
              </w:rPr>
              <w:t>Централног регистра обавезног социјалног осигурања</w:t>
            </w:r>
            <w:r w:rsidRPr="005D145A">
              <w:rPr>
                <w:rFonts w:ascii="Times New Roman" w:hAnsi="Times New Roman"/>
                <w:sz w:val="22"/>
                <w:szCs w:val="22"/>
              </w:rPr>
              <w:t xml:space="preserve"> и подносилац захтева није у обавези да достави документ из става </w:t>
            </w:r>
            <w:r w:rsidRPr="005D145A">
              <w:rPr>
                <w:rFonts w:ascii="Times New Roman" w:hAnsi="Times New Roman"/>
                <w:sz w:val="22"/>
                <w:szCs w:val="22"/>
                <w:lang w:val="sr-Cyrl-BA"/>
              </w:rPr>
              <w:t>1</w:t>
            </w:r>
            <w:r w:rsidRPr="005D145A">
              <w:rPr>
                <w:rFonts w:ascii="Times New Roman" w:hAnsi="Times New Roman"/>
                <w:sz w:val="22"/>
                <w:szCs w:val="22"/>
              </w:rPr>
              <w:t xml:space="preserve">. тач. </w:t>
            </w:r>
            <w:r w:rsidRPr="005D145A">
              <w:rPr>
                <w:rFonts w:ascii="Times New Roman" w:hAnsi="Times New Roman"/>
                <w:sz w:val="22"/>
                <w:szCs w:val="22"/>
                <w:lang w:val="sr-Cyrl-BA"/>
              </w:rPr>
              <w:t>1</w:t>
            </w:r>
            <w:r w:rsidRPr="005D145A">
              <w:rPr>
                <w:rFonts w:ascii="Times New Roman" w:hAnsi="Times New Roman"/>
                <w:sz w:val="22"/>
                <w:szCs w:val="22"/>
              </w:rPr>
              <w:t>), изузев ако изјави да ће те податке прибавити сам</w:t>
            </w:r>
            <w:r w:rsidRPr="005D145A">
              <w:rPr>
                <w:rFonts w:ascii="Times New Roman" w:eastAsia="Times New Roman" w:hAnsi="Times New Roman"/>
                <w:noProof/>
                <w:sz w:val="22"/>
                <w:szCs w:val="22"/>
                <w:lang w:val="sr-Cyrl-CS"/>
              </w:rPr>
              <w:t>.</w:t>
            </w:r>
            <w:r w:rsidRPr="005D145A">
              <w:rPr>
                <w:rFonts w:ascii="Times New Roman" w:hAnsi="Times New Roman"/>
                <w:sz w:val="22"/>
                <w:szCs w:val="22"/>
              </w:rPr>
              <w:t>”</w:t>
            </w:r>
          </w:p>
          <w:p w:rsidR="00FB44CD" w:rsidRDefault="00FB44CD" w:rsidP="00FB44CD">
            <w:pPr>
              <w:rPr>
                <w:rFonts w:ascii="Times New Roman" w:hAnsi="Times New Roman"/>
                <w:sz w:val="22"/>
                <w:szCs w:val="22"/>
                <w:lang w:val="ru-RU"/>
              </w:rPr>
            </w:pPr>
          </w:p>
          <w:p w:rsidR="00FB44CD" w:rsidRPr="005D145A" w:rsidRDefault="00FB44CD" w:rsidP="00FB44CD">
            <w:pPr>
              <w:tabs>
                <w:tab w:val="left" w:pos="709"/>
              </w:tabs>
              <w:suppressAutoHyphens/>
              <w:jc w:val="center"/>
              <w:rPr>
                <w:rFonts w:ascii="Times New Roman" w:eastAsiaTheme="minorHAnsi" w:hAnsi="Times New Roman"/>
                <w:sz w:val="22"/>
                <w:szCs w:val="22"/>
              </w:rPr>
            </w:pPr>
            <w:r w:rsidRPr="005D145A">
              <w:rPr>
                <w:rFonts w:ascii="Times New Roman" w:eastAsiaTheme="minorHAnsi" w:hAnsi="Times New Roman"/>
                <w:sz w:val="22"/>
                <w:szCs w:val="22"/>
              </w:rPr>
              <w:t>Члан 2</w:t>
            </w:r>
            <w:r>
              <w:rPr>
                <w:rFonts w:ascii="Times New Roman" w:eastAsiaTheme="minorHAnsi" w:hAnsi="Times New Roman"/>
                <w:sz w:val="22"/>
                <w:szCs w:val="22"/>
              </w:rPr>
              <w:t>.</w:t>
            </w:r>
          </w:p>
          <w:p w:rsidR="00FB44CD" w:rsidRPr="005D145A" w:rsidRDefault="00FB44CD" w:rsidP="00FB44CD">
            <w:pPr>
              <w:rPr>
                <w:rFonts w:ascii="Times New Roman" w:hAnsi="Times New Roman"/>
                <w:sz w:val="22"/>
                <w:szCs w:val="22"/>
                <w:lang w:val="ru-RU"/>
              </w:rPr>
            </w:pPr>
            <w:r w:rsidRPr="005D145A">
              <w:rPr>
                <w:rFonts w:ascii="Times New Roman" w:hAnsi="Times New Roman"/>
                <w:sz w:val="22"/>
                <w:szCs w:val="22"/>
                <w:lang w:val="ru-RU"/>
              </w:rPr>
              <w:t>У члану 32 а. после става 1. додаје се став 2. који гласи:</w:t>
            </w:r>
          </w:p>
          <w:p w:rsidR="00FB44CD" w:rsidRDefault="00FB44CD" w:rsidP="00FB44CD">
            <w:pPr>
              <w:rPr>
                <w:rFonts w:ascii="Times New Roman" w:hAnsi="Times New Roman"/>
                <w:sz w:val="22"/>
                <w:szCs w:val="22"/>
              </w:rPr>
            </w:pPr>
            <w:r w:rsidRPr="005D145A">
              <w:rPr>
                <w:rFonts w:ascii="Times New Roman" w:hAnsi="Times New Roman"/>
                <w:sz w:val="22"/>
                <w:szCs w:val="22"/>
                <w:lang w:val="ru-RU"/>
              </w:rPr>
              <w:t>„</w:t>
            </w:r>
            <w:r w:rsidRPr="005D145A">
              <w:rPr>
                <w:rFonts w:ascii="Times New Roman" w:hAnsi="Times New Roman"/>
                <w:sz w:val="22"/>
                <w:szCs w:val="22"/>
                <w:lang w:val="sr-Cyrl-BA"/>
              </w:rPr>
              <w:t xml:space="preserve">Агенција по </w:t>
            </w:r>
            <w:r w:rsidRPr="005D145A">
              <w:rPr>
                <w:rFonts w:ascii="Times New Roman" w:hAnsi="Times New Roman"/>
                <w:sz w:val="22"/>
                <w:szCs w:val="22"/>
              </w:rPr>
              <w:t>службеној дужности прибавља податке из службених евиденција</w:t>
            </w:r>
            <w:r>
              <w:rPr>
                <w:rFonts w:ascii="Times New Roman" w:hAnsi="Times New Roman"/>
                <w:sz w:val="22"/>
                <w:szCs w:val="22"/>
              </w:rPr>
              <w:t xml:space="preserve"> </w:t>
            </w:r>
            <w:r>
              <w:rPr>
                <w:rFonts w:ascii="Times New Roman" w:hAnsi="Times New Roman"/>
                <w:sz w:val="22"/>
                <w:szCs w:val="22"/>
                <w:lang w:val="sr-Cyrl-RS"/>
              </w:rPr>
              <w:t>Централног регистра обавезног социјалног осигурања</w:t>
            </w:r>
            <w:r w:rsidRPr="005D145A">
              <w:rPr>
                <w:rFonts w:ascii="Times New Roman" w:hAnsi="Times New Roman"/>
                <w:sz w:val="22"/>
                <w:szCs w:val="22"/>
              </w:rPr>
              <w:t xml:space="preserve"> и подносилац захтева није у обавези да достави документ из става </w:t>
            </w:r>
            <w:r w:rsidRPr="005D145A">
              <w:rPr>
                <w:rFonts w:ascii="Times New Roman" w:hAnsi="Times New Roman"/>
                <w:sz w:val="22"/>
                <w:szCs w:val="22"/>
                <w:lang w:val="sr-Cyrl-BA"/>
              </w:rPr>
              <w:t>1</w:t>
            </w:r>
            <w:r w:rsidRPr="005D145A">
              <w:rPr>
                <w:rFonts w:ascii="Times New Roman" w:hAnsi="Times New Roman"/>
                <w:sz w:val="22"/>
                <w:szCs w:val="22"/>
              </w:rPr>
              <w:t xml:space="preserve">. тач. </w:t>
            </w:r>
            <w:r w:rsidRPr="005D145A">
              <w:rPr>
                <w:rFonts w:ascii="Times New Roman" w:hAnsi="Times New Roman"/>
                <w:sz w:val="22"/>
                <w:szCs w:val="22"/>
                <w:lang w:val="sr-Cyrl-BA"/>
              </w:rPr>
              <w:t>1</w:t>
            </w:r>
            <w:r w:rsidRPr="005D145A">
              <w:rPr>
                <w:rFonts w:ascii="Times New Roman" w:hAnsi="Times New Roman"/>
                <w:sz w:val="22"/>
                <w:szCs w:val="22"/>
              </w:rPr>
              <w:t>), изузев ако изјави да ће те податке прибавити сам</w:t>
            </w:r>
            <w:r w:rsidRPr="005D145A">
              <w:rPr>
                <w:rFonts w:ascii="Times New Roman" w:eastAsia="Times New Roman" w:hAnsi="Times New Roman"/>
                <w:noProof/>
                <w:sz w:val="22"/>
                <w:szCs w:val="22"/>
                <w:lang w:val="sr-Cyrl-CS"/>
              </w:rPr>
              <w:t>.</w:t>
            </w:r>
            <w:r w:rsidRPr="005D145A">
              <w:rPr>
                <w:rFonts w:ascii="Times New Roman" w:hAnsi="Times New Roman"/>
                <w:sz w:val="22"/>
                <w:szCs w:val="22"/>
              </w:rPr>
              <w:t>”</w:t>
            </w:r>
          </w:p>
          <w:p w:rsidR="00FB44CD" w:rsidRPr="005D145A" w:rsidRDefault="00FB44CD" w:rsidP="00FB44CD">
            <w:pPr>
              <w:rPr>
                <w:rFonts w:ascii="Times New Roman" w:hAnsi="Times New Roman"/>
                <w:sz w:val="22"/>
                <w:szCs w:val="22"/>
              </w:rPr>
            </w:pPr>
          </w:p>
          <w:p w:rsidR="00FB44CD" w:rsidRPr="005D145A" w:rsidRDefault="00FB44CD" w:rsidP="00FB44CD">
            <w:pPr>
              <w:tabs>
                <w:tab w:val="left" w:pos="709"/>
              </w:tabs>
              <w:suppressAutoHyphens/>
              <w:jc w:val="center"/>
              <w:rPr>
                <w:rFonts w:ascii="Times New Roman" w:eastAsiaTheme="minorHAnsi" w:hAnsi="Times New Roman"/>
                <w:sz w:val="22"/>
                <w:szCs w:val="22"/>
              </w:rPr>
            </w:pPr>
            <w:r w:rsidRPr="005D145A">
              <w:rPr>
                <w:rFonts w:ascii="Times New Roman" w:eastAsiaTheme="minorHAnsi" w:hAnsi="Times New Roman"/>
                <w:sz w:val="22"/>
                <w:szCs w:val="22"/>
              </w:rPr>
              <w:t xml:space="preserve">Члан </w:t>
            </w:r>
            <w:r>
              <w:rPr>
                <w:rFonts w:ascii="Times New Roman" w:eastAsiaTheme="minorHAnsi" w:hAnsi="Times New Roman"/>
                <w:sz w:val="22"/>
                <w:szCs w:val="22"/>
                <w:lang w:val="sr-Cyrl-RS"/>
              </w:rPr>
              <w:t>3</w:t>
            </w:r>
            <w:r w:rsidRPr="005D145A">
              <w:rPr>
                <w:rFonts w:ascii="Times New Roman" w:eastAsiaTheme="minorHAnsi" w:hAnsi="Times New Roman"/>
                <w:sz w:val="22"/>
                <w:szCs w:val="22"/>
              </w:rPr>
              <w:t>.</w:t>
            </w:r>
          </w:p>
          <w:p w:rsidR="00FB44CD" w:rsidRPr="004159B2" w:rsidRDefault="00FB44CD" w:rsidP="00FB44CD">
            <w:pPr>
              <w:tabs>
                <w:tab w:val="left" w:pos="709"/>
              </w:tabs>
              <w:suppressAutoHyphens/>
              <w:rPr>
                <w:rFonts w:ascii="Times New Roman" w:eastAsiaTheme="minorHAnsi" w:hAnsi="Times New Roman"/>
                <w:sz w:val="24"/>
              </w:rPr>
            </w:pPr>
            <w:r w:rsidRPr="005D145A">
              <w:rPr>
                <w:rFonts w:ascii="Times New Roman" w:eastAsiaTheme="minorHAnsi" w:hAnsi="Times New Roman"/>
                <w:sz w:val="22"/>
                <w:szCs w:val="22"/>
              </w:rPr>
              <w:t xml:space="preserve">Овај правилник ступа на снагу </w:t>
            </w:r>
            <w:r w:rsidRPr="005D145A">
              <w:rPr>
                <w:rFonts w:ascii="Times New Roman" w:eastAsiaTheme="minorHAnsi" w:hAnsi="Times New Roman"/>
                <w:noProof/>
                <w:sz w:val="22"/>
                <w:szCs w:val="22"/>
                <w:lang w:val="sr-Cyrl-CS"/>
              </w:rPr>
              <w:t>осмог дана</w:t>
            </w:r>
            <w:r w:rsidRPr="005D145A">
              <w:rPr>
                <w:rFonts w:ascii="Times New Roman" w:eastAsiaTheme="minorHAnsi" w:hAnsi="Times New Roman"/>
                <w:sz w:val="22"/>
                <w:szCs w:val="22"/>
              </w:rPr>
              <w:t xml:space="preserve"> од дана објављивања у „Службеном</w:t>
            </w:r>
            <w:r w:rsidRPr="00FA0334">
              <w:rPr>
                <w:rFonts w:ascii="Times New Roman" w:eastAsiaTheme="minorHAnsi" w:hAnsi="Times New Roman"/>
                <w:sz w:val="24"/>
              </w:rPr>
              <w:t xml:space="preserve"> гласнику Републике Србије“</w:t>
            </w:r>
            <w:r>
              <w:rPr>
                <w:rFonts w:ascii="Times New Roman" w:eastAsiaTheme="minorHAnsi" w:hAnsi="Times New Roman"/>
                <w:sz w:val="24"/>
              </w:rPr>
              <w:t>.</w:t>
            </w:r>
          </w:p>
          <w:p w:rsidR="001A7E68" w:rsidRDefault="001A7E68" w:rsidP="001A7E68">
            <w:pPr>
              <w:tabs>
                <w:tab w:val="left" w:pos="709"/>
              </w:tabs>
              <w:suppressAutoHyphens/>
              <w:rPr>
                <w:rFonts w:ascii="Times New Roman" w:eastAsiaTheme="minorHAnsi" w:hAnsi="Times New Roman"/>
                <w:sz w:val="22"/>
              </w:rPr>
            </w:pPr>
          </w:p>
          <w:p w:rsidR="009C148E" w:rsidRDefault="009C148E" w:rsidP="001A7E68">
            <w:pPr>
              <w:tabs>
                <w:tab w:val="left" w:pos="709"/>
              </w:tabs>
              <w:suppressAutoHyphens/>
              <w:rPr>
                <w:rFonts w:ascii="Times New Roman" w:eastAsiaTheme="minorHAnsi" w:hAnsi="Times New Roman"/>
                <w:sz w:val="22"/>
              </w:rPr>
            </w:pPr>
          </w:p>
          <w:p w:rsidR="009C148E" w:rsidRDefault="009C148E" w:rsidP="009C148E">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Одлука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9C148E" w:rsidRDefault="009C148E" w:rsidP="009C148E">
            <w:pPr>
              <w:ind w:left="331"/>
              <w:jc w:val="center"/>
              <w:rPr>
                <w:rFonts w:ascii="Times New Roman" w:eastAsia="Times New Roman" w:hAnsi="Times New Roman"/>
                <w:b/>
                <w:sz w:val="22"/>
                <w:szCs w:val="22"/>
              </w:rPr>
            </w:pPr>
          </w:p>
          <w:p w:rsidR="009C148E" w:rsidRPr="00817206" w:rsidRDefault="009C148E" w:rsidP="009C148E">
            <w:pPr>
              <w:ind w:left="331"/>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Члан 1.</w:t>
            </w:r>
          </w:p>
          <w:p w:rsidR="009C148E" w:rsidRPr="00781198" w:rsidRDefault="009C148E" w:rsidP="009C148E">
            <w:pPr>
              <w:spacing w:before="120" w:after="120"/>
              <w:rPr>
                <w:rFonts w:ascii="Times New Roman" w:hAnsi="Times New Roman"/>
                <w:b/>
                <w:bCs/>
                <w:sz w:val="22"/>
                <w:szCs w:val="22"/>
                <w:lang w:val="sr-Cyrl-RS"/>
              </w:rPr>
            </w:pPr>
            <w:r w:rsidRPr="0027768C">
              <w:rPr>
                <w:rFonts w:ascii="Times New Roman" w:eastAsia="Times New Roman" w:hAnsi="Times New Roman"/>
                <w:bCs/>
                <w:sz w:val="22"/>
                <w:szCs w:val="22"/>
                <w:lang w:val="sr-Cyrl-RS"/>
              </w:rPr>
              <w:t xml:space="preserve">У </w:t>
            </w:r>
            <w:r w:rsidRPr="0027768C">
              <w:rPr>
                <w:rFonts w:ascii="Times New Roman" w:hAnsi="Times New Roman"/>
                <w:sz w:val="22"/>
                <w:szCs w:val="22"/>
              </w:rPr>
              <w:t>Одлу</w:t>
            </w:r>
            <w:r w:rsidRPr="0027768C">
              <w:rPr>
                <w:rFonts w:ascii="Times New Roman" w:hAnsi="Times New Roman"/>
                <w:sz w:val="22"/>
                <w:szCs w:val="22"/>
                <w:lang w:val="sr-Cyrl-RS"/>
              </w:rPr>
              <w:t>ци</w:t>
            </w:r>
            <w:r w:rsidRPr="0027768C">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9C148E" w:rsidRDefault="009C148E" w:rsidP="009C148E">
            <w:pPr>
              <w:spacing w:before="120" w:after="120"/>
              <w:jc w:val="center"/>
              <w:rPr>
                <w:rFonts w:ascii="Times New Roman" w:hAnsi="Times New Roman"/>
                <w:b/>
                <w:bCs/>
                <w:sz w:val="22"/>
                <w:szCs w:val="22"/>
                <w:lang w:val="sr-Cyrl-RS"/>
              </w:rPr>
            </w:pPr>
            <w:r w:rsidRPr="00781198">
              <w:rPr>
                <w:rFonts w:ascii="Times New Roman" w:hAnsi="Times New Roman"/>
                <w:b/>
                <w:bCs/>
                <w:sz w:val="22"/>
                <w:szCs w:val="22"/>
                <w:lang w:val="sr-Cyrl-RS"/>
              </w:rPr>
              <w:t>Члан 2.</w:t>
            </w:r>
          </w:p>
          <w:p w:rsidR="00CA1CE9" w:rsidRPr="008A6515" w:rsidRDefault="009C148E" w:rsidP="008A6515">
            <w:pPr>
              <w:spacing w:before="120" w:after="120"/>
              <w:rPr>
                <w:rFonts w:ascii="Times New Roman" w:hAnsi="Times New Roman"/>
                <w:sz w:val="22"/>
                <w:szCs w:val="22"/>
                <w:lang w:val="sr-Cyrl-RS"/>
              </w:rPr>
            </w:pPr>
            <w:r>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3C3AF5"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1E4CD6" w:rsidRPr="003C3AF5" w:rsidTr="00DB19B9">
        <w:trPr>
          <w:trHeight w:val="454"/>
        </w:trPr>
        <w:tc>
          <w:tcPr>
            <w:tcW w:w="9060" w:type="dxa"/>
            <w:gridSpan w:val="2"/>
            <w:shd w:val="clear" w:color="auto" w:fill="auto"/>
          </w:tcPr>
          <w:p w:rsidR="001E4CD6" w:rsidRPr="006B00E4" w:rsidRDefault="001E4CD6" w:rsidP="0081013D">
            <w:pPr>
              <w:spacing w:before="240" w:after="240"/>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Преглед одредби Правилника о садржини Регистра туризма и документацији потребној за регистрацију и евиденцију које се допуњују</w:t>
            </w:r>
          </w:p>
          <w:p w:rsidR="001E4CD6" w:rsidRPr="006B00E4" w:rsidRDefault="001E4CD6" w:rsidP="001E4CD6">
            <w:pPr>
              <w:spacing w:before="240" w:after="240"/>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 xml:space="preserve">Регистрација и промена података који се региструју </w:t>
            </w:r>
          </w:p>
          <w:p w:rsidR="001E4CD6" w:rsidRPr="006B00E4" w:rsidRDefault="001E4CD6" w:rsidP="001E4CD6">
            <w:pPr>
              <w:spacing w:before="240" w:after="120"/>
              <w:jc w:val="center"/>
              <w:rPr>
                <w:rFonts w:ascii="Times New Roman" w:eastAsia="Times New Roman" w:hAnsi="Times New Roman"/>
                <w:b/>
                <w:bCs/>
                <w:noProof/>
                <w:sz w:val="22"/>
                <w:szCs w:val="22"/>
                <w:lang w:val="sr-Cyrl-CS"/>
              </w:rPr>
            </w:pPr>
            <w:bookmarkStart w:id="1" w:name="clan_32"/>
            <w:bookmarkEnd w:id="1"/>
            <w:r w:rsidRPr="006B00E4">
              <w:rPr>
                <w:rFonts w:ascii="Times New Roman" w:eastAsia="Times New Roman" w:hAnsi="Times New Roman"/>
                <w:b/>
                <w:bCs/>
                <w:noProof/>
                <w:sz w:val="22"/>
                <w:szCs w:val="22"/>
                <w:lang w:val="sr-Cyrl-CS"/>
              </w:rPr>
              <w:lastRenderedPageBreak/>
              <w:t xml:space="preserve">Члан 32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Уз пријаву за регистрацију података о руководиоцу туристичке агенције организатора туристичког путовања прилаже се: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1) одговарајући доказ да је лице које се уписује као руководилац запослен са пуним радним временом у својству руководиоца у простору, односно месту пословања у ком правно лице, односно предузетник који је носилац лиценце обавља делатност туристичке агенције;</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2) оверена копија или оверени препис дипломе - потврде надлежне школске установе код које је то лице стекло најмање вишу стручну спрему, односно високо образовање на основним академским студијама у обиму од најмање 180 ЕСПБ бодова, основним струковним студијама, односно на студијама у трајању од три године;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2а) доказ о активном знању страног језика - Б2 ниво језичке компетентности ЦЕФР - потврда школе страног језика; диплома о завршеном факултету основних академских студија од 180 до 240 ЕСПБ бодова, где је програмом предвиђено учење, односно полагање страног језика сваке школске године са доказом о положеним испитима; диплома о завршеној средњој школи или факултету на којој се програм наставе и учења одржава на страном језику; уверење о положеном испиту за туристичког водича или туристичког пратиоца, односно лиценца туристичког водича или туристичког пратиоца;</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3) доказ из кога се може утврдити да лице које се уписује као руководилац има радно искуство у туристичкој делатности од најмање три године за рад код организатора туристичког путовања - оверена копија или оверени препис радне књижице, потврда правних лица и предузетника код којих је то радно искуство стечено или оверена изјава лица које се уписује као руководилац;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4) потврда надлежног суда да лицу које се уписује као руководилац није изречена мера безбедности забране вршења делатности, позива и дужности.</w:t>
            </w:r>
          </w:p>
          <w:p w:rsidR="00FB44CD" w:rsidRDefault="00FB44CD" w:rsidP="00FB44CD">
            <w:pPr>
              <w:spacing w:before="240" w:after="120"/>
              <w:rPr>
                <w:rFonts w:ascii="Times New Roman" w:hAnsi="Times New Roman"/>
                <w:sz w:val="22"/>
                <w:lang w:val="sr-Cyrl-BA"/>
              </w:rPr>
            </w:pPr>
            <w:r w:rsidRPr="009B276F">
              <w:rPr>
                <w:rFonts w:ascii="Times New Roman" w:hAnsi="Times New Roman"/>
                <w:sz w:val="22"/>
                <w:lang w:val="sr-Cyrl-BA"/>
              </w:rPr>
              <w:t>АГЕНЦИЈА ПО СЛУЖБЕНОЈ ДУЖНОСТИ ПРИБАВЉА ПОДАТКЕ ИЗ СЛУЖБЕНИХ ЕВИДЕНЦИЈА ЦЕНТРАЛНОГ РЕГИСТРА ОБАВЕЗНОГ СОЦИЈАЛНОГ ОСИГУРАЊА И ПОДНОСИЛАЦ ЗАХТЕВА НИЈЕ У ОБАВЕЗИ ДА ДОСТАВИ ДОКУМЕНТ ИЗ СТАВА 1. ТАЧ. 1), ИЗУЗЕВ АКО ИЗЈАВИ ДА ЋЕ ТЕ ПОДАТКЕ ПРИБАВИТИ САМ.</w:t>
            </w:r>
          </w:p>
          <w:p w:rsidR="001E4CD6" w:rsidRPr="006B00E4" w:rsidRDefault="001E4CD6" w:rsidP="001E4CD6">
            <w:pPr>
              <w:spacing w:before="240" w:after="120"/>
              <w:jc w:val="center"/>
              <w:rPr>
                <w:rFonts w:ascii="Times New Roman" w:eastAsia="Times New Roman" w:hAnsi="Times New Roman"/>
                <w:b/>
                <w:bCs/>
                <w:noProof/>
                <w:sz w:val="22"/>
                <w:szCs w:val="22"/>
                <w:lang w:val="sr-Cyrl-CS"/>
              </w:rPr>
            </w:pPr>
            <w:bookmarkStart w:id="2" w:name="clan_32a"/>
            <w:bookmarkEnd w:id="2"/>
            <w:r w:rsidRPr="006B00E4">
              <w:rPr>
                <w:rFonts w:ascii="Times New Roman" w:eastAsia="Times New Roman" w:hAnsi="Times New Roman"/>
                <w:b/>
                <w:bCs/>
                <w:noProof/>
                <w:sz w:val="22"/>
                <w:szCs w:val="22"/>
                <w:lang w:val="sr-Cyrl-CS"/>
              </w:rPr>
              <w:t xml:space="preserve">Члан 32а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Уз пријаву за регистрацију података о руководиоцу туристичке агенције посредника у продаји туристичких путовања прилаже се: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1) одговарајући доказ да је лице које се уписује као руководилац запослен са пуним радним временом у својству руководиоца у простору, односно месту пословања у ком правно лице, односно предузетник обавља делатност туристичке агенције;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2) оверена копија или оверени препис дипломе - потврде надлежне школске установе код које је то лице стекло средње образовање у четворогодишњем трајању туристичког, економског или другог друштвеног смера;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3) доказ о активном знању страног језика - Б2 ниво језичке компетентности ЦЕФР - потврда школе страног језика; диплома о завршеном факултету основних академских студија од 180 до 240 ЕСПБ бодова, где је програмом предвиђено учење, односно полагање страног језика сваке школске године са доказом о положеним испитима; диплома о завршеној средњој школи </w:t>
            </w:r>
            <w:r w:rsidRPr="006B00E4">
              <w:rPr>
                <w:rFonts w:ascii="Times New Roman" w:eastAsia="Times New Roman" w:hAnsi="Times New Roman"/>
                <w:noProof/>
                <w:sz w:val="22"/>
                <w:szCs w:val="22"/>
                <w:lang w:val="sr-Cyrl-CS"/>
              </w:rPr>
              <w:lastRenderedPageBreak/>
              <w:t xml:space="preserve">или факултету на којој се програм наставе и учења одржава на страном језику или уверење о положеном испиту за туристичког водича, односно лиценца туристичког водича; </w:t>
            </w:r>
          </w:p>
          <w:p w:rsidR="001E4CD6" w:rsidRPr="006B00E4" w:rsidRDefault="001E4CD6" w:rsidP="001E4CD6">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4) доказ из кога се може утврдити да лице које се уписује као руководилац има радно искуство у туристичкој делатности од најмање једне године за рад код посредника у продаји туристичких путовања - оверена копија или оверени препис радне књижице, потврда правних лица и предузетника код којих је то радно искуство стечено или оверена изјава лица које се уписује као руководилац; </w:t>
            </w:r>
          </w:p>
          <w:p w:rsidR="00FB44CD" w:rsidRDefault="00FB44CD" w:rsidP="00FB44CD">
            <w:pPr>
              <w:spacing w:before="240" w:after="120"/>
              <w:rPr>
                <w:rFonts w:ascii="Times New Roman" w:hAnsi="Times New Roman"/>
                <w:sz w:val="22"/>
                <w:lang w:val="sr-Cyrl-BA"/>
              </w:rPr>
            </w:pPr>
            <w:r w:rsidRPr="009B276F">
              <w:rPr>
                <w:rFonts w:ascii="Times New Roman" w:hAnsi="Times New Roman"/>
                <w:sz w:val="22"/>
                <w:lang w:val="sr-Cyrl-BA"/>
              </w:rPr>
              <w:t>АГЕНЦИЈА ПО СЛУЖБЕНОЈ ДУЖНОСТИ ПРИБАВЉА ПОДАТКЕ ИЗ СЛУЖБЕНИХ ЕВИДЕНЦИЈА ЦЕНТРАЛНОГ РЕГИСТРА ОБАВЕЗНОГ СОЦИЈАЛНОГ ОСИГУРАЊА И ПОДНОСИЛАЦ ЗАХТЕВА НИЈЕ У ОБАВЕЗИ ДА ДОСТАВИ ДОКУМЕНТ ИЗ СТАВА 1. ТАЧ. 1), ИЗУЗЕВ АКО ИЗЈАВИ ДА ЋЕ ТЕ ПОДАТКЕ ПРИБАВИТИ САМ.</w:t>
            </w:r>
          </w:p>
          <w:p w:rsidR="00AD5C24" w:rsidRDefault="00AD5C24" w:rsidP="001E4CD6">
            <w:pPr>
              <w:rPr>
                <w:rFonts w:ascii="Times New Roman" w:eastAsia="Times New Roman" w:hAnsi="Times New Roman"/>
                <w:noProof/>
                <w:sz w:val="22"/>
                <w:szCs w:val="22"/>
                <w:lang w:val="sr-Cyrl-CS"/>
              </w:rPr>
            </w:pPr>
          </w:p>
          <w:p w:rsidR="008A6515" w:rsidRPr="008A6515" w:rsidRDefault="008A6515" w:rsidP="008A6515">
            <w:pPr>
              <w:ind w:left="331"/>
              <w:jc w:val="center"/>
              <w:rPr>
                <w:rFonts w:ascii="Times New Roman" w:eastAsia="Times New Roman" w:hAnsi="Times New Roman"/>
                <w:b/>
                <w:sz w:val="22"/>
                <w:szCs w:val="22"/>
              </w:rPr>
            </w:pPr>
            <w:r w:rsidRPr="008A6515">
              <w:rPr>
                <w:rFonts w:ascii="Times New Roman" w:eastAsia="Times New Roman" w:hAnsi="Times New Roman"/>
                <w:b/>
                <w:sz w:val="22"/>
                <w:szCs w:val="22"/>
                <w:lang w:val="sr-Cyrl-RS"/>
              </w:rPr>
              <w:t xml:space="preserve">Преглед одредби Одлуке о измени </w:t>
            </w:r>
            <w:r w:rsidRPr="008A6515">
              <w:rPr>
                <w:rFonts w:ascii="Times New Roman" w:eastAsia="Times New Roman" w:hAnsi="Times New Roman"/>
                <w:b/>
                <w:sz w:val="22"/>
                <w:szCs w:val="22"/>
              </w:rPr>
              <w:t>Одлук</w:t>
            </w:r>
            <w:r w:rsidRPr="008A6515">
              <w:rPr>
                <w:rFonts w:ascii="Times New Roman" w:eastAsia="Times New Roman" w:hAnsi="Times New Roman"/>
                <w:b/>
                <w:sz w:val="22"/>
                <w:szCs w:val="22"/>
                <w:lang w:val="sr-Cyrl-RS"/>
              </w:rPr>
              <w:t>е</w:t>
            </w:r>
            <w:r w:rsidRPr="008A6515">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8A6515" w:rsidRPr="008A6515" w:rsidRDefault="008A6515" w:rsidP="008A6515">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VIII. НАЧИН ПЛАЋАЊА НАКНАДА</w:t>
            </w:r>
          </w:p>
          <w:p w:rsidR="008A6515" w:rsidRPr="008A6515" w:rsidRDefault="008A6515" w:rsidP="008A6515">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Члан 43.</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00FB44CD" w:rsidRPr="008A6515">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8A6515">
              <w:rPr>
                <w:rFonts w:ascii="Times New Roman" w:eastAsia="Times New Roman" w:hAnsi="Times New Roman"/>
                <w:color w:val="000000" w:themeColor="text1"/>
                <w:sz w:val="22"/>
                <w:szCs w:val="22"/>
                <w:lang w:val="sr-Latn-RS" w:eastAsia="sr-Latn-RS"/>
              </w:rPr>
              <w:t>, који садржи:</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lastRenderedPageBreak/>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lastRenderedPageBreak/>
              <w:t>Подаци о више или погрешно уплаћеним средствима евидентирају се, прате и објављују на интернет страни Агенције, која се редовно ажурира.</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8A6515" w:rsidRPr="008A6515" w:rsidRDefault="008A6515" w:rsidP="008A6515">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8A6515">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8A6515" w:rsidRDefault="008A6515" w:rsidP="00AD5C24">
            <w:pPr>
              <w:ind w:firstLine="284"/>
              <w:rPr>
                <w:rFonts w:ascii="Times New Roman" w:eastAsia="Times New Roman" w:hAnsi="Times New Roman"/>
                <w:b/>
                <w:noProof/>
                <w:sz w:val="22"/>
                <w:szCs w:val="22"/>
                <w:lang w:val="sr-Cyrl-CS"/>
              </w:rPr>
            </w:pPr>
            <w:r w:rsidRPr="008A6515">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r w:rsidRPr="008A6515">
              <w:rPr>
                <w:color w:val="000000" w:themeColor="text1"/>
                <w:sz w:val="22"/>
                <w:szCs w:val="22"/>
              </w:rPr>
              <w:t>.</w:t>
            </w:r>
          </w:p>
          <w:p w:rsidR="008A6515" w:rsidRPr="00853B1B" w:rsidRDefault="008A6515" w:rsidP="001E4CD6">
            <w:pPr>
              <w:rPr>
                <w:rFonts w:ascii="Times New Roman" w:eastAsia="Times New Roman" w:hAnsi="Times New Roman"/>
                <w:b/>
                <w:sz w:val="22"/>
                <w:szCs w:val="22"/>
              </w:rPr>
            </w:pPr>
          </w:p>
        </w:tc>
      </w:tr>
      <w:tr w:rsidR="001E4CD6" w:rsidRPr="00853B1B" w:rsidTr="00C70F1B">
        <w:trPr>
          <w:trHeight w:val="454"/>
        </w:trPr>
        <w:tc>
          <w:tcPr>
            <w:tcW w:w="9060" w:type="dxa"/>
            <w:gridSpan w:val="2"/>
            <w:shd w:val="clear" w:color="auto" w:fill="DBE5F1" w:themeFill="accent1" w:themeFillTint="33"/>
            <w:vAlign w:val="center"/>
          </w:tcPr>
          <w:p w:rsidR="001E4CD6" w:rsidRPr="00853B1B" w:rsidRDefault="001E4CD6" w:rsidP="001E4CD6">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1E4CD6" w:rsidRPr="00853B1B" w:rsidTr="00DB19B9">
        <w:trPr>
          <w:trHeight w:val="454"/>
        </w:trPr>
        <w:tc>
          <w:tcPr>
            <w:tcW w:w="9060" w:type="dxa"/>
            <w:gridSpan w:val="2"/>
            <w:shd w:val="clear" w:color="auto" w:fill="auto"/>
          </w:tcPr>
          <w:p w:rsidR="009B5130" w:rsidRPr="00707BE2" w:rsidRDefault="009B5130" w:rsidP="009B5130">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 xml:space="preserve">ишњем нивоу износе 197.724,79 </w:t>
            </w:r>
            <w:r w:rsidRPr="00707BE2">
              <w:rPr>
                <w:rFonts w:ascii="Times New Roman" w:eastAsia="Times New Roman" w:hAnsi="Times New Roman"/>
                <w:color w:val="000000"/>
                <w:sz w:val="22"/>
                <w:szCs w:val="22"/>
              </w:rPr>
              <w:t>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24.458,16 РСД или 201,10 ЕУР. Ове уштеде износе 12,37</w:t>
            </w:r>
            <w:r w:rsidRPr="00707BE2">
              <w:rPr>
                <w:rFonts w:ascii="Times New Roman" w:eastAsia="Times New Roman" w:hAnsi="Times New Roman"/>
                <w:color w:val="000000"/>
                <w:sz w:val="22"/>
                <w:szCs w:val="22"/>
              </w:rPr>
              <w:t>% укупних директних трошкова привредних субјеката у поступку.</w:t>
            </w:r>
          </w:p>
          <w:p w:rsidR="001E4CD6" w:rsidRPr="00853B1B" w:rsidRDefault="009B5130" w:rsidP="0081013D">
            <w:pPr>
              <w:shd w:val="clear" w:color="auto" w:fill="FFFFFF"/>
              <w:spacing w:before="120"/>
              <w:rPr>
                <w:rFonts w:ascii="Times New Roman" w:eastAsia="Times New Roman" w:hAnsi="Times New Roman"/>
                <w:b/>
                <w:sz w:val="22"/>
                <w:szCs w:val="22"/>
              </w:rPr>
            </w:pPr>
            <w:r w:rsidRPr="00707BE2">
              <w:rPr>
                <w:rFonts w:ascii="Times New Roman" w:eastAsia="Times New Roman" w:hAnsi="Times New Roman"/>
                <w:color w:val="000000"/>
                <w:sz w:val="22"/>
                <w:szCs w:val="22"/>
              </w:rPr>
              <w:t> </w:t>
            </w:r>
            <w:r w:rsidRPr="00707BE2">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F9C" w:rsidRDefault="007A3F9C" w:rsidP="002A202F">
      <w:r>
        <w:separator/>
      </w:r>
    </w:p>
  </w:endnote>
  <w:endnote w:type="continuationSeparator" w:id="0">
    <w:p w:rsidR="007A3F9C" w:rsidRDefault="007A3F9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FE403A" w:rsidRDefault="004003C8">
        <w:pPr>
          <w:pStyle w:val="Footer"/>
          <w:jc w:val="right"/>
        </w:pPr>
        <w:r>
          <w:fldChar w:fldCharType="begin"/>
        </w:r>
        <w:r w:rsidR="00FE403A">
          <w:instrText xml:space="preserve"> PAGE   \* MERGEFORMAT </w:instrText>
        </w:r>
        <w:r>
          <w:fldChar w:fldCharType="separate"/>
        </w:r>
        <w:r w:rsidR="007C4EE0">
          <w:rPr>
            <w:noProof/>
          </w:rPr>
          <w:t>1</w:t>
        </w:r>
        <w:r>
          <w:rPr>
            <w:noProof/>
          </w:rPr>
          <w:fldChar w:fldCharType="end"/>
        </w:r>
      </w:p>
    </w:sdtContent>
  </w:sdt>
  <w:p w:rsidR="00FE403A" w:rsidRDefault="00FE4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F9C" w:rsidRDefault="007A3F9C" w:rsidP="002A202F">
      <w:r>
        <w:separator/>
      </w:r>
    </w:p>
  </w:footnote>
  <w:footnote w:type="continuationSeparator" w:id="0">
    <w:p w:rsidR="007A3F9C" w:rsidRDefault="007A3F9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F44A0"/>
    <w:multiLevelType w:val="multilevel"/>
    <w:tmpl w:val="2E889028"/>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88E38E3"/>
    <w:multiLevelType w:val="multilevel"/>
    <w:tmpl w:val="962814C6"/>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018723E"/>
    <w:multiLevelType w:val="multilevel"/>
    <w:tmpl w:val="E72AD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B806AA7"/>
    <w:multiLevelType w:val="hybridMultilevel"/>
    <w:tmpl w:val="A55C306A"/>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4"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4"/>
  </w:num>
  <w:num w:numId="4">
    <w:abstractNumId w:val="24"/>
  </w:num>
  <w:num w:numId="5">
    <w:abstractNumId w:val="21"/>
  </w:num>
  <w:num w:numId="6">
    <w:abstractNumId w:val="2"/>
  </w:num>
  <w:num w:numId="7">
    <w:abstractNumId w:val="20"/>
  </w:num>
  <w:num w:numId="8">
    <w:abstractNumId w:val="3"/>
  </w:num>
  <w:num w:numId="9">
    <w:abstractNumId w:val="8"/>
  </w:num>
  <w:num w:numId="10">
    <w:abstractNumId w:val="7"/>
  </w:num>
  <w:num w:numId="11">
    <w:abstractNumId w:val="12"/>
  </w:num>
  <w:num w:numId="12">
    <w:abstractNumId w:val="6"/>
  </w:num>
  <w:num w:numId="13">
    <w:abstractNumId w:val="18"/>
  </w:num>
  <w:num w:numId="14">
    <w:abstractNumId w:val="14"/>
  </w:num>
  <w:num w:numId="15">
    <w:abstractNumId w:val="9"/>
  </w:num>
  <w:num w:numId="16">
    <w:abstractNumId w:val="25"/>
  </w:num>
  <w:num w:numId="17">
    <w:abstractNumId w:val="11"/>
  </w:num>
  <w:num w:numId="18">
    <w:abstractNumId w:val="0"/>
  </w:num>
  <w:num w:numId="19">
    <w:abstractNumId w:val="17"/>
  </w:num>
  <w:num w:numId="20">
    <w:abstractNumId w:val="5"/>
  </w:num>
  <w:num w:numId="21">
    <w:abstractNumId w:val="1"/>
  </w:num>
  <w:num w:numId="22">
    <w:abstractNumId w:val="10"/>
  </w:num>
  <w:num w:numId="23">
    <w:abstractNumId w:val="15"/>
  </w:num>
  <w:num w:numId="24">
    <w:abstractNumId w:val="16"/>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7EA"/>
    <w:rsid w:val="00002164"/>
    <w:rsid w:val="000050B3"/>
    <w:rsid w:val="00006D90"/>
    <w:rsid w:val="00010964"/>
    <w:rsid w:val="00010F78"/>
    <w:rsid w:val="00011EE2"/>
    <w:rsid w:val="0001445B"/>
    <w:rsid w:val="0002019D"/>
    <w:rsid w:val="00023EF9"/>
    <w:rsid w:val="00024119"/>
    <w:rsid w:val="00026C2F"/>
    <w:rsid w:val="00027945"/>
    <w:rsid w:val="00036812"/>
    <w:rsid w:val="000372FD"/>
    <w:rsid w:val="000407F7"/>
    <w:rsid w:val="00044F35"/>
    <w:rsid w:val="00044F63"/>
    <w:rsid w:val="00050616"/>
    <w:rsid w:val="00061070"/>
    <w:rsid w:val="00071978"/>
    <w:rsid w:val="000814F8"/>
    <w:rsid w:val="00083993"/>
    <w:rsid w:val="000914C5"/>
    <w:rsid w:val="00091F0B"/>
    <w:rsid w:val="000922ED"/>
    <w:rsid w:val="00092B84"/>
    <w:rsid w:val="0009542A"/>
    <w:rsid w:val="00095A1F"/>
    <w:rsid w:val="000A1ED3"/>
    <w:rsid w:val="000A53F3"/>
    <w:rsid w:val="000A5CDC"/>
    <w:rsid w:val="000B0437"/>
    <w:rsid w:val="000B2D91"/>
    <w:rsid w:val="000B43B6"/>
    <w:rsid w:val="000B54D7"/>
    <w:rsid w:val="000C1A7E"/>
    <w:rsid w:val="000D4197"/>
    <w:rsid w:val="000D5029"/>
    <w:rsid w:val="000E2036"/>
    <w:rsid w:val="000E397D"/>
    <w:rsid w:val="000F4CF6"/>
    <w:rsid w:val="000F512B"/>
    <w:rsid w:val="000F5E72"/>
    <w:rsid w:val="001135C3"/>
    <w:rsid w:val="001137A0"/>
    <w:rsid w:val="001156BA"/>
    <w:rsid w:val="0014184F"/>
    <w:rsid w:val="00145897"/>
    <w:rsid w:val="0015182D"/>
    <w:rsid w:val="00153360"/>
    <w:rsid w:val="00161847"/>
    <w:rsid w:val="00165552"/>
    <w:rsid w:val="00170CA7"/>
    <w:rsid w:val="001711C5"/>
    <w:rsid w:val="00181056"/>
    <w:rsid w:val="001903BE"/>
    <w:rsid w:val="001930B4"/>
    <w:rsid w:val="0019420A"/>
    <w:rsid w:val="00196E37"/>
    <w:rsid w:val="001A023F"/>
    <w:rsid w:val="001A1898"/>
    <w:rsid w:val="001A3FAC"/>
    <w:rsid w:val="001A6472"/>
    <w:rsid w:val="001A7E68"/>
    <w:rsid w:val="001C526E"/>
    <w:rsid w:val="001C5538"/>
    <w:rsid w:val="001C657C"/>
    <w:rsid w:val="001D0EDE"/>
    <w:rsid w:val="001D1B18"/>
    <w:rsid w:val="001D20E2"/>
    <w:rsid w:val="001E38DE"/>
    <w:rsid w:val="001E4CD6"/>
    <w:rsid w:val="001F7B31"/>
    <w:rsid w:val="00200306"/>
    <w:rsid w:val="0020601F"/>
    <w:rsid w:val="0021172C"/>
    <w:rsid w:val="00212DA5"/>
    <w:rsid w:val="00212DCF"/>
    <w:rsid w:val="0021347C"/>
    <w:rsid w:val="002138F6"/>
    <w:rsid w:val="002222EC"/>
    <w:rsid w:val="00223CD5"/>
    <w:rsid w:val="002323AC"/>
    <w:rsid w:val="00240953"/>
    <w:rsid w:val="0024601A"/>
    <w:rsid w:val="0026120C"/>
    <w:rsid w:val="00261404"/>
    <w:rsid w:val="00262FA3"/>
    <w:rsid w:val="002673B0"/>
    <w:rsid w:val="00275E2A"/>
    <w:rsid w:val="00276446"/>
    <w:rsid w:val="002848A0"/>
    <w:rsid w:val="00287DD7"/>
    <w:rsid w:val="00296938"/>
    <w:rsid w:val="002A0C8F"/>
    <w:rsid w:val="002A202F"/>
    <w:rsid w:val="002A55A8"/>
    <w:rsid w:val="002B19B4"/>
    <w:rsid w:val="002C5DB1"/>
    <w:rsid w:val="002D0F4E"/>
    <w:rsid w:val="002D6A0F"/>
    <w:rsid w:val="002E648C"/>
    <w:rsid w:val="002F1BEC"/>
    <w:rsid w:val="002F4757"/>
    <w:rsid w:val="00304115"/>
    <w:rsid w:val="00306DD6"/>
    <w:rsid w:val="00311BFE"/>
    <w:rsid w:val="00322199"/>
    <w:rsid w:val="003223C7"/>
    <w:rsid w:val="00326555"/>
    <w:rsid w:val="00335754"/>
    <w:rsid w:val="003410E0"/>
    <w:rsid w:val="00342F47"/>
    <w:rsid w:val="0035047E"/>
    <w:rsid w:val="00350EAD"/>
    <w:rsid w:val="00362D23"/>
    <w:rsid w:val="00363E5B"/>
    <w:rsid w:val="00364440"/>
    <w:rsid w:val="003651DB"/>
    <w:rsid w:val="00371343"/>
    <w:rsid w:val="003715A0"/>
    <w:rsid w:val="0037171F"/>
    <w:rsid w:val="00372E95"/>
    <w:rsid w:val="00375473"/>
    <w:rsid w:val="00376FD1"/>
    <w:rsid w:val="0039002C"/>
    <w:rsid w:val="003A2636"/>
    <w:rsid w:val="003B44DB"/>
    <w:rsid w:val="003B4BC9"/>
    <w:rsid w:val="003B6298"/>
    <w:rsid w:val="003C3AF5"/>
    <w:rsid w:val="003E2EB1"/>
    <w:rsid w:val="003E3C16"/>
    <w:rsid w:val="003F1FD4"/>
    <w:rsid w:val="003F7CB9"/>
    <w:rsid w:val="004003C8"/>
    <w:rsid w:val="0040157A"/>
    <w:rsid w:val="00404D66"/>
    <w:rsid w:val="00407D96"/>
    <w:rsid w:val="00426FC3"/>
    <w:rsid w:val="00432495"/>
    <w:rsid w:val="004341D6"/>
    <w:rsid w:val="004446FE"/>
    <w:rsid w:val="00444DA7"/>
    <w:rsid w:val="004466CF"/>
    <w:rsid w:val="00446F3F"/>
    <w:rsid w:val="00447ECD"/>
    <w:rsid w:val="00457882"/>
    <w:rsid w:val="00463CC7"/>
    <w:rsid w:val="00475D89"/>
    <w:rsid w:val="0047669F"/>
    <w:rsid w:val="004769C8"/>
    <w:rsid w:val="004809C4"/>
    <w:rsid w:val="00482139"/>
    <w:rsid w:val="0048433C"/>
    <w:rsid w:val="004847B1"/>
    <w:rsid w:val="00485184"/>
    <w:rsid w:val="0049545B"/>
    <w:rsid w:val="00497475"/>
    <w:rsid w:val="004A6B4E"/>
    <w:rsid w:val="004A787C"/>
    <w:rsid w:val="004B42E0"/>
    <w:rsid w:val="004C6BB3"/>
    <w:rsid w:val="004D142C"/>
    <w:rsid w:val="004D2DDF"/>
    <w:rsid w:val="004D3BD0"/>
    <w:rsid w:val="004D45B1"/>
    <w:rsid w:val="004D68A7"/>
    <w:rsid w:val="004E29D1"/>
    <w:rsid w:val="004E3E77"/>
    <w:rsid w:val="004E59EF"/>
    <w:rsid w:val="004F6A45"/>
    <w:rsid w:val="00500566"/>
    <w:rsid w:val="005073A3"/>
    <w:rsid w:val="00515A39"/>
    <w:rsid w:val="00523608"/>
    <w:rsid w:val="00525186"/>
    <w:rsid w:val="00525C0A"/>
    <w:rsid w:val="00525F6B"/>
    <w:rsid w:val="00530133"/>
    <w:rsid w:val="00535608"/>
    <w:rsid w:val="0055138F"/>
    <w:rsid w:val="00556688"/>
    <w:rsid w:val="0056162B"/>
    <w:rsid w:val="0056707B"/>
    <w:rsid w:val="005770BD"/>
    <w:rsid w:val="00577251"/>
    <w:rsid w:val="005812A9"/>
    <w:rsid w:val="0058194A"/>
    <w:rsid w:val="00581A9D"/>
    <w:rsid w:val="00582C61"/>
    <w:rsid w:val="0058404C"/>
    <w:rsid w:val="005859B1"/>
    <w:rsid w:val="005945D7"/>
    <w:rsid w:val="005A2503"/>
    <w:rsid w:val="005A362F"/>
    <w:rsid w:val="005A3B80"/>
    <w:rsid w:val="005A42E3"/>
    <w:rsid w:val="005B4F04"/>
    <w:rsid w:val="005B7CB9"/>
    <w:rsid w:val="005C006E"/>
    <w:rsid w:val="005D0023"/>
    <w:rsid w:val="005D1D7C"/>
    <w:rsid w:val="005E21C4"/>
    <w:rsid w:val="005F4D59"/>
    <w:rsid w:val="0060001C"/>
    <w:rsid w:val="00600D31"/>
    <w:rsid w:val="00602442"/>
    <w:rsid w:val="00607479"/>
    <w:rsid w:val="0060786A"/>
    <w:rsid w:val="00610845"/>
    <w:rsid w:val="006165CF"/>
    <w:rsid w:val="00621238"/>
    <w:rsid w:val="00621999"/>
    <w:rsid w:val="006237FE"/>
    <w:rsid w:val="00627AF7"/>
    <w:rsid w:val="00632540"/>
    <w:rsid w:val="00633F73"/>
    <w:rsid w:val="00642744"/>
    <w:rsid w:val="00645199"/>
    <w:rsid w:val="00645850"/>
    <w:rsid w:val="00651540"/>
    <w:rsid w:val="00653553"/>
    <w:rsid w:val="00661ECF"/>
    <w:rsid w:val="006638CB"/>
    <w:rsid w:val="0068088C"/>
    <w:rsid w:val="00692071"/>
    <w:rsid w:val="00694B28"/>
    <w:rsid w:val="006A4913"/>
    <w:rsid w:val="006A5A30"/>
    <w:rsid w:val="006C5349"/>
    <w:rsid w:val="006C5F2A"/>
    <w:rsid w:val="006C662C"/>
    <w:rsid w:val="006E1B88"/>
    <w:rsid w:val="006E67AF"/>
    <w:rsid w:val="006F154A"/>
    <w:rsid w:val="006F4A5C"/>
    <w:rsid w:val="00700016"/>
    <w:rsid w:val="00715F5C"/>
    <w:rsid w:val="0071772D"/>
    <w:rsid w:val="00721CC1"/>
    <w:rsid w:val="007278C1"/>
    <w:rsid w:val="00733493"/>
    <w:rsid w:val="00737F1D"/>
    <w:rsid w:val="00744091"/>
    <w:rsid w:val="00751F04"/>
    <w:rsid w:val="007600E2"/>
    <w:rsid w:val="00761DB3"/>
    <w:rsid w:val="007624DB"/>
    <w:rsid w:val="007627FB"/>
    <w:rsid w:val="00763752"/>
    <w:rsid w:val="00773E4A"/>
    <w:rsid w:val="00781A03"/>
    <w:rsid w:val="00782816"/>
    <w:rsid w:val="00782B47"/>
    <w:rsid w:val="00782D4F"/>
    <w:rsid w:val="00785A46"/>
    <w:rsid w:val="007861E3"/>
    <w:rsid w:val="007903A7"/>
    <w:rsid w:val="00791BDE"/>
    <w:rsid w:val="007940D6"/>
    <w:rsid w:val="007A31C0"/>
    <w:rsid w:val="007A3F9C"/>
    <w:rsid w:val="007A507A"/>
    <w:rsid w:val="007A5E36"/>
    <w:rsid w:val="007A75FF"/>
    <w:rsid w:val="007B1740"/>
    <w:rsid w:val="007B1C70"/>
    <w:rsid w:val="007C2213"/>
    <w:rsid w:val="007C4B5C"/>
    <w:rsid w:val="007C4EE0"/>
    <w:rsid w:val="007C61B5"/>
    <w:rsid w:val="007C7F9B"/>
    <w:rsid w:val="007D3889"/>
    <w:rsid w:val="007D39E4"/>
    <w:rsid w:val="007D43A7"/>
    <w:rsid w:val="007E1695"/>
    <w:rsid w:val="007E2D12"/>
    <w:rsid w:val="007F00BC"/>
    <w:rsid w:val="007F204C"/>
    <w:rsid w:val="007F551E"/>
    <w:rsid w:val="007F6905"/>
    <w:rsid w:val="0080101A"/>
    <w:rsid w:val="00804060"/>
    <w:rsid w:val="008048FA"/>
    <w:rsid w:val="0081013D"/>
    <w:rsid w:val="008166C9"/>
    <w:rsid w:val="00824E43"/>
    <w:rsid w:val="00827A02"/>
    <w:rsid w:val="00833D8C"/>
    <w:rsid w:val="00834C9A"/>
    <w:rsid w:val="00843D48"/>
    <w:rsid w:val="0084708C"/>
    <w:rsid w:val="008477B0"/>
    <w:rsid w:val="00850AD5"/>
    <w:rsid w:val="00851F8D"/>
    <w:rsid w:val="00852739"/>
    <w:rsid w:val="00853B1B"/>
    <w:rsid w:val="00854A98"/>
    <w:rsid w:val="00861BAC"/>
    <w:rsid w:val="00862909"/>
    <w:rsid w:val="008629CC"/>
    <w:rsid w:val="00865EBB"/>
    <w:rsid w:val="0087225C"/>
    <w:rsid w:val="0087593A"/>
    <w:rsid w:val="00884005"/>
    <w:rsid w:val="00886C36"/>
    <w:rsid w:val="008A4B05"/>
    <w:rsid w:val="008A6515"/>
    <w:rsid w:val="008A6AC8"/>
    <w:rsid w:val="008B1C0B"/>
    <w:rsid w:val="008C1B94"/>
    <w:rsid w:val="008C5591"/>
    <w:rsid w:val="008D04A6"/>
    <w:rsid w:val="008D4C1A"/>
    <w:rsid w:val="008E2949"/>
    <w:rsid w:val="008F0867"/>
    <w:rsid w:val="008F172F"/>
    <w:rsid w:val="008F2044"/>
    <w:rsid w:val="008F2BE1"/>
    <w:rsid w:val="008F4DD1"/>
    <w:rsid w:val="009056DB"/>
    <w:rsid w:val="00912E66"/>
    <w:rsid w:val="00944512"/>
    <w:rsid w:val="00945A43"/>
    <w:rsid w:val="00947592"/>
    <w:rsid w:val="00950280"/>
    <w:rsid w:val="00953292"/>
    <w:rsid w:val="00953C0B"/>
    <w:rsid w:val="00961237"/>
    <w:rsid w:val="00961283"/>
    <w:rsid w:val="00962D81"/>
    <w:rsid w:val="009671F3"/>
    <w:rsid w:val="00971E1C"/>
    <w:rsid w:val="00987243"/>
    <w:rsid w:val="00991A18"/>
    <w:rsid w:val="00991BB1"/>
    <w:rsid w:val="00994A16"/>
    <w:rsid w:val="009960B5"/>
    <w:rsid w:val="009A1C85"/>
    <w:rsid w:val="009A30D3"/>
    <w:rsid w:val="009B2AA0"/>
    <w:rsid w:val="009B5130"/>
    <w:rsid w:val="009C148E"/>
    <w:rsid w:val="009C743A"/>
    <w:rsid w:val="009D03A7"/>
    <w:rsid w:val="009E0479"/>
    <w:rsid w:val="009F0C3C"/>
    <w:rsid w:val="009F2D3E"/>
    <w:rsid w:val="00A00C20"/>
    <w:rsid w:val="00A0102E"/>
    <w:rsid w:val="00A023F0"/>
    <w:rsid w:val="00A12960"/>
    <w:rsid w:val="00A1570D"/>
    <w:rsid w:val="00A22386"/>
    <w:rsid w:val="00A30E87"/>
    <w:rsid w:val="00A31296"/>
    <w:rsid w:val="00A3374C"/>
    <w:rsid w:val="00A364E8"/>
    <w:rsid w:val="00A40E8C"/>
    <w:rsid w:val="00A41346"/>
    <w:rsid w:val="00A424CF"/>
    <w:rsid w:val="00A43808"/>
    <w:rsid w:val="00A4533C"/>
    <w:rsid w:val="00A56B75"/>
    <w:rsid w:val="00A61351"/>
    <w:rsid w:val="00A661FF"/>
    <w:rsid w:val="00A71C04"/>
    <w:rsid w:val="00A815A8"/>
    <w:rsid w:val="00A96178"/>
    <w:rsid w:val="00A967BE"/>
    <w:rsid w:val="00AA0017"/>
    <w:rsid w:val="00AA2EE0"/>
    <w:rsid w:val="00AA4009"/>
    <w:rsid w:val="00AA4BC5"/>
    <w:rsid w:val="00AA69B0"/>
    <w:rsid w:val="00AB09B3"/>
    <w:rsid w:val="00AC02D1"/>
    <w:rsid w:val="00AD5C24"/>
    <w:rsid w:val="00AE2295"/>
    <w:rsid w:val="00AE608F"/>
    <w:rsid w:val="00AE7D3A"/>
    <w:rsid w:val="00AF10C3"/>
    <w:rsid w:val="00AF1C86"/>
    <w:rsid w:val="00B06019"/>
    <w:rsid w:val="00B07409"/>
    <w:rsid w:val="00B1006E"/>
    <w:rsid w:val="00B178FB"/>
    <w:rsid w:val="00B325FB"/>
    <w:rsid w:val="00B4276A"/>
    <w:rsid w:val="00B47EFE"/>
    <w:rsid w:val="00B50D74"/>
    <w:rsid w:val="00B5252A"/>
    <w:rsid w:val="00B553E8"/>
    <w:rsid w:val="00B614F5"/>
    <w:rsid w:val="00B63DB1"/>
    <w:rsid w:val="00B67138"/>
    <w:rsid w:val="00B6715C"/>
    <w:rsid w:val="00B704E4"/>
    <w:rsid w:val="00B728AD"/>
    <w:rsid w:val="00B81CFE"/>
    <w:rsid w:val="00B903AE"/>
    <w:rsid w:val="00B9157F"/>
    <w:rsid w:val="00B94BFC"/>
    <w:rsid w:val="00B95225"/>
    <w:rsid w:val="00BA3BE3"/>
    <w:rsid w:val="00BA55D3"/>
    <w:rsid w:val="00BA6759"/>
    <w:rsid w:val="00BA6A75"/>
    <w:rsid w:val="00BA7204"/>
    <w:rsid w:val="00BB2C8C"/>
    <w:rsid w:val="00BB415A"/>
    <w:rsid w:val="00BC0DAB"/>
    <w:rsid w:val="00BC2509"/>
    <w:rsid w:val="00BC6826"/>
    <w:rsid w:val="00BD34A2"/>
    <w:rsid w:val="00BD36CE"/>
    <w:rsid w:val="00BD5F11"/>
    <w:rsid w:val="00BE3FF7"/>
    <w:rsid w:val="00BF3D29"/>
    <w:rsid w:val="00BF4988"/>
    <w:rsid w:val="00C0295C"/>
    <w:rsid w:val="00C03C06"/>
    <w:rsid w:val="00C10A3A"/>
    <w:rsid w:val="00C121EC"/>
    <w:rsid w:val="00C12C26"/>
    <w:rsid w:val="00C12C65"/>
    <w:rsid w:val="00C17029"/>
    <w:rsid w:val="00C17417"/>
    <w:rsid w:val="00C20D10"/>
    <w:rsid w:val="00C32351"/>
    <w:rsid w:val="00C32FC6"/>
    <w:rsid w:val="00C4169C"/>
    <w:rsid w:val="00C445E2"/>
    <w:rsid w:val="00C52221"/>
    <w:rsid w:val="00C57594"/>
    <w:rsid w:val="00C659C0"/>
    <w:rsid w:val="00C706AA"/>
    <w:rsid w:val="00C70F1B"/>
    <w:rsid w:val="00C7129D"/>
    <w:rsid w:val="00C72288"/>
    <w:rsid w:val="00C73CDA"/>
    <w:rsid w:val="00C748D1"/>
    <w:rsid w:val="00C90E7B"/>
    <w:rsid w:val="00C91014"/>
    <w:rsid w:val="00C91BD3"/>
    <w:rsid w:val="00C97D06"/>
    <w:rsid w:val="00CA1CE9"/>
    <w:rsid w:val="00CB1A4E"/>
    <w:rsid w:val="00CB69A9"/>
    <w:rsid w:val="00CC29F6"/>
    <w:rsid w:val="00CC2B27"/>
    <w:rsid w:val="00CC494E"/>
    <w:rsid w:val="00CD0510"/>
    <w:rsid w:val="00CD1061"/>
    <w:rsid w:val="00CD1D1A"/>
    <w:rsid w:val="00CD2287"/>
    <w:rsid w:val="00CD5BBB"/>
    <w:rsid w:val="00CD5C6D"/>
    <w:rsid w:val="00CD6943"/>
    <w:rsid w:val="00CE0685"/>
    <w:rsid w:val="00CF071F"/>
    <w:rsid w:val="00CF2EE1"/>
    <w:rsid w:val="00D02661"/>
    <w:rsid w:val="00D22196"/>
    <w:rsid w:val="00D26E1B"/>
    <w:rsid w:val="00D272CE"/>
    <w:rsid w:val="00D33843"/>
    <w:rsid w:val="00D36736"/>
    <w:rsid w:val="00D37EA5"/>
    <w:rsid w:val="00D41852"/>
    <w:rsid w:val="00D429B8"/>
    <w:rsid w:val="00D42F62"/>
    <w:rsid w:val="00D5419E"/>
    <w:rsid w:val="00D548AA"/>
    <w:rsid w:val="00D65713"/>
    <w:rsid w:val="00D73628"/>
    <w:rsid w:val="00D73918"/>
    <w:rsid w:val="00D83F5D"/>
    <w:rsid w:val="00D84589"/>
    <w:rsid w:val="00D87ECD"/>
    <w:rsid w:val="00D967D7"/>
    <w:rsid w:val="00DA125D"/>
    <w:rsid w:val="00DA3849"/>
    <w:rsid w:val="00DB19B9"/>
    <w:rsid w:val="00DB3D05"/>
    <w:rsid w:val="00DB6256"/>
    <w:rsid w:val="00DC4BC2"/>
    <w:rsid w:val="00DD0E97"/>
    <w:rsid w:val="00DD5750"/>
    <w:rsid w:val="00DD5F9C"/>
    <w:rsid w:val="00DE057D"/>
    <w:rsid w:val="00DE0A69"/>
    <w:rsid w:val="00DE519A"/>
    <w:rsid w:val="00DF2E8C"/>
    <w:rsid w:val="00E0020F"/>
    <w:rsid w:val="00E0201B"/>
    <w:rsid w:val="00E118C7"/>
    <w:rsid w:val="00E1427B"/>
    <w:rsid w:val="00E14C4D"/>
    <w:rsid w:val="00E14E0D"/>
    <w:rsid w:val="00E2143C"/>
    <w:rsid w:val="00E22B8B"/>
    <w:rsid w:val="00E317D1"/>
    <w:rsid w:val="00E40DF0"/>
    <w:rsid w:val="00E4267B"/>
    <w:rsid w:val="00E4303B"/>
    <w:rsid w:val="00E47DAC"/>
    <w:rsid w:val="00E6363F"/>
    <w:rsid w:val="00E63C8A"/>
    <w:rsid w:val="00E703BE"/>
    <w:rsid w:val="00E70BF6"/>
    <w:rsid w:val="00E73A56"/>
    <w:rsid w:val="00E935DA"/>
    <w:rsid w:val="00EA760F"/>
    <w:rsid w:val="00EB418F"/>
    <w:rsid w:val="00EB501A"/>
    <w:rsid w:val="00EC1E5A"/>
    <w:rsid w:val="00EC3145"/>
    <w:rsid w:val="00EC4E70"/>
    <w:rsid w:val="00ED445E"/>
    <w:rsid w:val="00EF78D9"/>
    <w:rsid w:val="00F00999"/>
    <w:rsid w:val="00F11C98"/>
    <w:rsid w:val="00F12661"/>
    <w:rsid w:val="00F12E47"/>
    <w:rsid w:val="00F13C00"/>
    <w:rsid w:val="00F20287"/>
    <w:rsid w:val="00F223B2"/>
    <w:rsid w:val="00F31D97"/>
    <w:rsid w:val="00F42C6D"/>
    <w:rsid w:val="00F43DB1"/>
    <w:rsid w:val="00F53241"/>
    <w:rsid w:val="00F67790"/>
    <w:rsid w:val="00F70BB1"/>
    <w:rsid w:val="00F7127D"/>
    <w:rsid w:val="00F73108"/>
    <w:rsid w:val="00F7649F"/>
    <w:rsid w:val="00F8536A"/>
    <w:rsid w:val="00F92E04"/>
    <w:rsid w:val="00F95BD4"/>
    <w:rsid w:val="00FB1A1B"/>
    <w:rsid w:val="00FB21D8"/>
    <w:rsid w:val="00FB2BD8"/>
    <w:rsid w:val="00FB44CD"/>
    <w:rsid w:val="00FB645B"/>
    <w:rsid w:val="00FC09D6"/>
    <w:rsid w:val="00FC34EC"/>
    <w:rsid w:val="00FC3F69"/>
    <w:rsid w:val="00FC5312"/>
    <w:rsid w:val="00FC57BE"/>
    <w:rsid w:val="00FD2A5E"/>
    <w:rsid w:val="00FD3964"/>
    <w:rsid w:val="00FD5171"/>
    <w:rsid w:val="00FD6737"/>
    <w:rsid w:val="00FE403A"/>
    <w:rsid w:val="00FE59DD"/>
    <w:rsid w:val="00FF3725"/>
    <w:rsid w:val="00FF4DB4"/>
    <w:rsid w:val="00FF6636"/>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C1374"/>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51473">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C98C3-45A7-489C-AA9A-570FD700D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2857</Words>
  <Characters>16289</Characters>
  <Application>Microsoft Office Word</Application>
  <DocSecurity>0</DocSecurity>
  <Lines>135</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3</cp:revision>
  <cp:lastPrinted>2018-09-05T12:48:00Z</cp:lastPrinted>
  <dcterms:created xsi:type="dcterms:W3CDTF">2020-05-21T08:23:00Z</dcterms:created>
  <dcterms:modified xsi:type="dcterms:W3CDTF">2020-06-30T13:29:00Z</dcterms:modified>
</cp:coreProperties>
</file>